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12B7" w14:textId="77777777" w:rsidR="006C6EBA" w:rsidRPr="006720E4" w:rsidRDefault="006C6EBA" w:rsidP="00EA22AE">
      <w:pPr>
        <w:spacing w:after="120"/>
        <w:rPr>
          <w:rFonts w:ascii="Calibri" w:hAnsi="Calibri" w:cs="Calibri"/>
          <w:sz w:val="90"/>
          <w:szCs w:val="90"/>
        </w:rPr>
      </w:pPr>
      <w:bookmarkStart w:id="0" w:name="_Toc72615035"/>
      <w:bookmarkStart w:id="1" w:name="_Toc73129754"/>
      <w:bookmarkStart w:id="2" w:name="_Toc73301623"/>
      <w:bookmarkStart w:id="3" w:name="_Toc73302129"/>
      <w:bookmarkStart w:id="4" w:name="_Toc73303262"/>
      <w:bookmarkStart w:id="5" w:name="_Toc73303523"/>
      <w:bookmarkStart w:id="6" w:name="_Toc74080640"/>
      <w:bookmarkStart w:id="7" w:name="_Toc74080948"/>
      <w:bookmarkStart w:id="8" w:name="_Toc74081178"/>
      <w:bookmarkStart w:id="9" w:name="_Toc74081407"/>
      <w:bookmarkStart w:id="10" w:name="_Toc74170978"/>
      <w:bookmarkStart w:id="11" w:name="_Toc74172127"/>
      <w:bookmarkStart w:id="12" w:name="_Toc74172663"/>
      <w:bookmarkStart w:id="13" w:name="_Toc74238652"/>
      <w:bookmarkStart w:id="14" w:name="_Toc78304742"/>
      <w:bookmarkStart w:id="15" w:name="_Toc79330830"/>
      <w:bookmarkStart w:id="16" w:name="_Toc79331210"/>
      <w:bookmarkStart w:id="17" w:name="_Toc79406298"/>
      <w:bookmarkStart w:id="18" w:name="_Toc82623445"/>
      <w:bookmarkStart w:id="19" w:name="_Toc82773461"/>
      <w:bookmarkStart w:id="20" w:name="_Toc82773814"/>
    </w:p>
    <w:p w14:paraId="3814C6BB" w14:textId="77777777" w:rsidR="006C6EBA" w:rsidRPr="006720E4" w:rsidRDefault="006C6EBA" w:rsidP="00EA22AE">
      <w:pPr>
        <w:spacing w:after="120"/>
        <w:rPr>
          <w:rFonts w:ascii="Calibri" w:hAnsi="Calibri" w:cs="Calibri"/>
          <w:sz w:val="90"/>
          <w:szCs w:val="90"/>
        </w:rPr>
      </w:pPr>
    </w:p>
    <w:p w14:paraId="1018BC05" w14:textId="7A59E86B" w:rsidR="006C6EBA" w:rsidRPr="006720E4" w:rsidRDefault="006C6EBA" w:rsidP="00EA22AE">
      <w:pPr>
        <w:spacing w:after="120"/>
        <w:rPr>
          <w:rFonts w:ascii="Calibri" w:hAnsi="Calibri" w:cs="Calibri"/>
          <w:sz w:val="90"/>
          <w:szCs w:val="90"/>
        </w:rPr>
      </w:pPr>
      <w:r w:rsidRPr="006720E4">
        <w:rPr>
          <w:rFonts w:ascii="Calibri" w:hAnsi="Calibri" w:cs="Calibri"/>
          <w:i/>
          <w:iCs/>
          <w:sz w:val="90"/>
          <w:szCs w:val="90"/>
          <w:u w:val="single"/>
        </w:rPr>
        <w:t>DRAFT</w:t>
      </w:r>
      <w:r w:rsidRPr="006720E4">
        <w:rPr>
          <w:rFonts w:ascii="Calibri" w:hAnsi="Calibri" w:cs="Calibri"/>
          <w:sz w:val="90"/>
          <w:szCs w:val="90"/>
        </w:rPr>
        <w:br/>
      </w:r>
      <w:r w:rsidR="0067433B">
        <w:rPr>
          <w:rFonts w:ascii="Calibri" w:hAnsi="Calibri" w:cs="Calibri"/>
          <w:color w:val="2F5496" w:themeColor="accent1" w:themeShade="BF"/>
          <w:sz w:val="90"/>
          <w:szCs w:val="90"/>
        </w:rPr>
        <w:t>E</w:t>
      </w:r>
      <w:r w:rsidRPr="006720E4">
        <w:rPr>
          <w:rFonts w:ascii="Calibri" w:hAnsi="Calibri" w:cs="Calibri"/>
          <w:color w:val="2F5496" w:themeColor="accent1" w:themeShade="BF"/>
          <w:sz w:val="90"/>
          <w:szCs w:val="90"/>
        </w:rPr>
        <w:t>thical guidelines for cell, tissue and organ donation and transplantation in Australia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6720E4">
        <w:rPr>
          <w:rFonts w:ascii="Calibri" w:hAnsi="Calibri" w:cs="Calibri"/>
          <w:color w:val="2F5496" w:themeColor="accent1" w:themeShade="BF"/>
          <w:sz w:val="90"/>
          <w:szCs w:val="90"/>
        </w:rPr>
        <w:t xml:space="preserve"> </w:t>
      </w:r>
    </w:p>
    <w:p w14:paraId="1FF1B541" w14:textId="77777777" w:rsidR="006C6EBA" w:rsidRPr="006720E4" w:rsidRDefault="006C6EBA" w:rsidP="00EA22AE">
      <w:pPr>
        <w:spacing w:after="120"/>
        <w:rPr>
          <w:rFonts w:ascii="Calibri" w:hAnsi="Calibri" w:cs="Calibri"/>
          <w:sz w:val="22"/>
          <w:szCs w:val="22"/>
        </w:rPr>
      </w:pPr>
    </w:p>
    <w:p w14:paraId="16C34340" w14:textId="3DFBB070" w:rsidR="006C6EBA" w:rsidRPr="006720E4" w:rsidRDefault="006C6EBA" w:rsidP="00EA22AE">
      <w:pPr>
        <w:spacing w:after="120"/>
        <w:rPr>
          <w:rStyle w:val="IntenseReference"/>
          <w:rFonts w:ascii="Calibri" w:eastAsiaTheme="majorEastAsia" w:hAnsi="Calibri" w:cs="Calibri"/>
          <w:sz w:val="22"/>
          <w:szCs w:val="22"/>
        </w:rPr>
      </w:pPr>
      <w:r w:rsidRPr="006720E4">
        <w:rPr>
          <w:rStyle w:val="IntenseReference"/>
          <w:rFonts w:ascii="Calibri" w:eastAsiaTheme="majorEastAsia" w:hAnsi="Calibri" w:cs="Calibri"/>
          <w:sz w:val="22"/>
          <w:szCs w:val="22"/>
        </w:rPr>
        <w:t xml:space="preserve">VERSION </w:t>
      </w:r>
      <w:r w:rsidR="0067433B">
        <w:rPr>
          <w:rStyle w:val="IntenseReference"/>
          <w:rFonts w:ascii="Calibri" w:eastAsiaTheme="majorEastAsia" w:hAnsi="Calibri" w:cs="Calibri"/>
          <w:sz w:val="22"/>
          <w:szCs w:val="22"/>
        </w:rPr>
        <w:t>13</w:t>
      </w:r>
      <w:r w:rsidRPr="006720E4">
        <w:rPr>
          <w:rStyle w:val="IntenseReference"/>
          <w:rFonts w:ascii="Calibri" w:eastAsiaTheme="majorEastAsia" w:hAnsi="Calibri" w:cs="Calibri"/>
          <w:sz w:val="22"/>
          <w:szCs w:val="22"/>
        </w:rPr>
        <w:t xml:space="preserve"> (</w:t>
      </w:r>
      <w:r w:rsidR="0067433B">
        <w:rPr>
          <w:rStyle w:val="IntenseReference"/>
          <w:rFonts w:ascii="Calibri" w:eastAsiaTheme="majorEastAsia" w:hAnsi="Calibri" w:cs="Calibri"/>
          <w:sz w:val="22"/>
          <w:szCs w:val="22"/>
        </w:rPr>
        <w:t>December</w:t>
      </w:r>
      <w:r w:rsidR="005C1F30" w:rsidRPr="006720E4">
        <w:rPr>
          <w:rStyle w:val="IntenseReference"/>
          <w:rFonts w:ascii="Calibri" w:eastAsiaTheme="majorEastAsia" w:hAnsi="Calibri" w:cs="Calibri"/>
          <w:sz w:val="22"/>
          <w:szCs w:val="22"/>
        </w:rPr>
        <w:t xml:space="preserve"> </w:t>
      </w:r>
      <w:r w:rsidRPr="006720E4">
        <w:rPr>
          <w:rStyle w:val="IntenseReference"/>
          <w:rFonts w:ascii="Calibri" w:eastAsiaTheme="majorEastAsia" w:hAnsi="Calibri" w:cs="Calibri"/>
          <w:sz w:val="22"/>
          <w:szCs w:val="22"/>
        </w:rPr>
        <w:t>2023)</w:t>
      </w:r>
    </w:p>
    <w:p w14:paraId="5BF7B069" w14:textId="77777777" w:rsidR="006C6EBA" w:rsidRPr="006720E4" w:rsidRDefault="006C6EBA" w:rsidP="00EA22AE">
      <w:pPr>
        <w:spacing w:after="120"/>
        <w:rPr>
          <w:rStyle w:val="IntenseReference"/>
          <w:rFonts w:ascii="Calibri" w:eastAsiaTheme="majorEastAsia" w:hAnsi="Calibri" w:cs="Calibri"/>
          <w:sz w:val="22"/>
          <w:szCs w:val="22"/>
        </w:rPr>
      </w:pPr>
    </w:p>
    <w:p w14:paraId="483794E5" w14:textId="77777777" w:rsidR="006C6EBA" w:rsidRPr="006720E4" w:rsidRDefault="006C6EBA" w:rsidP="00EA22AE">
      <w:pPr>
        <w:spacing w:after="120"/>
        <w:rPr>
          <w:rFonts w:ascii="Calibri" w:hAnsi="Calibri" w:cs="Calibri"/>
          <w:b/>
          <w:bCs/>
          <w:color w:val="4472C4" w:themeColor="accent1"/>
          <w:sz w:val="22"/>
          <w:szCs w:val="22"/>
          <w:u w:val="single"/>
        </w:rPr>
      </w:pPr>
      <w:bookmarkStart w:id="21" w:name="_Toc70328712"/>
      <w:bookmarkStart w:id="22" w:name="_Toc70333940"/>
      <w:bookmarkStart w:id="23" w:name="_Toc70414777"/>
      <w:bookmarkStart w:id="24" w:name="_Toc70844106"/>
      <w:bookmarkStart w:id="25" w:name="_Toc70858968"/>
      <w:bookmarkStart w:id="26" w:name="_Toc61810276"/>
      <w:bookmarkStart w:id="27" w:name="_Toc70241700"/>
      <w:bookmarkStart w:id="28" w:name="_Toc70243334"/>
      <w:r w:rsidRPr="006720E4">
        <w:rPr>
          <w:rFonts w:ascii="Calibri" w:hAnsi="Calibri" w:cs="Calibri"/>
          <w:sz w:val="22"/>
          <w:szCs w:val="22"/>
        </w:rPr>
        <w:br w:type="page"/>
      </w:r>
      <w:bookmarkStart w:id="29" w:name="_Table_of_contents"/>
      <w:bookmarkStart w:id="30" w:name="_Toc70861069"/>
      <w:bookmarkStart w:id="31" w:name="_Toc70876552"/>
      <w:bookmarkStart w:id="32" w:name="_Toc72615036"/>
      <w:bookmarkStart w:id="33" w:name="_Toc73129755"/>
      <w:bookmarkStart w:id="34" w:name="_Toc73301624"/>
      <w:bookmarkStart w:id="35" w:name="_Toc73302130"/>
      <w:bookmarkStart w:id="36" w:name="_Toc73303263"/>
      <w:bookmarkStart w:id="37" w:name="_Toc73303524"/>
      <w:bookmarkStart w:id="38" w:name="_Toc74080641"/>
      <w:bookmarkStart w:id="39" w:name="_Toc74080949"/>
      <w:bookmarkStart w:id="40" w:name="_Toc74081179"/>
      <w:bookmarkStart w:id="41" w:name="_Toc74081408"/>
      <w:bookmarkStart w:id="42" w:name="_Toc74170979"/>
      <w:bookmarkStart w:id="43" w:name="_Toc74172128"/>
      <w:bookmarkStart w:id="44" w:name="_Toc74172664"/>
      <w:bookmarkStart w:id="45" w:name="_Toc74238653"/>
      <w:bookmarkStart w:id="46" w:name="_Toc78304743"/>
      <w:bookmarkEnd w:id="29"/>
    </w:p>
    <w:p w14:paraId="1757EC7C" w14:textId="77777777" w:rsidR="006C6EBA" w:rsidRPr="006720E4" w:rsidRDefault="006C6EBA" w:rsidP="00EA22AE">
      <w:pPr>
        <w:pStyle w:val="Heading1"/>
        <w:numPr>
          <w:ilvl w:val="0"/>
          <w:numId w:val="0"/>
        </w:numPr>
        <w:ind w:left="360" w:hanging="360"/>
      </w:pPr>
      <w:bookmarkStart w:id="47" w:name="_Table_of_contents_1"/>
      <w:bookmarkStart w:id="48" w:name="_Toc79330831"/>
      <w:bookmarkStart w:id="49" w:name="_Toc79331211"/>
      <w:bookmarkStart w:id="50" w:name="_Toc79406299"/>
      <w:bookmarkStart w:id="51" w:name="_Toc82623446"/>
      <w:bookmarkStart w:id="52" w:name="_Toc82773462"/>
      <w:bookmarkStart w:id="53" w:name="_Toc82773815"/>
      <w:bookmarkStart w:id="54" w:name="_Toc128314157"/>
      <w:bookmarkStart w:id="55" w:name="_Toc135131413"/>
      <w:bookmarkEnd w:id="47"/>
      <w:r w:rsidRPr="006720E4">
        <w:lastRenderedPageBreak/>
        <w:t>Table of contents</w:t>
      </w:r>
      <w:bookmarkEnd w:id="21"/>
      <w:bookmarkEnd w:id="22"/>
      <w:bookmarkEnd w:id="23"/>
      <w:bookmarkEnd w:id="24"/>
      <w:bookmarkEnd w:id="2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8"/>
      <w:bookmarkEnd w:id="49"/>
      <w:bookmarkEnd w:id="50"/>
      <w:bookmarkEnd w:id="51"/>
      <w:bookmarkEnd w:id="52"/>
      <w:bookmarkEnd w:id="53"/>
      <w:bookmarkEnd w:id="54"/>
      <w:bookmarkEnd w:id="55"/>
    </w:p>
    <w:bookmarkStart w:id="56" w:name="_Toc70328713"/>
    <w:bookmarkStart w:id="57" w:name="_Toc70333941"/>
    <w:bookmarkStart w:id="58" w:name="_Toc70414778"/>
    <w:bookmarkStart w:id="59" w:name="_Toc70844107"/>
    <w:bookmarkStart w:id="60" w:name="_Toc70858969"/>
    <w:bookmarkStart w:id="61" w:name="_Toc70861070"/>
    <w:bookmarkStart w:id="62" w:name="_Toc70876553"/>
    <w:bookmarkStart w:id="63" w:name="_Toc72615037"/>
    <w:bookmarkStart w:id="64" w:name="_Toc73129756"/>
    <w:bookmarkStart w:id="65" w:name="_Toc73301625"/>
    <w:bookmarkStart w:id="66" w:name="_Toc73302131"/>
    <w:bookmarkStart w:id="67" w:name="_Toc73303264"/>
    <w:bookmarkStart w:id="68" w:name="_Toc73303525"/>
    <w:bookmarkStart w:id="69" w:name="_Toc74080642"/>
    <w:bookmarkStart w:id="70" w:name="_Toc74080950"/>
    <w:bookmarkStart w:id="71" w:name="_Toc74081180"/>
    <w:bookmarkStart w:id="72" w:name="_Toc74081409"/>
    <w:bookmarkStart w:id="73" w:name="_Toc74170980"/>
    <w:bookmarkStart w:id="74" w:name="_Toc74172129"/>
    <w:bookmarkStart w:id="75" w:name="_Toc74172665"/>
    <w:bookmarkStart w:id="76" w:name="_Toc74238654"/>
    <w:bookmarkStart w:id="77" w:name="_Toc78304744"/>
    <w:bookmarkStart w:id="78" w:name="_Toc79330832"/>
    <w:bookmarkStart w:id="79" w:name="_Toc79331212"/>
    <w:bookmarkStart w:id="80" w:name="_Toc79406300"/>
    <w:bookmarkStart w:id="81" w:name="_Toc82773463"/>
    <w:bookmarkStart w:id="82" w:name="_Toc82773816"/>
    <w:bookmarkStart w:id="83" w:name="_Toc128314158"/>
    <w:p w14:paraId="518BEA10" w14:textId="328F29F9" w:rsidR="0006699D" w:rsidRDefault="0006699D" w:rsidP="007162C3">
      <w:pPr>
        <w:pStyle w:val="TOC1"/>
        <w:rPr>
          <w:rFonts w:eastAsiaTheme="minorEastAsia" w:cstheme="minorBidi"/>
          <w:kern w:val="2"/>
          <w14:ligatures w14:val="standardContextual"/>
        </w:rPr>
      </w:pPr>
      <w:r>
        <w:fldChar w:fldCharType="begin"/>
      </w:r>
      <w:r>
        <w:instrText xml:space="preserve"> TOC \o "1-2" \h \z \u </w:instrText>
      </w:r>
      <w:r>
        <w:fldChar w:fldCharType="separate"/>
      </w:r>
    </w:p>
    <w:p w14:paraId="7F9F4877" w14:textId="63885BA7" w:rsidR="0006699D" w:rsidRDefault="00000000" w:rsidP="007162C3">
      <w:pPr>
        <w:pStyle w:val="TOC1"/>
        <w:rPr>
          <w:rFonts w:eastAsiaTheme="minorEastAsia" w:cstheme="minorBidi"/>
          <w:kern w:val="2"/>
          <w14:ligatures w14:val="standardContextual"/>
        </w:rPr>
      </w:pPr>
      <w:hyperlink w:anchor="_Toc135131414" w:history="1">
        <w:r w:rsidR="0006699D" w:rsidRPr="00C35F09">
          <w:rPr>
            <w:rStyle w:val="Hyperlink"/>
          </w:rPr>
          <w:t>Acronyms and abbreviations</w:t>
        </w:r>
        <w:r w:rsidR="0006699D">
          <w:rPr>
            <w:webHidden/>
          </w:rPr>
          <w:tab/>
        </w:r>
        <w:r w:rsidR="0006699D">
          <w:rPr>
            <w:webHidden/>
          </w:rPr>
          <w:fldChar w:fldCharType="begin"/>
        </w:r>
        <w:r w:rsidR="0006699D">
          <w:rPr>
            <w:webHidden/>
          </w:rPr>
          <w:instrText xml:space="preserve"> PAGEREF _Toc135131414 \h </w:instrText>
        </w:r>
        <w:r w:rsidR="0006699D">
          <w:rPr>
            <w:webHidden/>
          </w:rPr>
        </w:r>
        <w:r w:rsidR="0006699D">
          <w:rPr>
            <w:webHidden/>
          </w:rPr>
          <w:fldChar w:fldCharType="separate"/>
        </w:r>
        <w:r w:rsidR="00B63F7B">
          <w:rPr>
            <w:webHidden/>
          </w:rPr>
          <w:t>6</w:t>
        </w:r>
        <w:r w:rsidR="0006699D">
          <w:rPr>
            <w:webHidden/>
          </w:rPr>
          <w:fldChar w:fldCharType="end"/>
        </w:r>
      </w:hyperlink>
    </w:p>
    <w:p w14:paraId="1CAC0993" w14:textId="5126F472" w:rsidR="0006699D" w:rsidRDefault="00000000" w:rsidP="007162C3">
      <w:pPr>
        <w:pStyle w:val="TOC1"/>
        <w:rPr>
          <w:rFonts w:eastAsiaTheme="minorEastAsia" w:cstheme="minorBidi"/>
          <w:kern w:val="2"/>
          <w14:ligatures w14:val="standardContextual"/>
        </w:rPr>
      </w:pPr>
      <w:hyperlink w:anchor="_Toc135131415" w:history="1">
        <w:r w:rsidR="0006699D" w:rsidRPr="00C35F09">
          <w:rPr>
            <w:rStyle w:val="Hyperlink"/>
          </w:rPr>
          <w:t>Acknowledgements</w:t>
        </w:r>
        <w:r w:rsidR="0006699D">
          <w:rPr>
            <w:webHidden/>
          </w:rPr>
          <w:tab/>
        </w:r>
        <w:r w:rsidR="0006699D">
          <w:rPr>
            <w:webHidden/>
          </w:rPr>
          <w:fldChar w:fldCharType="begin"/>
        </w:r>
        <w:r w:rsidR="0006699D">
          <w:rPr>
            <w:webHidden/>
          </w:rPr>
          <w:instrText xml:space="preserve"> PAGEREF _Toc135131415 \h </w:instrText>
        </w:r>
        <w:r w:rsidR="0006699D">
          <w:rPr>
            <w:webHidden/>
          </w:rPr>
        </w:r>
        <w:r w:rsidR="0006699D">
          <w:rPr>
            <w:webHidden/>
          </w:rPr>
          <w:fldChar w:fldCharType="separate"/>
        </w:r>
        <w:r w:rsidR="00B63F7B">
          <w:rPr>
            <w:webHidden/>
          </w:rPr>
          <w:t>7</w:t>
        </w:r>
        <w:r w:rsidR="0006699D">
          <w:rPr>
            <w:webHidden/>
          </w:rPr>
          <w:fldChar w:fldCharType="end"/>
        </w:r>
      </w:hyperlink>
    </w:p>
    <w:p w14:paraId="0EF80820" w14:textId="6B8EC8BB" w:rsidR="0006699D" w:rsidRDefault="00000000" w:rsidP="007162C3">
      <w:pPr>
        <w:pStyle w:val="TOC1"/>
        <w:rPr>
          <w:rFonts w:eastAsiaTheme="minorEastAsia" w:cstheme="minorBidi"/>
          <w:kern w:val="2"/>
          <w14:ligatures w14:val="standardContextual"/>
        </w:rPr>
      </w:pPr>
      <w:hyperlink w:anchor="_Toc135131416" w:history="1">
        <w:r w:rsidR="0006699D" w:rsidRPr="00C35F09">
          <w:rPr>
            <w:rStyle w:val="Hyperlink"/>
          </w:rPr>
          <w:t>1.</w:t>
        </w:r>
        <w:r w:rsidR="0006699D">
          <w:rPr>
            <w:rFonts w:eastAsiaTheme="minorEastAsia" w:cstheme="minorBidi"/>
            <w:kern w:val="2"/>
            <w14:ligatures w14:val="standardContextual"/>
          </w:rPr>
          <w:tab/>
        </w:r>
        <w:r w:rsidR="0006699D" w:rsidRPr="00C35F09">
          <w:rPr>
            <w:rStyle w:val="Hyperlink"/>
          </w:rPr>
          <w:t>Introduction</w:t>
        </w:r>
        <w:r w:rsidR="0006699D">
          <w:rPr>
            <w:webHidden/>
          </w:rPr>
          <w:tab/>
        </w:r>
        <w:r w:rsidR="0006699D">
          <w:rPr>
            <w:webHidden/>
          </w:rPr>
          <w:fldChar w:fldCharType="begin"/>
        </w:r>
        <w:r w:rsidR="0006699D">
          <w:rPr>
            <w:webHidden/>
          </w:rPr>
          <w:instrText xml:space="preserve"> PAGEREF _Toc135131416 \h </w:instrText>
        </w:r>
        <w:r w:rsidR="0006699D">
          <w:rPr>
            <w:webHidden/>
          </w:rPr>
        </w:r>
        <w:r w:rsidR="0006699D">
          <w:rPr>
            <w:webHidden/>
          </w:rPr>
          <w:fldChar w:fldCharType="separate"/>
        </w:r>
        <w:r w:rsidR="00B63F7B">
          <w:rPr>
            <w:webHidden/>
          </w:rPr>
          <w:t>8</w:t>
        </w:r>
        <w:r w:rsidR="0006699D">
          <w:rPr>
            <w:webHidden/>
          </w:rPr>
          <w:fldChar w:fldCharType="end"/>
        </w:r>
      </w:hyperlink>
    </w:p>
    <w:p w14:paraId="5C5C5E2F" w14:textId="7B3DC0CF" w:rsidR="0006699D" w:rsidRPr="0006699D" w:rsidRDefault="006D04A8" w:rsidP="00396452">
      <w:pPr>
        <w:pStyle w:val="TOC2"/>
        <w:rPr>
          <w:rFonts w:eastAsiaTheme="minorEastAsia" w:cstheme="minorBidi"/>
          <w:noProof/>
          <w:kern w:val="2"/>
          <w:sz w:val="24"/>
          <w:szCs w:val="24"/>
          <w14:ligatures w14:val="standardContextual"/>
        </w:rPr>
      </w:pPr>
      <w:hyperlink w:anchor="_Toc135131417" w:history="1">
        <w:r w:rsidR="0006699D" w:rsidRPr="0006699D">
          <w:rPr>
            <w:rStyle w:val="Hyperlink"/>
            <w:b w:val="0"/>
            <w:bCs w:val="0"/>
            <w:noProof/>
            <w14:scene3d>
              <w14:camera w14:prst="orthographicFront"/>
              <w14:lightRig w14:rig="threePt" w14:dir="t">
                <w14:rot w14:lat="0" w14:lon="0" w14:rev="0"/>
              </w14:lightRig>
            </w14:scene3d>
          </w:rPr>
          <w:t>1.1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Role and purpose of the ethical guidelines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_Toc135131417 \h </w:instrText>
        </w:r>
        <w:r w:rsidR="0006699D" w:rsidRPr="0006699D">
          <w:rPr>
            <w:noProof/>
            <w:webHidden/>
          </w:rPr>
        </w:r>
        <w:r w:rsidR="0006699D" w:rsidRPr="0006699D">
          <w:rPr>
            <w:noProof/>
            <w:webHidden/>
          </w:rPr>
          <w:fldChar w:fldCharType="separate"/>
        </w:r>
        <w:r w:rsidR="00B63F7B">
          <w:rPr>
            <w:noProof/>
            <w:webHidden/>
          </w:rPr>
          <w:t>8</w:t>
        </w:r>
        <w:r w:rsidR="0006699D" w:rsidRPr="0006699D">
          <w:rPr>
            <w:noProof/>
            <w:webHidden/>
          </w:rPr>
          <w:fldChar w:fldCharType="end"/>
        </w:r>
      </w:hyperlink>
    </w:p>
    <w:p w14:paraId="5E961181" w14:textId="650654EC" w:rsidR="0006699D" w:rsidRPr="0006699D" w:rsidRDefault="006D04A8" w:rsidP="00396452">
      <w:pPr>
        <w:pStyle w:val="TOC2"/>
        <w:rPr>
          <w:rFonts w:eastAsiaTheme="minorEastAsia" w:cstheme="minorBidi"/>
          <w:noProof/>
          <w:kern w:val="2"/>
          <w:sz w:val="24"/>
          <w:szCs w:val="24"/>
          <w14:ligatures w14:val="standardContextual"/>
        </w:rPr>
      </w:pPr>
      <w:hyperlink w:anchor="_Toc135131418" w:history="1">
        <w:r w:rsidR="0006699D" w:rsidRPr="0006699D">
          <w:rPr>
            <w:rStyle w:val="Hyperlink"/>
            <w:b w:val="0"/>
            <w:bCs w:val="0"/>
            <w:noProof/>
            <w14:scene3d>
              <w14:camera w14:prst="orthographicFront"/>
              <w14:lightRig w14:rig="threePt" w14:dir="t">
                <w14:rot w14:lat="0" w14:lon="0" w14:rev="0"/>
              </w14:lightRig>
            </w14:scene3d>
          </w:rPr>
          <w:t>1.2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Scope of the guidelines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_Toc135131418 \h </w:instrText>
        </w:r>
        <w:r w:rsidR="0006699D" w:rsidRPr="0006699D">
          <w:rPr>
            <w:noProof/>
            <w:webHidden/>
          </w:rPr>
        </w:r>
        <w:r w:rsidR="0006699D" w:rsidRPr="0006699D">
          <w:rPr>
            <w:noProof/>
            <w:webHidden/>
          </w:rPr>
          <w:fldChar w:fldCharType="separate"/>
        </w:r>
        <w:r w:rsidR="00B63F7B">
          <w:rPr>
            <w:noProof/>
            <w:webHidden/>
          </w:rPr>
          <w:t>9</w:t>
        </w:r>
        <w:r w:rsidR="0006699D" w:rsidRPr="0006699D">
          <w:rPr>
            <w:noProof/>
            <w:webHidden/>
          </w:rPr>
          <w:fldChar w:fldCharType="end"/>
        </w:r>
      </w:hyperlink>
    </w:p>
    <w:p w14:paraId="3E2A794D" w14:textId="6236B1CE" w:rsidR="0006699D" w:rsidRPr="0006699D" w:rsidRDefault="006D04A8" w:rsidP="00396452">
      <w:pPr>
        <w:pStyle w:val="TOC2"/>
        <w:rPr>
          <w:rFonts w:eastAsiaTheme="minorEastAsia" w:cstheme="minorBidi"/>
          <w:noProof/>
          <w:kern w:val="2"/>
          <w:sz w:val="24"/>
          <w:szCs w:val="24"/>
          <w14:ligatures w14:val="standardContextual"/>
        </w:rPr>
      </w:pPr>
      <w:hyperlink w:anchor="_Toc135131419" w:history="1">
        <w:r w:rsidR="0006699D" w:rsidRPr="0006699D">
          <w:rPr>
            <w:rStyle w:val="Hyperlink"/>
            <w:b w:val="0"/>
            <w:bCs w:val="0"/>
            <w:noProof/>
            <w14:scene3d>
              <w14:camera w14:prst="orthographicFront"/>
              <w14:lightRig w14:rig="threePt" w14:dir="t">
                <w14:rot w14:lat="0" w14:lon="0" w14:rev="0"/>
              </w14:lightRig>
            </w14:scene3d>
          </w:rPr>
          <w:t>1.3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Development of the guidelines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_Toc135131419 \h </w:instrText>
        </w:r>
        <w:r w:rsidR="0006699D" w:rsidRPr="0006699D">
          <w:rPr>
            <w:noProof/>
            <w:webHidden/>
          </w:rPr>
        </w:r>
        <w:r w:rsidR="0006699D" w:rsidRPr="0006699D">
          <w:rPr>
            <w:noProof/>
            <w:webHidden/>
          </w:rPr>
          <w:fldChar w:fldCharType="separate"/>
        </w:r>
        <w:r w:rsidR="00B63F7B">
          <w:rPr>
            <w:noProof/>
            <w:webHidden/>
          </w:rPr>
          <w:t>10</w:t>
        </w:r>
        <w:r w:rsidR="0006699D" w:rsidRPr="0006699D">
          <w:rPr>
            <w:noProof/>
            <w:webHidden/>
          </w:rPr>
          <w:fldChar w:fldCharType="end"/>
        </w:r>
      </w:hyperlink>
    </w:p>
    <w:p w14:paraId="7E7C46FA" w14:textId="1ED912FC" w:rsidR="0006699D" w:rsidRPr="0006699D" w:rsidRDefault="006D04A8" w:rsidP="00396452">
      <w:pPr>
        <w:pStyle w:val="TOC2"/>
        <w:rPr>
          <w:rFonts w:eastAsiaTheme="minorEastAsia" w:cstheme="minorBidi"/>
          <w:noProof/>
          <w:kern w:val="2"/>
          <w:sz w:val="24"/>
          <w:szCs w:val="24"/>
          <w14:ligatures w14:val="standardContextual"/>
        </w:rPr>
      </w:pPr>
      <w:hyperlink w:anchor="_Toc135131420" w:history="1">
        <w:r w:rsidR="0006699D" w:rsidRPr="0006699D">
          <w:rPr>
            <w:rStyle w:val="Hyperlink"/>
            <w:b w:val="0"/>
            <w:bCs w:val="0"/>
            <w:noProof/>
            <w14:scene3d>
              <w14:camera w14:prst="orthographicFront"/>
              <w14:lightRig w14:rig="threePt" w14:dir="t">
                <w14:rot w14:lat="0" w14:lon="0" w14:rev="0"/>
              </w14:lightRig>
            </w14:scene3d>
          </w:rPr>
          <w:t>1.4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Structure, use, limitations and content of the guidelines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_Toc135131420 \h </w:instrText>
        </w:r>
        <w:r w:rsidR="0006699D" w:rsidRPr="0006699D">
          <w:rPr>
            <w:noProof/>
            <w:webHidden/>
          </w:rPr>
        </w:r>
        <w:r w:rsidR="0006699D" w:rsidRPr="0006699D">
          <w:rPr>
            <w:noProof/>
            <w:webHidden/>
          </w:rPr>
          <w:fldChar w:fldCharType="separate"/>
        </w:r>
        <w:r w:rsidR="00B63F7B">
          <w:rPr>
            <w:noProof/>
            <w:webHidden/>
          </w:rPr>
          <w:t>10</w:t>
        </w:r>
        <w:r w:rsidR="0006699D" w:rsidRPr="0006699D">
          <w:rPr>
            <w:noProof/>
            <w:webHidden/>
          </w:rPr>
          <w:fldChar w:fldCharType="end"/>
        </w:r>
      </w:hyperlink>
    </w:p>
    <w:p w14:paraId="00BBD405" w14:textId="3D5B698E" w:rsidR="0006699D" w:rsidRPr="0006699D" w:rsidRDefault="00000000" w:rsidP="007162C3">
      <w:pPr>
        <w:pStyle w:val="TOC1"/>
        <w:rPr>
          <w:rFonts w:eastAsiaTheme="minorEastAsia" w:cstheme="minorBidi"/>
          <w:kern w:val="2"/>
          <w14:ligatures w14:val="standardContextual"/>
        </w:rPr>
      </w:pPr>
      <w:hyperlink w:anchor="_Toc135131421" w:history="1">
        <w:r w:rsidR="0006699D" w:rsidRPr="0006699D">
          <w:rPr>
            <w:rStyle w:val="Hyperlink"/>
          </w:rPr>
          <w:t>2.</w:t>
        </w:r>
        <w:r w:rsidR="0006699D" w:rsidRPr="0006699D">
          <w:rPr>
            <w:rFonts w:eastAsiaTheme="minorEastAsia" w:cstheme="minorBidi"/>
            <w:kern w:val="2"/>
            <w14:ligatures w14:val="standardContextual"/>
          </w:rPr>
          <w:tab/>
        </w:r>
        <w:r w:rsidR="0006699D" w:rsidRPr="0006699D">
          <w:rPr>
            <w:rStyle w:val="Hyperlink"/>
          </w:rPr>
          <w:t>Overview of cell, tissue, and organ donation and transplantation in Australia</w:t>
        </w:r>
        <w:r w:rsidR="0006699D" w:rsidRPr="0006699D">
          <w:rPr>
            <w:webHidden/>
          </w:rPr>
          <w:tab/>
        </w:r>
        <w:r w:rsidR="0006699D" w:rsidRPr="0006699D">
          <w:rPr>
            <w:webHidden/>
          </w:rPr>
          <w:fldChar w:fldCharType="begin"/>
        </w:r>
        <w:r w:rsidR="0006699D" w:rsidRPr="0006699D">
          <w:rPr>
            <w:webHidden/>
          </w:rPr>
          <w:instrText xml:space="preserve"> PAGEREF _Toc135131421 \h </w:instrText>
        </w:r>
        <w:r w:rsidR="0006699D" w:rsidRPr="0006699D">
          <w:rPr>
            <w:webHidden/>
          </w:rPr>
        </w:r>
        <w:r w:rsidR="0006699D" w:rsidRPr="0006699D">
          <w:rPr>
            <w:webHidden/>
          </w:rPr>
          <w:fldChar w:fldCharType="separate"/>
        </w:r>
        <w:r w:rsidR="00B63F7B">
          <w:rPr>
            <w:webHidden/>
          </w:rPr>
          <w:t>14</w:t>
        </w:r>
        <w:r w:rsidR="0006699D" w:rsidRPr="0006699D">
          <w:rPr>
            <w:webHidden/>
          </w:rPr>
          <w:fldChar w:fldCharType="end"/>
        </w:r>
      </w:hyperlink>
    </w:p>
    <w:p w14:paraId="40C16635" w14:textId="04553C12" w:rsidR="0006699D" w:rsidRPr="0006699D" w:rsidRDefault="00000000" w:rsidP="00396452">
      <w:pPr>
        <w:pStyle w:val="TOC2"/>
        <w:rPr>
          <w:rFonts w:eastAsiaTheme="minorEastAsia" w:cstheme="minorBidi"/>
          <w:noProof/>
          <w:kern w:val="2"/>
          <w:sz w:val="24"/>
          <w:szCs w:val="24"/>
          <w14:ligatures w14:val="standardContextual"/>
        </w:rPr>
      </w:pPr>
      <w:hyperlink w:anchor="_Toc135131422" w:history="1">
        <w:r w:rsidR="0006699D" w:rsidRPr="0006699D">
          <w:rPr>
            <w:rStyle w:val="Hyperlink"/>
            <w:b w:val="0"/>
            <w:bCs w:val="0"/>
            <w:noProof/>
            <w14:scene3d>
              <w14:camera w14:prst="orthographicFront"/>
              <w14:lightRig w14:rig="threePt" w14:dir="t">
                <w14:rot w14:lat="0" w14:lon="0" w14:rev="0"/>
              </w14:lightRig>
            </w14:scene3d>
          </w:rPr>
          <w:t>2.1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Types of cell, tissue, and organ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_Toc135131422 \h </w:instrText>
        </w:r>
        <w:r w:rsidR="0006699D" w:rsidRPr="0006699D">
          <w:rPr>
            <w:noProof/>
            <w:webHidden/>
          </w:rPr>
        </w:r>
        <w:r w:rsidR="0006699D" w:rsidRPr="0006699D">
          <w:rPr>
            <w:noProof/>
            <w:webHidden/>
          </w:rPr>
          <w:fldChar w:fldCharType="separate"/>
        </w:r>
        <w:r w:rsidR="00B63F7B">
          <w:rPr>
            <w:noProof/>
            <w:webHidden/>
          </w:rPr>
          <w:t>14</w:t>
        </w:r>
        <w:r w:rsidR="0006699D" w:rsidRPr="0006699D">
          <w:rPr>
            <w:noProof/>
            <w:webHidden/>
          </w:rPr>
          <w:fldChar w:fldCharType="end"/>
        </w:r>
      </w:hyperlink>
    </w:p>
    <w:p w14:paraId="567AE768" w14:textId="524386A4" w:rsidR="0006699D" w:rsidRPr="0006699D" w:rsidRDefault="00000000" w:rsidP="00396452">
      <w:pPr>
        <w:pStyle w:val="TOC2"/>
        <w:rPr>
          <w:rFonts w:eastAsiaTheme="minorEastAsia" w:cstheme="minorBidi"/>
          <w:noProof/>
          <w:kern w:val="2"/>
          <w:sz w:val="24"/>
          <w:szCs w:val="24"/>
          <w14:ligatures w14:val="standardContextual"/>
        </w:rPr>
      </w:pPr>
      <w:hyperlink w:anchor="_Toc135131423" w:history="1">
        <w:r w:rsidR="0006699D" w:rsidRPr="0006699D">
          <w:rPr>
            <w:rStyle w:val="Hyperlink"/>
            <w:b w:val="0"/>
            <w:bCs w:val="0"/>
            <w:noProof/>
            <w14:scene3d>
              <w14:camera w14:prst="orthographicFront"/>
              <w14:lightRig w14:rig="threePt" w14:dir="t">
                <w14:rot w14:lat="0" w14:lon="0" w14:rev="0"/>
              </w14:lightRig>
            </w14:scene3d>
          </w:rPr>
          <w:t>2.2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Legislation and clinical guidelines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_Toc135131423 \h </w:instrText>
        </w:r>
        <w:r w:rsidR="0006699D" w:rsidRPr="0006699D">
          <w:rPr>
            <w:noProof/>
            <w:webHidden/>
          </w:rPr>
        </w:r>
        <w:r w:rsidR="0006699D" w:rsidRPr="0006699D">
          <w:rPr>
            <w:noProof/>
            <w:webHidden/>
          </w:rPr>
          <w:fldChar w:fldCharType="separate"/>
        </w:r>
        <w:r w:rsidR="00B63F7B">
          <w:rPr>
            <w:noProof/>
            <w:webHidden/>
          </w:rPr>
          <w:t>16</w:t>
        </w:r>
        <w:r w:rsidR="0006699D" w:rsidRPr="0006699D">
          <w:rPr>
            <w:noProof/>
            <w:webHidden/>
          </w:rPr>
          <w:fldChar w:fldCharType="end"/>
        </w:r>
      </w:hyperlink>
    </w:p>
    <w:p w14:paraId="440C5227" w14:textId="70966C63" w:rsidR="0006699D" w:rsidRPr="0006699D" w:rsidRDefault="00000000" w:rsidP="00396452">
      <w:pPr>
        <w:pStyle w:val="TOC2"/>
        <w:rPr>
          <w:rFonts w:eastAsiaTheme="minorEastAsia" w:cstheme="minorBidi"/>
          <w:noProof/>
          <w:kern w:val="2"/>
          <w:sz w:val="24"/>
          <w:szCs w:val="24"/>
          <w14:ligatures w14:val="standardContextual"/>
        </w:rPr>
      </w:pPr>
      <w:hyperlink w:anchor="_Toc135131424" w:history="1">
        <w:r w:rsidR="0006699D" w:rsidRPr="0006699D">
          <w:rPr>
            <w:rStyle w:val="Hyperlink"/>
            <w:b w:val="0"/>
            <w:bCs w:val="0"/>
            <w:noProof/>
            <w14:scene3d>
              <w14:camera w14:prst="orthographicFront"/>
              <w14:lightRig w14:rig="threePt" w14:dir="t">
                <w14:rot w14:lat="0" w14:lon="0" w14:rev="0"/>
              </w14:lightRig>
            </w14:scene3d>
          </w:rPr>
          <w:t>2.3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Organisations and agencies involved in donation and transplantation in Australia</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_Toc135131424 \h </w:instrText>
        </w:r>
        <w:r w:rsidR="0006699D" w:rsidRPr="0006699D">
          <w:rPr>
            <w:noProof/>
            <w:webHidden/>
          </w:rPr>
        </w:r>
        <w:r w:rsidR="0006699D" w:rsidRPr="0006699D">
          <w:rPr>
            <w:noProof/>
            <w:webHidden/>
          </w:rPr>
          <w:fldChar w:fldCharType="separate"/>
        </w:r>
        <w:r w:rsidR="00B63F7B">
          <w:rPr>
            <w:noProof/>
            <w:webHidden/>
          </w:rPr>
          <w:t>17</w:t>
        </w:r>
        <w:r w:rsidR="0006699D" w:rsidRPr="0006699D">
          <w:rPr>
            <w:noProof/>
            <w:webHidden/>
          </w:rPr>
          <w:fldChar w:fldCharType="end"/>
        </w:r>
      </w:hyperlink>
    </w:p>
    <w:p w14:paraId="27B8860D" w14:textId="1A10784F" w:rsidR="0006699D" w:rsidRPr="0006699D" w:rsidRDefault="00000000" w:rsidP="00396452">
      <w:pPr>
        <w:pStyle w:val="TOC2"/>
        <w:rPr>
          <w:rFonts w:eastAsiaTheme="minorEastAsia" w:cstheme="minorBidi"/>
          <w:noProof/>
          <w:kern w:val="2"/>
          <w:sz w:val="24"/>
          <w:szCs w:val="24"/>
          <w14:ligatures w14:val="standardContextual"/>
        </w:rPr>
      </w:pPr>
      <w:hyperlink w:anchor="_Toc135131425" w:history="1">
        <w:r w:rsidR="0006699D" w:rsidRPr="0006699D">
          <w:rPr>
            <w:rStyle w:val="Hyperlink"/>
            <w:b w:val="0"/>
            <w:bCs w:val="0"/>
            <w:noProof/>
            <w14:scene3d>
              <w14:camera w14:prst="orthographicFront"/>
              <w14:lightRig w14:rig="threePt" w14:dir="t">
                <w14:rot w14:lat="0" w14:lon="0" w14:rev="0"/>
              </w14:lightRig>
            </w14:scene3d>
          </w:rPr>
          <w:t>2.4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Pathways to deceased donation and determination of death</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_Toc135131425 \h </w:instrText>
        </w:r>
        <w:r w:rsidR="0006699D" w:rsidRPr="0006699D">
          <w:rPr>
            <w:noProof/>
            <w:webHidden/>
          </w:rPr>
        </w:r>
        <w:r w:rsidR="0006699D" w:rsidRPr="0006699D">
          <w:rPr>
            <w:noProof/>
            <w:webHidden/>
          </w:rPr>
          <w:fldChar w:fldCharType="separate"/>
        </w:r>
        <w:r w:rsidR="00B63F7B">
          <w:rPr>
            <w:noProof/>
            <w:webHidden/>
          </w:rPr>
          <w:t>21</w:t>
        </w:r>
        <w:r w:rsidR="0006699D" w:rsidRPr="0006699D">
          <w:rPr>
            <w:noProof/>
            <w:webHidden/>
          </w:rPr>
          <w:fldChar w:fldCharType="end"/>
        </w:r>
      </w:hyperlink>
    </w:p>
    <w:p w14:paraId="6CFB5911" w14:textId="3E0B9503" w:rsidR="0006699D" w:rsidRPr="0006699D" w:rsidRDefault="00000000" w:rsidP="00396452">
      <w:pPr>
        <w:pStyle w:val="TOC2"/>
        <w:rPr>
          <w:rFonts w:eastAsiaTheme="minorEastAsia" w:cstheme="minorBidi"/>
          <w:noProof/>
          <w:kern w:val="2"/>
          <w:sz w:val="24"/>
          <w:szCs w:val="24"/>
          <w14:ligatures w14:val="standardContextual"/>
        </w:rPr>
      </w:pPr>
      <w:hyperlink w:anchor="_Toc135131426" w:history="1">
        <w:r w:rsidR="0006699D" w:rsidRPr="0006699D">
          <w:rPr>
            <w:rStyle w:val="Hyperlink"/>
            <w:b w:val="0"/>
            <w:bCs w:val="0"/>
            <w:noProof/>
            <w14:scene3d>
              <w14:camera w14:prst="orthographicFront"/>
              <w14:lightRig w14:rig="threePt" w14:dir="t">
                <w14:rot w14:lat="0" w14:lon="0" w14:rev="0"/>
              </w14:lightRig>
            </w14:scene3d>
          </w:rPr>
          <w:t>2.5</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Key steps in the process of deceased donation of organs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_Toc135131426 \h </w:instrText>
        </w:r>
        <w:r w:rsidR="0006699D" w:rsidRPr="0006699D">
          <w:rPr>
            <w:noProof/>
            <w:webHidden/>
          </w:rPr>
        </w:r>
        <w:r w:rsidR="0006699D" w:rsidRPr="0006699D">
          <w:rPr>
            <w:noProof/>
            <w:webHidden/>
          </w:rPr>
          <w:fldChar w:fldCharType="separate"/>
        </w:r>
        <w:r w:rsidR="00B63F7B">
          <w:rPr>
            <w:noProof/>
            <w:webHidden/>
          </w:rPr>
          <w:t>23</w:t>
        </w:r>
        <w:r w:rsidR="0006699D" w:rsidRPr="0006699D">
          <w:rPr>
            <w:noProof/>
            <w:webHidden/>
          </w:rPr>
          <w:fldChar w:fldCharType="end"/>
        </w:r>
      </w:hyperlink>
    </w:p>
    <w:p w14:paraId="0194D1CC" w14:textId="58156D3E" w:rsidR="0006699D" w:rsidRPr="0006699D" w:rsidRDefault="00000000" w:rsidP="00396452">
      <w:pPr>
        <w:pStyle w:val="TOC2"/>
        <w:rPr>
          <w:rFonts w:eastAsiaTheme="minorEastAsia" w:cstheme="minorBidi"/>
          <w:noProof/>
          <w:kern w:val="2"/>
          <w:sz w:val="24"/>
          <w:szCs w:val="24"/>
          <w14:ligatures w14:val="standardContextual"/>
        </w:rPr>
      </w:pPr>
      <w:hyperlink w:anchor="_Toc135131427" w:history="1">
        <w:r w:rsidR="0006699D" w:rsidRPr="0006699D">
          <w:rPr>
            <w:rStyle w:val="Hyperlink"/>
            <w:b w:val="0"/>
            <w:bCs w:val="0"/>
            <w:noProof/>
            <w14:scene3d>
              <w14:camera w14:prst="orthographicFront"/>
              <w14:lightRig w14:rig="threePt" w14:dir="t">
                <w14:rot w14:lat="0" w14:lon="0" w14:rev="0"/>
              </w14:lightRig>
            </w14:scene3d>
          </w:rPr>
          <w:t>2.6</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Assessment for organ transplant waiting list</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_Toc135131427 \h </w:instrText>
        </w:r>
        <w:r w:rsidR="0006699D" w:rsidRPr="0006699D">
          <w:rPr>
            <w:noProof/>
            <w:webHidden/>
          </w:rPr>
        </w:r>
        <w:r w:rsidR="0006699D" w:rsidRPr="0006699D">
          <w:rPr>
            <w:noProof/>
            <w:webHidden/>
          </w:rPr>
          <w:fldChar w:fldCharType="separate"/>
        </w:r>
        <w:r w:rsidR="00B63F7B">
          <w:rPr>
            <w:noProof/>
            <w:webHidden/>
          </w:rPr>
          <w:t>29</w:t>
        </w:r>
        <w:r w:rsidR="0006699D" w:rsidRPr="0006699D">
          <w:rPr>
            <w:noProof/>
            <w:webHidden/>
          </w:rPr>
          <w:fldChar w:fldCharType="end"/>
        </w:r>
      </w:hyperlink>
    </w:p>
    <w:p w14:paraId="454132E3" w14:textId="0B4A6D9F" w:rsidR="0006699D" w:rsidRPr="0006699D" w:rsidRDefault="00000000" w:rsidP="00396452">
      <w:pPr>
        <w:pStyle w:val="TOC2"/>
        <w:rPr>
          <w:rFonts w:eastAsiaTheme="minorEastAsia" w:cstheme="minorBidi"/>
          <w:noProof/>
          <w:kern w:val="2"/>
          <w:sz w:val="24"/>
          <w:szCs w:val="24"/>
          <w14:ligatures w14:val="standardContextual"/>
        </w:rPr>
      </w:pPr>
      <w:hyperlink w:anchor="_Toc135131428" w:history="1">
        <w:r w:rsidR="0006699D" w:rsidRPr="0006699D">
          <w:rPr>
            <w:rStyle w:val="Hyperlink"/>
            <w:b w:val="0"/>
            <w:bCs w:val="0"/>
            <w:noProof/>
            <w14:scene3d>
              <w14:camera w14:prst="orthographicFront"/>
              <w14:lightRig w14:rig="threePt" w14:dir="t">
                <w14:rot w14:lat="0" w14:lon="0" w14:rev="0"/>
              </w14:lightRig>
            </w14:scene3d>
          </w:rPr>
          <w:t>2.7</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Key steps in the process of deceased donation of tissues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_Toc135131428 \h </w:instrText>
        </w:r>
        <w:r w:rsidR="0006699D" w:rsidRPr="0006699D">
          <w:rPr>
            <w:noProof/>
            <w:webHidden/>
          </w:rPr>
        </w:r>
        <w:r w:rsidR="0006699D" w:rsidRPr="0006699D">
          <w:rPr>
            <w:noProof/>
            <w:webHidden/>
          </w:rPr>
          <w:fldChar w:fldCharType="separate"/>
        </w:r>
        <w:r w:rsidR="00B63F7B">
          <w:rPr>
            <w:noProof/>
            <w:webHidden/>
          </w:rPr>
          <w:t>30</w:t>
        </w:r>
        <w:r w:rsidR="0006699D" w:rsidRPr="0006699D">
          <w:rPr>
            <w:noProof/>
            <w:webHidden/>
          </w:rPr>
          <w:fldChar w:fldCharType="end"/>
        </w:r>
      </w:hyperlink>
    </w:p>
    <w:p w14:paraId="7149F5A5" w14:textId="067E73A3" w:rsidR="0006699D" w:rsidRPr="0006699D" w:rsidRDefault="00000000" w:rsidP="00396452">
      <w:pPr>
        <w:pStyle w:val="TOC2"/>
        <w:rPr>
          <w:rFonts w:eastAsiaTheme="minorEastAsia" w:cstheme="minorBidi"/>
          <w:noProof/>
          <w:kern w:val="2"/>
          <w:sz w:val="24"/>
          <w:szCs w:val="24"/>
          <w14:ligatures w14:val="standardContextual"/>
        </w:rPr>
      </w:pPr>
      <w:hyperlink w:anchor="_Toc135131429" w:history="1">
        <w:r w:rsidR="0006699D" w:rsidRPr="0006699D">
          <w:rPr>
            <w:rStyle w:val="Hyperlink"/>
            <w:b w:val="0"/>
            <w:bCs w:val="0"/>
            <w:noProof/>
            <w14:scene3d>
              <w14:camera w14:prst="orthographicFront"/>
              <w14:lightRig w14:rig="threePt" w14:dir="t">
                <w14:rot w14:lat="0" w14:lon="0" w14:rev="0"/>
              </w14:lightRig>
            </w14:scene3d>
          </w:rPr>
          <w:t>2.8</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Living donation of cells, tissues and organs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_Toc135131429 \h </w:instrText>
        </w:r>
        <w:r w:rsidR="0006699D" w:rsidRPr="0006699D">
          <w:rPr>
            <w:noProof/>
            <w:webHidden/>
          </w:rPr>
        </w:r>
        <w:r w:rsidR="0006699D" w:rsidRPr="0006699D">
          <w:rPr>
            <w:noProof/>
            <w:webHidden/>
          </w:rPr>
          <w:fldChar w:fldCharType="separate"/>
        </w:r>
        <w:r w:rsidR="00B63F7B">
          <w:rPr>
            <w:noProof/>
            <w:webHidden/>
          </w:rPr>
          <w:t>32</w:t>
        </w:r>
        <w:r w:rsidR="0006699D" w:rsidRPr="0006699D">
          <w:rPr>
            <w:noProof/>
            <w:webHidden/>
          </w:rPr>
          <w:fldChar w:fldCharType="end"/>
        </w:r>
      </w:hyperlink>
    </w:p>
    <w:p w14:paraId="3D61B5AD" w14:textId="3C81D83D" w:rsidR="0006699D" w:rsidRPr="0006699D" w:rsidRDefault="00000000" w:rsidP="00396452">
      <w:pPr>
        <w:pStyle w:val="TOC2"/>
        <w:rPr>
          <w:rFonts w:eastAsiaTheme="minorEastAsia" w:cstheme="minorBidi"/>
          <w:noProof/>
          <w:kern w:val="2"/>
          <w:sz w:val="24"/>
          <w:szCs w:val="24"/>
          <w14:ligatures w14:val="standardContextual"/>
        </w:rPr>
      </w:pPr>
      <w:hyperlink w:anchor="_Toc135131430" w:history="1">
        <w:r w:rsidR="0006699D" w:rsidRPr="0006699D">
          <w:rPr>
            <w:rStyle w:val="Hyperlink"/>
            <w:b w:val="0"/>
            <w:bCs w:val="0"/>
            <w:noProof/>
            <w14:scene3d>
              <w14:camera w14:prst="orthographicFront"/>
              <w14:lightRig w14:rig="threePt" w14:dir="t">
                <w14:rot w14:lat="0" w14:lon="0" w14:rev="0"/>
              </w14:lightRig>
            </w14:scene3d>
          </w:rPr>
          <w:t>2.9</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Monitoring and evaluation of donation and transplantation activities and outcomes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_Toc135131430 \h </w:instrText>
        </w:r>
        <w:r w:rsidR="0006699D" w:rsidRPr="0006699D">
          <w:rPr>
            <w:noProof/>
            <w:webHidden/>
          </w:rPr>
        </w:r>
        <w:r w:rsidR="0006699D" w:rsidRPr="0006699D">
          <w:rPr>
            <w:noProof/>
            <w:webHidden/>
          </w:rPr>
          <w:fldChar w:fldCharType="separate"/>
        </w:r>
        <w:r w:rsidR="00B63F7B">
          <w:rPr>
            <w:noProof/>
            <w:webHidden/>
          </w:rPr>
          <w:t>36</w:t>
        </w:r>
        <w:r w:rsidR="0006699D" w:rsidRPr="0006699D">
          <w:rPr>
            <w:noProof/>
            <w:webHidden/>
          </w:rPr>
          <w:fldChar w:fldCharType="end"/>
        </w:r>
      </w:hyperlink>
    </w:p>
    <w:p w14:paraId="688375B4" w14:textId="3C930AE3" w:rsidR="0006699D" w:rsidRPr="0006699D" w:rsidRDefault="00000000" w:rsidP="007162C3">
      <w:pPr>
        <w:pStyle w:val="TOC1"/>
        <w:rPr>
          <w:rFonts w:eastAsiaTheme="minorEastAsia" w:cstheme="minorBidi"/>
          <w:kern w:val="2"/>
          <w14:ligatures w14:val="standardContextual"/>
        </w:rPr>
      </w:pPr>
      <w:hyperlink w:anchor="_Toc135131431" w:history="1">
        <w:r w:rsidR="0006699D" w:rsidRPr="0006699D">
          <w:rPr>
            <w:rStyle w:val="Hyperlink"/>
          </w:rPr>
          <w:t>3.</w:t>
        </w:r>
        <w:r w:rsidR="0006699D" w:rsidRPr="0006699D">
          <w:rPr>
            <w:rFonts w:eastAsiaTheme="minorEastAsia" w:cstheme="minorBidi"/>
            <w:kern w:val="2"/>
            <w14:ligatures w14:val="standardContextual"/>
          </w:rPr>
          <w:tab/>
        </w:r>
        <w:r w:rsidR="0006699D" w:rsidRPr="0006699D">
          <w:rPr>
            <w:rStyle w:val="Hyperlink"/>
          </w:rPr>
          <w:t>Ethical foundations of donation and transplantation in Australia</w:t>
        </w:r>
        <w:r w:rsidR="0006699D" w:rsidRPr="0006699D">
          <w:rPr>
            <w:webHidden/>
          </w:rPr>
          <w:tab/>
        </w:r>
        <w:r w:rsidR="0006699D" w:rsidRPr="0006699D">
          <w:rPr>
            <w:webHidden/>
          </w:rPr>
          <w:fldChar w:fldCharType="begin"/>
        </w:r>
        <w:r w:rsidR="0006699D" w:rsidRPr="0006699D">
          <w:rPr>
            <w:webHidden/>
          </w:rPr>
          <w:instrText xml:space="preserve"> PAGEREF _Toc135131431 \h </w:instrText>
        </w:r>
        <w:r w:rsidR="0006699D" w:rsidRPr="0006699D">
          <w:rPr>
            <w:webHidden/>
          </w:rPr>
        </w:r>
        <w:r w:rsidR="0006699D" w:rsidRPr="0006699D">
          <w:rPr>
            <w:webHidden/>
          </w:rPr>
          <w:fldChar w:fldCharType="separate"/>
        </w:r>
        <w:r w:rsidR="00B63F7B">
          <w:rPr>
            <w:webHidden/>
          </w:rPr>
          <w:t>39</w:t>
        </w:r>
        <w:r w:rsidR="0006699D" w:rsidRPr="0006699D">
          <w:rPr>
            <w:webHidden/>
          </w:rPr>
          <w:fldChar w:fldCharType="end"/>
        </w:r>
      </w:hyperlink>
    </w:p>
    <w:p w14:paraId="16475BA7" w14:textId="03FC211B" w:rsidR="0006699D" w:rsidRPr="0006699D" w:rsidRDefault="00000000" w:rsidP="00396452">
      <w:pPr>
        <w:pStyle w:val="TOC2"/>
        <w:rPr>
          <w:rFonts w:eastAsiaTheme="minorEastAsia" w:cstheme="minorBidi"/>
          <w:noProof/>
          <w:kern w:val="2"/>
          <w:sz w:val="24"/>
          <w:szCs w:val="24"/>
          <w14:ligatures w14:val="standardContextual"/>
        </w:rPr>
      </w:pPr>
      <w:hyperlink w:anchor="_Toc135131432" w:history="1">
        <w:r w:rsidR="0006699D" w:rsidRPr="0006699D">
          <w:rPr>
            <w:rStyle w:val="Hyperlink"/>
            <w:b w:val="0"/>
            <w:bCs w:val="0"/>
            <w:noProof/>
            <w14:scene3d>
              <w14:camera w14:prst="orthographicFront"/>
              <w14:lightRig w14:rig="threePt" w14:dir="t">
                <w14:rot w14:lat="0" w14:lon="0" w14:rev="0"/>
              </w14:lightRig>
            </w14:scene3d>
          </w:rPr>
          <w:t>3.1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Ethical values and principles guiding cell, tissue and organ donation and transplantation in Australia</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_Toc135131432 \h </w:instrText>
        </w:r>
        <w:r w:rsidR="0006699D" w:rsidRPr="0006699D">
          <w:rPr>
            <w:noProof/>
            <w:webHidden/>
          </w:rPr>
        </w:r>
        <w:r w:rsidR="0006699D" w:rsidRPr="0006699D">
          <w:rPr>
            <w:noProof/>
            <w:webHidden/>
          </w:rPr>
          <w:fldChar w:fldCharType="separate"/>
        </w:r>
        <w:r w:rsidR="00B63F7B">
          <w:rPr>
            <w:noProof/>
            <w:webHidden/>
          </w:rPr>
          <w:t>39</w:t>
        </w:r>
        <w:r w:rsidR="0006699D" w:rsidRPr="0006699D">
          <w:rPr>
            <w:noProof/>
            <w:webHidden/>
          </w:rPr>
          <w:fldChar w:fldCharType="end"/>
        </w:r>
      </w:hyperlink>
    </w:p>
    <w:p w14:paraId="4A93C04D" w14:textId="5238BE6A" w:rsidR="0006699D" w:rsidRPr="0006699D" w:rsidRDefault="00000000" w:rsidP="00396452">
      <w:pPr>
        <w:pStyle w:val="TOC2"/>
        <w:rPr>
          <w:rFonts w:eastAsiaTheme="minorEastAsia" w:cstheme="minorBidi"/>
          <w:noProof/>
          <w:kern w:val="2"/>
          <w:sz w:val="24"/>
          <w:szCs w:val="24"/>
          <w14:ligatures w14:val="standardContextual"/>
        </w:rPr>
      </w:pPr>
      <w:hyperlink w:anchor="_Toc135131433" w:history="1">
        <w:r w:rsidR="0006699D" w:rsidRPr="0006699D">
          <w:rPr>
            <w:rStyle w:val="Hyperlink"/>
            <w:b w:val="0"/>
            <w:bCs w:val="0"/>
            <w:noProof/>
            <w14:scene3d>
              <w14:camera w14:prst="orthographicFront"/>
              <w14:lightRig w14:rig="threePt" w14:dir="t">
                <w14:rot w14:lat="0" w14:lon="0" w14:rev="0"/>
              </w14:lightRig>
            </w14:scene3d>
          </w:rPr>
          <w:t>3.2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Values underpinning donation and transplantation activities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_Toc135131433 \h </w:instrText>
        </w:r>
        <w:r w:rsidR="0006699D" w:rsidRPr="0006699D">
          <w:rPr>
            <w:noProof/>
            <w:webHidden/>
          </w:rPr>
        </w:r>
        <w:r w:rsidR="0006699D" w:rsidRPr="0006699D">
          <w:rPr>
            <w:noProof/>
            <w:webHidden/>
          </w:rPr>
          <w:fldChar w:fldCharType="separate"/>
        </w:r>
        <w:r w:rsidR="00B63F7B">
          <w:rPr>
            <w:noProof/>
            <w:webHidden/>
          </w:rPr>
          <w:t>41</w:t>
        </w:r>
        <w:r w:rsidR="0006699D" w:rsidRPr="0006699D">
          <w:rPr>
            <w:noProof/>
            <w:webHidden/>
          </w:rPr>
          <w:fldChar w:fldCharType="end"/>
        </w:r>
      </w:hyperlink>
    </w:p>
    <w:p w14:paraId="21453160" w14:textId="6C9929C3" w:rsidR="0006699D" w:rsidRPr="0006699D" w:rsidRDefault="00000000" w:rsidP="00396452">
      <w:pPr>
        <w:pStyle w:val="TOC2"/>
        <w:rPr>
          <w:rFonts w:eastAsiaTheme="minorEastAsia" w:cstheme="minorBidi"/>
          <w:noProof/>
          <w:kern w:val="2"/>
          <w:sz w:val="24"/>
          <w:szCs w:val="24"/>
          <w14:ligatures w14:val="standardContextual"/>
        </w:rPr>
      </w:pPr>
      <w:hyperlink w:anchor="_Toc135131434" w:history="1">
        <w:r w:rsidR="0006699D" w:rsidRPr="0006699D">
          <w:rPr>
            <w:rStyle w:val="Hyperlink"/>
            <w:b w:val="0"/>
            <w:bCs w:val="0"/>
            <w:noProof/>
            <w14:scene3d>
              <w14:camera w14:prst="orthographicFront"/>
              <w14:lightRig w14:rig="threePt" w14:dir="t">
                <w14:rot w14:lat="0" w14:lon="0" w14:rev="0"/>
              </w14:lightRig>
            </w14:scene3d>
          </w:rPr>
          <w:t>3.3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Principles guiding donation and transplantation activities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_Toc135131434 \h </w:instrText>
        </w:r>
        <w:r w:rsidR="0006699D" w:rsidRPr="0006699D">
          <w:rPr>
            <w:noProof/>
            <w:webHidden/>
          </w:rPr>
        </w:r>
        <w:r w:rsidR="0006699D" w:rsidRPr="0006699D">
          <w:rPr>
            <w:noProof/>
            <w:webHidden/>
          </w:rPr>
          <w:fldChar w:fldCharType="separate"/>
        </w:r>
        <w:r w:rsidR="00B63F7B">
          <w:rPr>
            <w:noProof/>
            <w:webHidden/>
          </w:rPr>
          <w:t>45</w:t>
        </w:r>
        <w:r w:rsidR="0006699D" w:rsidRPr="0006699D">
          <w:rPr>
            <w:noProof/>
            <w:webHidden/>
          </w:rPr>
          <w:fldChar w:fldCharType="end"/>
        </w:r>
      </w:hyperlink>
    </w:p>
    <w:p w14:paraId="7683FCD3" w14:textId="291FC340" w:rsidR="0006699D" w:rsidRPr="0006699D" w:rsidRDefault="00000000" w:rsidP="00396452">
      <w:pPr>
        <w:pStyle w:val="TOC2"/>
        <w:rPr>
          <w:rFonts w:eastAsiaTheme="minorEastAsia" w:cstheme="minorBidi"/>
          <w:noProof/>
          <w:kern w:val="2"/>
          <w:sz w:val="24"/>
          <w:szCs w:val="24"/>
          <w14:ligatures w14:val="standardContextual"/>
        </w:rPr>
      </w:pPr>
      <w:hyperlink w:anchor="_Toc135131435" w:history="1">
        <w:r w:rsidR="0006699D" w:rsidRPr="0006699D">
          <w:rPr>
            <w:rStyle w:val="Hyperlink"/>
            <w:b w:val="0"/>
            <w:bCs w:val="0"/>
            <w:noProof/>
            <w14:scene3d>
              <w14:camera w14:prst="orthographicFront"/>
              <w14:lightRig w14:rig="threePt" w14:dir="t">
                <w14:rot w14:lat="0" w14:lon="0" w14:rev="0"/>
              </w14:lightRig>
            </w14:scene3d>
          </w:rPr>
          <w:t>3.4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Approach to ethical decision-making</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_Toc135131435 \h </w:instrText>
        </w:r>
        <w:r w:rsidR="0006699D" w:rsidRPr="0006699D">
          <w:rPr>
            <w:noProof/>
            <w:webHidden/>
          </w:rPr>
        </w:r>
        <w:r w:rsidR="0006699D" w:rsidRPr="0006699D">
          <w:rPr>
            <w:noProof/>
            <w:webHidden/>
          </w:rPr>
          <w:fldChar w:fldCharType="separate"/>
        </w:r>
        <w:r w:rsidR="00B63F7B">
          <w:rPr>
            <w:noProof/>
            <w:webHidden/>
          </w:rPr>
          <w:t>50</w:t>
        </w:r>
        <w:r w:rsidR="0006699D" w:rsidRPr="0006699D">
          <w:rPr>
            <w:noProof/>
            <w:webHidden/>
          </w:rPr>
          <w:fldChar w:fldCharType="end"/>
        </w:r>
      </w:hyperlink>
    </w:p>
    <w:p w14:paraId="40871966" w14:textId="7CFEF8E6" w:rsidR="0006699D" w:rsidRPr="0006699D" w:rsidRDefault="00000000" w:rsidP="00396452">
      <w:pPr>
        <w:pStyle w:val="TOC2"/>
        <w:rPr>
          <w:rFonts w:eastAsiaTheme="minorEastAsia" w:cstheme="minorBidi"/>
          <w:noProof/>
          <w:kern w:val="2"/>
          <w:sz w:val="24"/>
          <w:szCs w:val="24"/>
          <w14:ligatures w14:val="standardContextual"/>
        </w:rPr>
      </w:pPr>
      <w:hyperlink w:anchor="_Toc135131436" w:history="1">
        <w:r w:rsidR="0006699D" w:rsidRPr="0006699D">
          <w:rPr>
            <w:rStyle w:val="Hyperlink"/>
            <w:b w:val="0"/>
            <w:bCs w:val="0"/>
            <w:noProof/>
            <w14:scene3d>
              <w14:camera w14:prst="orthographicFront"/>
              <w14:lightRig w14:rig="threePt" w14:dir="t">
                <w14:rot w14:lat="0" w14:lon="0" w14:rev="0"/>
              </w14:lightRig>
            </w14:scene3d>
          </w:rPr>
          <w:t>3.5</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Laws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_Toc135131436 \h </w:instrText>
        </w:r>
        <w:r w:rsidR="0006699D" w:rsidRPr="0006699D">
          <w:rPr>
            <w:noProof/>
            <w:webHidden/>
          </w:rPr>
        </w:r>
        <w:r w:rsidR="0006699D" w:rsidRPr="0006699D">
          <w:rPr>
            <w:noProof/>
            <w:webHidden/>
          </w:rPr>
          <w:fldChar w:fldCharType="separate"/>
        </w:r>
        <w:r w:rsidR="00B63F7B">
          <w:rPr>
            <w:noProof/>
            <w:webHidden/>
          </w:rPr>
          <w:t>55</w:t>
        </w:r>
        <w:r w:rsidR="0006699D" w:rsidRPr="0006699D">
          <w:rPr>
            <w:noProof/>
            <w:webHidden/>
          </w:rPr>
          <w:fldChar w:fldCharType="end"/>
        </w:r>
      </w:hyperlink>
    </w:p>
    <w:p w14:paraId="19E62384" w14:textId="71DEE5D6" w:rsidR="0006699D" w:rsidRPr="0006699D" w:rsidRDefault="00000000" w:rsidP="00396452">
      <w:pPr>
        <w:pStyle w:val="TOC2"/>
        <w:rPr>
          <w:rFonts w:eastAsiaTheme="minorEastAsia" w:cstheme="minorBidi"/>
          <w:noProof/>
          <w:kern w:val="2"/>
          <w:sz w:val="24"/>
          <w:szCs w:val="24"/>
          <w14:ligatures w14:val="standardContextual"/>
        </w:rPr>
      </w:pPr>
      <w:hyperlink w:anchor="_Toc135131437" w:history="1">
        <w:r w:rsidR="0006699D" w:rsidRPr="0006699D">
          <w:rPr>
            <w:rStyle w:val="Hyperlink"/>
            <w:b w:val="0"/>
            <w:bCs w:val="0"/>
            <w:noProof/>
            <w14:scene3d>
              <w14:camera w14:prst="orthographicFront"/>
              <w14:lightRig w14:rig="threePt" w14:dir="t">
                <w14:rot w14:lat="0" w14:lon="0" w14:rev="0"/>
              </w14:lightRig>
            </w14:scene3d>
          </w:rPr>
          <w:t>3.6</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Ethics of ethical decision-making</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_Toc135131437 \h </w:instrText>
        </w:r>
        <w:r w:rsidR="0006699D" w:rsidRPr="0006699D">
          <w:rPr>
            <w:noProof/>
            <w:webHidden/>
          </w:rPr>
        </w:r>
        <w:r w:rsidR="0006699D" w:rsidRPr="0006699D">
          <w:rPr>
            <w:noProof/>
            <w:webHidden/>
          </w:rPr>
          <w:fldChar w:fldCharType="separate"/>
        </w:r>
        <w:r w:rsidR="00B63F7B">
          <w:rPr>
            <w:noProof/>
            <w:webHidden/>
          </w:rPr>
          <w:t>57</w:t>
        </w:r>
        <w:r w:rsidR="0006699D" w:rsidRPr="0006699D">
          <w:rPr>
            <w:noProof/>
            <w:webHidden/>
          </w:rPr>
          <w:fldChar w:fldCharType="end"/>
        </w:r>
      </w:hyperlink>
    </w:p>
    <w:p w14:paraId="2CED410B" w14:textId="7C4BB9B1" w:rsidR="0006699D" w:rsidRPr="0006699D" w:rsidRDefault="00000000" w:rsidP="00396452">
      <w:pPr>
        <w:pStyle w:val="TOC2"/>
        <w:rPr>
          <w:rFonts w:eastAsiaTheme="minorEastAsia" w:cstheme="minorBidi"/>
          <w:noProof/>
          <w:kern w:val="2"/>
          <w:sz w:val="24"/>
          <w:szCs w:val="24"/>
          <w14:ligatures w14:val="standardContextual"/>
        </w:rPr>
      </w:pPr>
      <w:hyperlink w:anchor="_Toc135131438" w:history="1">
        <w:r w:rsidR="0006699D" w:rsidRPr="0006699D">
          <w:rPr>
            <w:rStyle w:val="Hyperlink"/>
            <w:b w:val="0"/>
            <w:bCs w:val="0"/>
            <w:noProof/>
            <w14:scene3d>
              <w14:camera w14:prst="orthographicFront"/>
              <w14:lightRig w14:rig="threePt" w14:dir="t">
                <w14:rot w14:lat="0" w14:lon="0" w14:rev="0"/>
              </w14:lightRig>
            </w14:scene3d>
          </w:rPr>
          <w:t>3.7</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Conscientious objection and moral distress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_Toc135131438 \h </w:instrText>
        </w:r>
        <w:r w:rsidR="0006699D" w:rsidRPr="0006699D">
          <w:rPr>
            <w:noProof/>
            <w:webHidden/>
          </w:rPr>
        </w:r>
        <w:r w:rsidR="0006699D" w:rsidRPr="0006699D">
          <w:rPr>
            <w:noProof/>
            <w:webHidden/>
          </w:rPr>
          <w:fldChar w:fldCharType="separate"/>
        </w:r>
        <w:r w:rsidR="00B63F7B">
          <w:rPr>
            <w:noProof/>
            <w:webHidden/>
          </w:rPr>
          <w:t>58</w:t>
        </w:r>
        <w:r w:rsidR="0006699D" w:rsidRPr="0006699D">
          <w:rPr>
            <w:noProof/>
            <w:webHidden/>
          </w:rPr>
          <w:fldChar w:fldCharType="end"/>
        </w:r>
      </w:hyperlink>
    </w:p>
    <w:p w14:paraId="24E4FE6B" w14:textId="5A3E4EA5" w:rsidR="0006699D" w:rsidRPr="0006699D" w:rsidRDefault="00000000" w:rsidP="00396452">
      <w:pPr>
        <w:pStyle w:val="TOC2"/>
        <w:rPr>
          <w:rFonts w:eastAsiaTheme="minorEastAsia" w:cstheme="minorBidi"/>
          <w:noProof/>
          <w:kern w:val="2"/>
          <w:sz w:val="24"/>
          <w:szCs w:val="24"/>
          <w14:ligatures w14:val="standardContextual"/>
        </w:rPr>
      </w:pPr>
      <w:hyperlink w:anchor="_Toc135131439" w:history="1">
        <w:r w:rsidR="0006699D" w:rsidRPr="0006699D">
          <w:rPr>
            <w:rStyle w:val="Hyperlink"/>
            <w:b w:val="0"/>
            <w:bCs w:val="0"/>
            <w:noProof/>
            <w14:scene3d>
              <w14:camera w14:prst="orthographicFront"/>
              <w14:lightRig w14:rig="threePt" w14:dir="t">
                <w14:rot w14:lat="0" w14:lon="0" w14:rev="0"/>
              </w14:lightRig>
            </w14:scene3d>
          </w:rPr>
          <w:t>3.8</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Conflicts of interest in decision-making</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_Toc135131439 \h </w:instrText>
        </w:r>
        <w:r w:rsidR="0006699D" w:rsidRPr="0006699D">
          <w:rPr>
            <w:noProof/>
            <w:webHidden/>
          </w:rPr>
        </w:r>
        <w:r w:rsidR="0006699D" w:rsidRPr="0006699D">
          <w:rPr>
            <w:noProof/>
            <w:webHidden/>
          </w:rPr>
          <w:fldChar w:fldCharType="separate"/>
        </w:r>
        <w:r w:rsidR="00B63F7B">
          <w:rPr>
            <w:noProof/>
            <w:webHidden/>
          </w:rPr>
          <w:t>61</w:t>
        </w:r>
        <w:r w:rsidR="0006699D" w:rsidRPr="0006699D">
          <w:rPr>
            <w:noProof/>
            <w:webHidden/>
          </w:rPr>
          <w:fldChar w:fldCharType="end"/>
        </w:r>
      </w:hyperlink>
    </w:p>
    <w:p w14:paraId="000103ED" w14:textId="18A01828" w:rsidR="0006699D" w:rsidRPr="0006699D" w:rsidRDefault="00000000" w:rsidP="007162C3">
      <w:pPr>
        <w:pStyle w:val="TOC1"/>
        <w:rPr>
          <w:rFonts w:eastAsiaTheme="minorEastAsia" w:cstheme="minorBidi"/>
          <w:kern w:val="2"/>
          <w14:ligatures w14:val="standardContextual"/>
        </w:rPr>
      </w:pPr>
      <w:hyperlink w:anchor="_Toc135131440" w:history="1">
        <w:r w:rsidR="0006699D" w:rsidRPr="0006699D">
          <w:rPr>
            <w:rStyle w:val="Hyperlink"/>
          </w:rPr>
          <w:t>4.</w:t>
        </w:r>
        <w:r w:rsidR="0006699D" w:rsidRPr="0006699D">
          <w:rPr>
            <w:rFonts w:eastAsiaTheme="minorEastAsia" w:cstheme="minorBidi"/>
            <w:kern w:val="2"/>
            <w14:ligatures w14:val="standardContextual"/>
          </w:rPr>
          <w:tab/>
        </w:r>
        <w:r w:rsidR="0006699D" w:rsidRPr="0006699D">
          <w:rPr>
            <w:rStyle w:val="Hyperlink"/>
          </w:rPr>
          <w:t>Decision-making and consent</w:t>
        </w:r>
        <w:r w:rsidR="0006699D" w:rsidRPr="0006699D">
          <w:rPr>
            <w:webHidden/>
          </w:rPr>
          <w:tab/>
        </w:r>
        <w:r w:rsidR="0006699D" w:rsidRPr="0006699D">
          <w:rPr>
            <w:webHidden/>
          </w:rPr>
          <w:fldChar w:fldCharType="begin"/>
        </w:r>
        <w:r w:rsidR="0006699D" w:rsidRPr="0006699D">
          <w:rPr>
            <w:webHidden/>
          </w:rPr>
          <w:instrText xml:space="preserve"> PAGEREF _Toc135131440 \h </w:instrText>
        </w:r>
        <w:r w:rsidR="0006699D" w:rsidRPr="0006699D">
          <w:rPr>
            <w:webHidden/>
          </w:rPr>
        </w:r>
        <w:r w:rsidR="0006699D" w:rsidRPr="0006699D">
          <w:rPr>
            <w:webHidden/>
          </w:rPr>
          <w:fldChar w:fldCharType="separate"/>
        </w:r>
        <w:r w:rsidR="00B63F7B">
          <w:rPr>
            <w:webHidden/>
          </w:rPr>
          <w:t>65</w:t>
        </w:r>
        <w:r w:rsidR="0006699D" w:rsidRPr="0006699D">
          <w:rPr>
            <w:webHidden/>
          </w:rPr>
          <w:fldChar w:fldCharType="end"/>
        </w:r>
      </w:hyperlink>
    </w:p>
    <w:p w14:paraId="42003F4A" w14:textId="2815F03C" w:rsidR="0006699D" w:rsidRPr="0006699D" w:rsidRDefault="00000000" w:rsidP="00396452">
      <w:pPr>
        <w:pStyle w:val="TOC2"/>
        <w:rPr>
          <w:rFonts w:eastAsiaTheme="minorEastAsia" w:cstheme="minorBidi"/>
          <w:noProof/>
          <w:kern w:val="2"/>
          <w:sz w:val="24"/>
          <w:szCs w:val="24"/>
          <w14:ligatures w14:val="standardContextual"/>
        </w:rPr>
      </w:pPr>
      <w:hyperlink w:anchor="_Toc135131441" w:history="1">
        <w:r w:rsidR="0006699D" w:rsidRPr="0006699D">
          <w:rPr>
            <w:rStyle w:val="Hyperlink"/>
            <w:b w:val="0"/>
            <w:bCs w:val="0"/>
            <w:noProof/>
            <w14:scene3d>
              <w14:camera w14:prst="orthographicFront"/>
              <w14:lightRig w14:rig="threePt" w14:dir="t">
                <w14:rot w14:lat="0" w14:lon="0" w14:rev="0"/>
              </w14:lightRig>
            </w14:scene3d>
          </w:rPr>
          <w:t>4.1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General considerations in consent</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_Toc135131441 \h </w:instrText>
        </w:r>
        <w:r w:rsidR="0006699D" w:rsidRPr="0006699D">
          <w:rPr>
            <w:noProof/>
            <w:webHidden/>
          </w:rPr>
        </w:r>
        <w:r w:rsidR="0006699D" w:rsidRPr="0006699D">
          <w:rPr>
            <w:noProof/>
            <w:webHidden/>
          </w:rPr>
          <w:fldChar w:fldCharType="separate"/>
        </w:r>
        <w:r w:rsidR="00B63F7B">
          <w:rPr>
            <w:noProof/>
            <w:webHidden/>
          </w:rPr>
          <w:t>65</w:t>
        </w:r>
        <w:r w:rsidR="0006699D" w:rsidRPr="0006699D">
          <w:rPr>
            <w:noProof/>
            <w:webHidden/>
          </w:rPr>
          <w:fldChar w:fldCharType="end"/>
        </w:r>
      </w:hyperlink>
    </w:p>
    <w:p w14:paraId="1E88C976" w14:textId="68E106FC" w:rsidR="0006699D" w:rsidRPr="0006699D" w:rsidRDefault="00000000" w:rsidP="00396452">
      <w:pPr>
        <w:pStyle w:val="TOC2"/>
        <w:rPr>
          <w:rFonts w:eastAsiaTheme="minorEastAsia" w:cstheme="minorBidi"/>
          <w:noProof/>
          <w:kern w:val="2"/>
          <w:sz w:val="24"/>
          <w:szCs w:val="24"/>
          <w14:ligatures w14:val="standardContextual"/>
        </w:rPr>
      </w:pPr>
      <w:hyperlink w:anchor="_Toc135131442" w:history="1">
        <w:r w:rsidR="0006699D" w:rsidRPr="0006699D">
          <w:rPr>
            <w:rStyle w:val="Hyperlink"/>
            <w:b w:val="0"/>
            <w:bCs w:val="0"/>
            <w:noProof/>
            <w14:scene3d>
              <w14:camera w14:prst="orthographicFront"/>
              <w14:lightRig w14:rig="threePt" w14:dir="t">
                <w14:rot w14:lat="0" w14:lon="0" w14:rev="0"/>
              </w14:lightRig>
            </w14:scene3d>
          </w:rPr>
          <w:t>4.2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Consent for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_Toc135131442 \h </w:instrText>
        </w:r>
        <w:r w:rsidR="0006699D" w:rsidRPr="0006699D">
          <w:rPr>
            <w:noProof/>
            <w:webHidden/>
          </w:rPr>
        </w:r>
        <w:r w:rsidR="0006699D" w:rsidRPr="0006699D">
          <w:rPr>
            <w:noProof/>
            <w:webHidden/>
          </w:rPr>
          <w:fldChar w:fldCharType="separate"/>
        </w:r>
        <w:r w:rsidR="00B63F7B">
          <w:rPr>
            <w:noProof/>
            <w:webHidden/>
          </w:rPr>
          <w:t>71</w:t>
        </w:r>
        <w:r w:rsidR="0006699D" w:rsidRPr="0006699D">
          <w:rPr>
            <w:noProof/>
            <w:webHidden/>
          </w:rPr>
          <w:fldChar w:fldCharType="end"/>
        </w:r>
      </w:hyperlink>
    </w:p>
    <w:p w14:paraId="00A57176" w14:textId="74D41C07" w:rsidR="0006699D" w:rsidRPr="0006699D" w:rsidRDefault="00000000" w:rsidP="00396452">
      <w:pPr>
        <w:pStyle w:val="TOC2"/>
        <w:rPr>
          <w:rFonts w:eastAsiaTheme="minorEastAsia" w:cstheme="minorBidi"/>
          <w:noProof/>
          <w:kern w:val="2"/>
          <w:sz w:val="24"/>
          <w:szCs w:val="24"/>
          <w14:ligatures w14:val="standardContextual"/>
        </w:rPr>
      </w:pPr>
      <w:hyperlink w:anchor="_Toc135131443" w:history="1">
        <w:r w:rsidR="0006699D" w:rsidRPr="0006699D">
          <w:rPr>
            <w:rStyle w:val="Hyperlink"/>
            <w:b w:val="0"/>
            <w:bCs w:val="0"/>
            <w:noProof/>
            <w14:scene3d>
              <w14:camera w14:prst="orthographicFront"/>
              <w14:lightRig w14:rig="threePt" w14:dir="t">
                <w14:rot w14:lat="0" w14:lon="0" w14:rev="0"/>
              </w14:lightRig>
            </w14:scene3d>
          </w:rPr>
          <w:t>4.3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Consent for living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_Toc135131443 \h </w:instrText>
        </w:r>
        <w:r w:rsidR="0006699D" w:rsidRPr="0006699D">
          <w:rPr>
            <w:noProof/>
            <w:webHidden/>
          </w:rPr>
        </w:r>
        <w:r w:rsidR="0006699D" w:rsidRPr="0006699D">
          <w:rPr>
            <w:noProof/>
            <w:webHidden/>
          </w:rPr>
          <w:fldChar w:fldCharType="separate"/>
        </w:r>
        <w:r w:rsidR="00B63F7B">
          <w:rPr>
            <w:noProof/>
            <w:webHidden/>
          </w:rPr>
          <w:t>72</w:t>
        </w:r>
        <w:r w:rsidR="0006699D" w:rsidRPr="0006699D">
          <w:rPr>
            <w:noProof/>
            <w:webHidden/>
          </w:rPr>
          <w:fldChar w:fldCharType="end"/>
        </w:r>
      </w:hyperlink>
    </w:p>
    <w:p w14:paraId="65FE7B2E" w14:textId="3D4A3D3C" w:rsidR="0006699D" w:rsidRPr="0006699D" w:rsidRDefault="00000000" w:rsidP="00396452">
      <w:pPr>
        <w:pStyle w:val="TOC2"/>
        <w:rPr>
          <w:rFonts w:eastAsiaTheme="minorEastAsia" w:cstheme="minorBidi"/>
          <w:noProof/>
          <w:kern w:val="2"/>
          <w:sz w:val="24"/>
          <w:szCs w:val="24"/>
          <w14:ligatures w14:val="standardContextual"/>
        </w:rPr>
      </w:pPr>
      <w:hyperlink w:anchor="_Toc135131444" w:history="1">
        <w:r w:rsidR="0006699D" w:rsidRPr="0006699D">
          <w:rPr>
            <w:rStyle w:val="Hyperlink"/>
            <w:b w:val="0"/>
            <w:bCs w:val="0"/>
            <w:noProof/>
            <w14:scene3d>
              <w14:camera w14:prst="orthographicFront"/>
              <w14:lightRig w14:rig="threePt" w14:dir="t">
                <w14:rot w14:lat="0" w14:lon="0" w14:rev="0"/>
              </w14:lightRig>
            </w14:scene3d>
          </w:rPr>
          <w:t>4.4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Consent for deceased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_Toc135131444 \h </w:instrText>
        </w:r>
        <w:r w:rsidR="0006699D" w:rsidRPr="0006699D">
          <w:rPr>
            <w:noProof/>
            <w:webHidden/>
          </w:rPr>
        </w:r>
        <w:r w:rsidR="0006699D" w:rsidRPr="0006699D">
          <w:rPr>
            <w:noProof/>
            <w:webHidden/>
          </w:rPr>
          <w:fldChar w:fldCharType="separate"/>
        </w:r>
        <w:r w:rsidR="00B63F7B">
          <w:rPr>
            <w:noProof/>
            <w:webHidden/>
          </w:rPr>
          <w:t>76</w:t>
        </w:r>
        <w:r w:rsidR="0006699D" w:rsidRPr="0006699D">
          <w:rPr>
            <w:noProof/>
            <w:webHidden/>
          </w:rPr>
          <w:fldChar w:fldCharType="end"/>
        </w:r>
      </w:hyperlink>
    </w:p>
    <w:p w14:paraId="6EC88035" w14:textId="22F7CBE1" w:rsidR="0006699D" w:rsidRPr="0006699D" w:rsidRDefault="00000000" w:rsidP="007162C3">
      <w:pPr>
        <w:pStyle w:val="TOC1"/>
        <w:rPr>
          <w:rFonts w:eastAsiaTheme="minorEastAsia" w:cstheme="minorBidi"/>
          <w:kern w:val="2"/>
          <w14:ligatures w14:val="standardContextual"/>
        </w:rPr>
      </w:pPr>
      <w:hyperlink w:anchor="_Toc135131445" w:history="1">
        <w:r w:rsidR="0006699D" w:rsidRPr="0006699D">
          <w:rPr>
            <w:rStyle w:val="Hyperlink"/>
          </w:rPr>
          <w:t>5.</w:t>
        </w:r>
        <w:r w:rsidR="0006699D" w:rsidRPr="0006699D">
          <w:rPr>
            <w:rFonts w:eastAsiaTheme="minorEastAsia" w:cstheme="minorBidi"/>
            <w:kern w:val="2"/>
            <w14:ligatures w14:val="standardContextual"/>
          </w:rPr>
          <w:tab/>
        </w:r>
        <w:r w:rsidR="0006699D" w:rsidRPr="0006699D">
          <w:rPr>
            <w:rStyle w:val="Hyperlink"/>
          </w:rPr>
          <w:t>Donation and transplantation in children and adults who lack decision-making capacity</w:t>
        </w:r>
        <w:r w:rsidR="0006699D" w:rsidRPr="0006699D">
          <w:rPr>
            <w:webHidden/>
          </w:rPr>
          <w:tab/>
        </w:r>
        <w:r w:rsidR="0006699D" w:rsidRPr="0006699D">
          <w:rPr>
            <w:webHidden/>
          </w:rPr>
          <w:fldChar w:fldCharType="begin"/>
        </w:r>
        <w:r w:rsidR="0006699D" w:rsidRPr="0006699D">
          <w:rPr>
            <w:webHidden/>
          </w:rPr>
          <w:instrText xml:space="preserve"> PAGEREF _Toc135131445 \h </w:instrText>
        </w:r>
        <w:r w:rsidR="0006699D" w:rsidRPr="0006699D">
          <w:rPr>
            <w:webHidden/>
          </w:rPr>
        </w:r>
        <w:r w:rsidR="0006699D" w:rsidRPr="0006699D">
          <w:rPr>
            <w:webHidden/>
          </w:rPr>
          <w:fldChar w:fldCharType="separate"/>
        </w:r>
        <w:r w:rsidR="00B63F7B">
          <w:rPr>
            <w:webHidden/>
          </w:rPr>
          <w:t>83</w:t>
        </w:r>
        <w:r w:rsidR="0006699D" w:rsidRPr="0006699D">
          <w:rPr>
            <w:webHidden/>
          </w:rPr>
          <w:fldChar w:fldCharType="end"/>
        </w:r>
      </w:hyperlink>
    </w:p>
    <w:p w14:paraId="1CEB5729" w14:textId="3A63A497" w:rsidR="0006699D" w:rsidRPr="0006699D" w:rsidRDefault="00000000" w:rsidP="00396452">
      <w:pPr>
        <w:pStyle w:val="TOC2"/>
        <w:rPr>
          <w:rFonts w:eastAsiaTheme="minorEastAsia" w:cstheme="minorBidi"/>
          <w:noProof/>
          <w:kern w:val="2"/>
          <w:sz w:val="24"/>
          <w:szCs w:val="24"/>
          <w14:ligatures w14:val="standardContextual"/>
        </w:rPr>
      </w:pPr>
      <w:hyperlink w:anchor="_Toc135131446" w:history="1">
        <w:r w:rsidR="0006699D" w:rsidRPr="0006699D">
          <w:rPr>
            <w:rStyle w:val="Hyperlink"/>
            <w:b w:val="0"/>
            <w:bCs w:val="0"/>
            <w:noProof/>
            <w14:scene3d>
              <w14:camera w14:prst="orthographicFront"/>
              <w14:lightRig w14:rig="threePt" w14:dir="t">
                <w14:rot w14:lat="0" w14:lon="0" w14:rev="0"/>
              </w14:lightRig>
            </w14:scene3d>
          </w:rPr>
          <w:t>5.1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Involvement of children and adults who may lack capacity in decision-making</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_Toc135131446 \h </w:instrText>
        </w:r>
        <w:r w:rsidR="0006699D" w:rsidRPr="0006699D">
          <w:rPr>
            <w:noProof/>
            <w:webHidden/>
          </w:rPr>
        </w:r>
        <w:r w:rsidR="0006699D" w:rsidRPr="0006699D">
          <w:rPr>
            <w:noProof/>
            <w:webHidden/>
          </w:rPr>
          <w:fldChar w:fldCharType="separate"/>
        </w:r>
        <w:r w:rsidR="00B63F7B">
          <w:rPr>
            <w:noProof/>
            <w:webHidden/>
          </w:rPr>
          <w:t>83</w:t>
        </w:r>
        <w:r w:rsidR="0006699D" w:rsidRPr="0006699D">
          <w:rPr>
            <w:noProof/>
            <w:webHidden/>
          </w:rPr>
          <w:fldChar w:fldCharType="end"/>
        </w:r>
      </w:hyperlink>
    </w:p>
    <w:p w14:paraId="0B7B7493" w14:textId="0042AB28" w:rsidR="0006699D" w:rsidRPr="0006699D" w:rsidRDefault="00000000" w:rsidP="00396452">
      <w:pPr>
        <w:pStyle w:val="TOC2"/>
        <w:rPr>
          <w:rFonts w:eastAsiaTheme="minorEastAsia" w:cstheme="minorBidi"/>
          <w:noProof/>
          <w:kern w:val="2"/>
          <w:sz w:val="24"/>
          <w:szCs w:val="24"/>
          <w14:ligatures w14:val="standardContextual"/>
        </w:rPr>
      </w:pPr>
      <w:hyperlink w:anchor="_Toc135131447" w:history="1">
        <w:r w:rsidR="0006699D" w:rsidRPr="0006699D">
          <w:rPr>
            <w:rStyle w:val="Hyperlink"/>
            <w:b w:val="0"/>
            <w:bCs w:val="0"/>
            <w:noProof/>
            <w14:scene3d>
              <w14:camera w14:prst="orthographicFront"/>
              <w14:lightRig w14:rig="threePt" w14:dir="t">
                <w14:rot w14:lat="0" w14:lon="0" w14:rev="0"/>
              </w14:lightRig>
            </w14:scene3d>
          </w:rPr>
          <w:t>5.2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Substitute decision-making and medical treatment laws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_Toc135131447 \h </w:instrText>
        </w:r>
        <w:r w:rsidR="0006699D" w:rsidRPr="0006699D">
          <w:rPr>
            <w:noProof/>
            <w:webHidden/>
          </w:rPr>
        </w:r>
        <w:r w:rsidR="0006699D" w:rsidRPr="0006699D">
          <w:rPr>
            <w:noProof/>
            <w:webHidden/>
          </w:rPr>
          <w:fldChar w:fldCharType="separate"/>
        </w:r>
        <w:r w:rsidR="00B63F7B">
          <w:rPr>
            <w:noProof/>
            <w:webHidden/>
          </w:rPr>
          <w:t>85</w:t>
        </w:r>
        <w:r w:rsidR="0006699D" w:rsidRPr="0006699D">
          <w:rPr>
            <w:noProof/>
            <w:webHidden/>
          </w:rPr>
          <w:fldChar w:fldCharType="end"/>
        </w:r>
      </w:hyperlink>
    </w:p>
    <w:p w14:paraId="1A33D31E" w14:textId="3AEED37A" w:rsidR="0006699D" w:rsidRPr="0006699D" w:rsidRDefault="00000000" w:rsidP="00396452">
      <w:pPr>
        <w:pStyle w:val="TOC2"/>
        <w:rPr>
          <w:rFonts w:eastAsiaTheme="minorEastAsia" w:cstheme="minorBidi"/>
          <w:noProof/>
          <w:kern w:val="2"/>
          <w:sz w:val="24"/>
          <w:szCs w:val="24"/>
          <w14:ligatures w14:val="standardContextual"/>
        </w:rPr>
      </w:pPr>
      <w:hyperlink w:anchor="_Toc135131448" w:history="1">
        <w:r w:rsidR="0006699D" w:rsidRPr="0006699D">
          <w:rPr>
            <w:rStyle w:val="Hyperlink"/>
            <w:b w:val="0"/>
            <w:bCs w:val="0"/>
            <w:noProof/>
            <w14:scene3d>
              <w14:camera w14:prst="orthographicFront"/>
              <w14:lightRig w14:rig="threePt" w14:dir="t">
                <w14:rot w14:lat="0" w14:lon="0" w14:rev="0"/>
              </w14:lightRig>
            </w14:scene3d>
          </w:rPr>
          <w:t>5.3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Approaches to substitute decision-making</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_Toc135131448 \h </w:instrText>
        </w:r>
        <w:r w:rsidR="0006699D" w:rsidRPr="0006699D">
          <w:rPr>
            <w:noProof/>
            <w:webHidden/>
          </w:rPr>
        </w:r>
        <w:r w:rsidR="0006699D" w:rsidRPr="0006699D">
          <w:rPr>
            <w:noProof/>
            <w:webHidden/>
          </w:rPr>
          <w:fldChar w:fldCharType="separate"/>
        </w:r>
        <w:r w:rsidR="00B63F7B">
          <w:rPr>
            <w:noProof/>
            <w:webHidden/>
          </w:rPr>
          <w:t>88</w:t>
        </w:r>
        <w:r w:rsidR="0006699D" w:rsidRPr="0006699D">
          <w:rPr>
            <w:noProof/>
            <w:webHidden/>
          </w:rPr>
          <w:fldChar w:fldCharType="end"/>
        </w:r>
      </w:hyperlink>
    </w:p>
    <w:p w14:paraId="5136E3B7" w14:textId="15CA0560" w:rsidR="0006699D" w:rsidRPr="0006699D" w:rsidRDefault="00000000" w:rsidP="00396452">
      <w:pPr>
        <w:pStyle w:val="TOC2"/>
        <w:rPr>
          <w:rFonts w:eastAsiaTheme="minorEastAsia" w:cstheme="minorBidi"/>
          <w:noProof/>
          <w:kern w:val="2"/>
          <w:sz w:val="24"/>
          <w:szCs w:val="24"/>
          <w14:ligatures w14:val="standardContextual"/>
        </w:rPr>
      </w:pPr>
      <w:hyperlink w:anchor="_Toc135131449" w:history="1">
        <w:r w:rsidR="0006699D" w:rsidRPr="0006699D">
          <w:rPr>
            <w:rStyle w:val="Hyperlink"/>
            <w:b w:val="0"/>
            <w:bCs w:val="0"/>
            <w:noProof/>
            <w14:scene3d>
              <w14:camera w14:prst="orthographicFront"/>
              <w14:lightRig w14:rig="threePt" w14:dir="t">
                <w14:rot w14:lat="0" w14:lon="0" w14:rev="0"/>
              </w14:lightRig>
            </w14:scene3d>
          </w:rPr>
          <w:t>5.4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Transplantation of children and adults lacking decision-making capacity</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_Toc135131449 \h </w:instrText>
        </w:r>
        <w:r w:rsidR="0006699D" w:rsidRPr="0006699D">
          <w:rPr>
            <w:noProof/>
            <w:webHidden/>
          </w:rPr>
        </w:r>
        <w:r w:rsidR="0006699D" w:rsidRPr="0006699D">
          <w:rPr>
            <w:noProof/>
            <w:webHidden/>
          </w:rPr>
          <w:fldChar w:fldCharType="separate"/>
        </w:r>
        <w:r w:rsidR="00B63F7B">
          <w:rPr>
            <w:noProof/>
            <w:webHidden/>
          </w:rPr>
          <w:t>90</w:t>
        </w:r>
        <w:r w:rsidR="0006699D" w:rsidRPr="0006699D">
          <w:rPr>
            <w:noProof/>
            <w:webHidden/>
          </w:rPr>
          <w:fldChar w:fldCharType="end"/>
        </w:r>
      </w:hyperlink>
    </w:p>
    <w:p w14:paraId="41CAB7B3" w14:textId="7619B2A4" w:rsidR="0006699D" w:rsidRPr="0006699D" w:rsidRDefault="00000000" w:rsidP="00396452">
      <w:pPr>
        <w:pStyle w:val="TOC2"/>
        <w:rPr>
          <w:rFonts w:eastAsiaTheme="minorEastAsia" w:cstheme="minorBidi"/>
          <w:noProof/>
          <w:kern w:val="2"/>
          <w:sz w:val="24"/>
          <w:szCs w:val="24"/>
          <w14:ligatures w14:val="standardContextual"/>
        </w:rPr>
      </w:pPr>
      <w:hyperlink w:anchor="_Toc135131450" w:history="1">
        <w:r w:rsidR="0006699D" w:rsidRPr="0006699D">
          <w:rPr>
            <w:rStyle w:val="Hyperlink"/>
            <w:b w:val="0"/>
            <w:bCs w:val="0"/>
            <w:noProof/>
            <w14:scene3d>
              <w14:camera w14:prst="orthographicFront"/>
              <w14:lightRig w14:rig="threePt" w14:dir="t">
                <w14:rot w14:lat="0" w14:lon="0" w14:rev="0"/>
              </w14:lightRig>
            </w14:scene3d>
          </w:rPr>
          <w:t>5.5</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Living donation by children and adults lacking decision-making capacity</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_Toc135131450 \h </w:instrText>
        </w:r>
        <w:r w:rsidR="0006699D" w:rsidRPr="0006699D">
          <w:rPr>
            <w:noProof/>
            <w:webHidden/>
          </w:rPr>
        </w:r>
        <w:r w:rsidR="0006699D" w:rsidRPr="0006699D">
          <w:rPr>
            <w:noProof/>
            <w:webHidden/>
          </w:rPr>
          <w:fldChar w:fldCharType="separate"/>
        </w:r>
        <w:r w:rsidR="00B63F7B">
          <w:rPr>
            <w:noProof/>
            <w:webHidden/>
          </w:rPr>
          <w:t>92</w:t>
        </w:r>
        <w:r w:rsidR="0006699D" w:rsidRPr="0006699D">
          <w:rPr>
            <w:noProof/>
            <w:webHidden/>
          </w:rPr>
          <w:fldChar w:fldCharType="end"/>
        </w:r>
      </w:hyperlink>
    </w:p>
    <w:p w14:paraId="18F62E2A" w14:textId="08CA71E9" w:rsidR="0006699D" w:rsidRPr="0006699D" w:rsidRDefault="00000000" w:rsidP="00396452">
      <w:pPr>
        <w:pStyle w:val="TOC2"/>
        <w:rPr>
          <w:rFonts w:eastAsiaTheme="minorEastAsia" w:cstheme="minorBidi"/>
          <w:noProof/>
          <w:kern w:val="2"/>
          <w:sz w:val="24"/>
          <w:szCs w:val="24"/>
          <w14:ligatures w14:val="standardContextual"/>
        </w:rPr>
      </w:pPr>
      <w:hyperlink w:anchor="_Toc135131451" w:history="1">
        <w:r w:rsidR="0006699D" w:rsidRPr="0006699D">
          <w:rPr>
            <w:rStyle w:val="Hyperlink"/>
            <w:b w:val="0"/>
            <w:bCs w:val="0"/>
            <w:noProof/>
            <w14:scene3d>
              <w14:camera w14:prst="orthographicFront"/>
              <w14:lightRig w14:rig="threePt" w14:dir="t">
                <w14:rot w14:lat="0" w14:lon="0" w14:rev="0"/>
              </w14:lightRig>
            </w14:scene3d>
          </w:rPr>
          <w:t>5.6</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Deceased donation decision-making for children and adults lacking decision-making capacity</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_Toc135131451 \h </w:instrText>
        </w:r>
        <w:r w:rsidR="0006699D" w:rsidRPr="0006699D">
          <w:rPr>
            <w:noProof/>
            <w:webHidden/>
          </w:rPr>
        </w:r>
        <w:r w:rsidR="0006699D" w:rsidRPr="0006699D">
          <w:rPr>
            <w:noProof/>
            <w:webHidden/>
          </w:rPr>
          <w:fldChar w:fldCharType="separate"/>
        </w:r>
        <w:r w:rsidR="00B63F7B">
          <w:rPr>
            <w:noProof/>
            <w:webHidden/>
          </w:rPr>
          <w:t>97</w:t>
        </w:r>
        <w:r w:rsidR="0006699D" w:rsidRPr="0006699D">
          <w:rPr>
            <w:noProof/>
            <w:webHidden/>
          </w:rPr>
          <w:fldChar w:fldCharType="end"/>
        </w:r>
      </w:hyperlink>
    </w:p>
    <w:p w14:paraId="3755B675" w14:textId="3606CEE5" w:rsidR="0006699D" w:rsidRPr="0006699D" w:rsidRDefault="00000000" w:rsidP="007162C3">
      <w:pPr>
        <w:pStyle w:val="TOC1"/>
        <w:rPr>
          <w:rFonts w:eastAsiaTheme="minorEastAsia" w:cstheme="minorBidi"/>
          <w:kern w:val="2"/>
          <w14:ligatures w14:val="standardContextual"/>
        </w:rPr>
      </w:pPr>
      <w:hyperlink w:anchor="_Toc135131452" w:history="1">
        <w:r w:rsidR="0006699D" w:rsidRPr="0006699D">
          <w:rPr>
            <w:rStyle w:val="Hyperlink"/>
          </w:rPr>
          <w:t>6.</w:t>
        </w:r>
        <w:r w:rsidR="0006699D" w:rsidRPr="0006699D">
          <w:rPr>
            <w:rFonts w:eastAsiaTheme="minorEastAsia" w:cstheme="minorBidi"/>
            <w:kern w:val="2"/>
            <w14:ligatures w14:val="standardContextual"/>
          </w:rPr>
          <w:tab/>
        </w:r>
        <w:r w:rsidR="0006699D" w:rsidRPr="0006699D">
          <w:rPr>
            <w:rStyle w:val="Hyperlink"/>
          </w:rPr>
          <w:t>Risks and benefits of donation and transplantation</w:t>
        </w:r>
        <w:r w:rsidR="0006699D" w:rsidRPr="0006699D">
          <w:rPr>
            <w:webHidden/>
          </w:rPr>
          <w:tab/>
        </w:r>
        <w:r w:rsidR="0006699D" w:rsidRPr="0006699D">
          <w:rPr>
            <w:webHidden/>
          </w:rPr>
          <w:fldChar w:fldCharType="begin"/>
        </w:r>
        <w:r w:rsidR="0006699D" w:rsidRPr="0006699D">
          <w:rPr>
            <w:webHidden/>
          </w:rPr>
          <w:instrText xml:space="preserve"> PAGEREF _Toc135131452 \h </w:instrText>
        </w:r>
        <w:r w:rsidR="0006699D" w:rsidRPr="0006699D">
          <w:rPr>
            <w:webHidden/>
          </w:rPr>
        </w:r>
        <w:r w:rsidR="0006699D" w:rsidRPr="0006699D">
          <w:rPr>
            <w:webHidden/>
          </w:rPr>
          <w:fldChar w:fldCharType="separate"/>
        </w:r>
        <w:r w:rsidR="00B63F7B">
          <w:rPr>
            <w:webHidden/>
          </w:rPr>
          <w:t>98</w:t>
        </w:r>
        <w:r w:rsidR="0006699D" w:rsidRPr="0006699D">
          <w:rPr>
            <w:webHidden/>
          </w:rPr>
          <w:fldChar w:fldCharType="end"/>
        </w:r>
      </w:hyperlink>
    </w:p>
    <w:p w14:paraId="6E457EFE" w14:textId="1D655413" w:rsidR="0006699D" w:rsidRPr="0006699D" w:rsidRDefault="00000000" w:rsidP="00396452">
      <w:pPr>
        <w:pStyle w:val="TOC2"/>
        <w:rPr>
          <w:rFonts w:eastAsiaTheme="minorEastAsia" w:cstheme="minorBidi"/>
          <w:noProof/>
          <w:kern w:val="2"/>
          <w:sz w:val="24"/>
          <w:szCs w:val="24"/>
          <w14:ligatures w14:val="standardContextual"/>
        </w:rPr>
      </w:pPr>
      <w:hyperlink w:anchor="_Toc135131453" w:history="1">
        <w:r w:rsidR="0006699D" w:rsidRPr="0006699D">
          <w:rPr>
            <w:rStyle w:val="Hyperlink"/>
            <w:b w:val="0"/>
            <w:bCs w:val="0"/>
            <w:noProof/>
            <w14:scene3d>
              <w14:camera w14:prst="orthographicFront"/>
              <w14:lightRig w14:rig="threePt" w14:dir="t">
                <w14:rot w14:lat="0" w14:lon="0" w14:rev="0"/>
              </w14:lightRig>
            </w14:scene3d>
          </w:rPr>
          <w:t>6.1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Evaluating potential benefits and risks of donation and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_Toc135131453 \h </w:instrText>
        </w:r>
        <w:r w:rsidR="0006699D" w:rsidRPr="0006699D">
          <w:rPr>
            <w:noProof/>
            <w:webHidden/>
          </w:rPr>
        </w:r>
        <w:r w:rsidR="0006699D" w:rsidRPr="0006699D">
          <w:rPr>
            <w:noProof/>
            <w:webHidden/>
          </w:rPr>
          <w:fldChar w:fldCharType="separate"/>
        </w:r>
        <w:r w:rsidR="00B63F7B">
          <w:rPr>
            <w:noProof/>
            <w:webHidden/>
          </w:rPr>
          <w:t>98</w:t>
        </w:r>
        <w:r w:rsidR="0006699D" w:rsidRPr="0006699D">
          <w:rPr>
            <w:noProof/>
            <w:webHidden/>
          </w:rPr>
          <w:fldChar w:fldCharType="end"/>
        </w:r>
      </w:hyperlink>
    </w:p>
    <w:p w14:paraId="7B25C3F7" w14:textId="501EB3C3" w:rsidR="0006699D" w:rsidRPr="0006699D" w:rsidRDefault="00000000" w:rsidP="00396452">
      <w:pPr>
        <w:pStyle w:val="TOC2"/>
        <w:rPr>
          <w:rFonts w:eastAsiaTheme="minorEastAsia" w:cstheme="minorBidi"/>
          <w:noProof/>
          <w:kern w:val="2"/>
          <w:sz w:val="24"/>
          <w:szCs w:val="24"/>
          <w14:ligatures w14:val="standardContextual"/>
        </w:rPr>
      </w:pPr>
      <w:hyperlink w:anchor="_Toc135131454" w:history="1">
        <w:r w:rsidR="0006699D" w:rsidRPr="0006699D">
          <w:rPr>
            <w:rStyle w:val="Hyperlink"/>
            <w:b w:val="0"/>
            <w:bCs w:val="0"/>
            <w:noProof/>
            <w14:scene3d>
              <w14:camera w14:prst="orthographicFront"/>
              <w14:lightRig w14:rig="threePt" w14:dir="t">
                <w14:rot w14:lat="0" w14:lon="0" w14:rev="0"/>
              </w14:lightRig>
            </w14:scene3d>
          </w:rPr>
          <w:t>6.2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Care of donors and transplant recipients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_Toc135131454 \h </w:instrText>
        </w:r>
        <w:r w:rsidR="0006699D" w:rsidRPr="0006699D">
          <w:rPr>
            <w:noProof/>
            <w:webHidden/>
          </w:rPr>
        </w:r>
        <w:r w:rsidR="0006699D" w:rsidRPr="0006699D">
          <w:rPr>
            <w:noProof/>
            <w:webHidden/>
          </w:rPr>
          <w:fldChar w:fldCharType="separate"/>
        </w:r>
        <w:r w:rsidR="00B63F7B">
          <w:rPr>
            <w:noProof/>
            <w:webHidden/>
          </w:rPr>
          <w:t>103</w:t>
        </w:r>
        <w:r w:rsidR="0006699D" w:rsidRPr="0006699D">
          <w:rPr>
            <w:noProof/>
            <w:webHidden/>
          </w:rPr>
          <w:fldChar w:fldCharType="end"/>
        </w:r>
      </w:hyperlink>
    </w:p>
    <w:p w14:paraId="72DBD7EF" w14:textId="55FB69CA" w:rsidR="0006699D" w:rsidRPr="0006699D" w:rsidRDefault="00000000" w:rsidP="00396452">
      <w:pPr>
        <w:pStyle w:val="TOC2"/>
        <w:rPr>
          <w:rFonts w:eastAsiaTheme="minorEastAsia" w:cstheme="minorBidi"/>
          <w:noProof/>
          <w:kern w:val="2"/>
          <w:sz w:val="24"/>
          <w:szCs w:val="24"/>
          <w14:ligatures w14:val="standardContextual"/>
        </w:rPr>
      </w:pPr>
      <w:hyperlink w:anchor="_Toc135131455" w:history="1">
        <w:r w:rsidR="0006699D" w:rsidRPr="0006699D">
          <w:rPr>
            <w:rStyle w:val="Hyperlink"/>
            <w:b w:val="0"/>
            <w:bCs w:val="0"/>
            <w:noProof/>
            <w14:scene3d>
              <w14:camera w14:prst="orthographicFront"/>
              <w14:lightRig w14:rig="threePt" w14:dir="t">
                <w14:rot w14:lat="0" w14:lon="0" w14:rev="0"/>
              </w14:lightRig>
            </w14:scene3d>
          </w:rPr>
          <w:t>6.3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Risk acceptance in living organ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_Toc135131455 \h </w:instrText>
        </w:r>
        <w:r w:rsidR="0006699D" w:rsidRPr="0006699D">
          <w:rPr>
            <w:noProof/>
            <w:webHidden/>
          </w:rPr>
        </w:r>
        <w:r w:rsidR="0006699D" w:rsidRPr="0006699D">
          <w:rPr>
            <w:noProof/>
            <w:webHidden/>
          </w:rPr>
          <w:fldChar w:fldCharType="separate"/>
        </w:r>
        <w:r w:rsidR="00B63F7B">
          <w:rPr>
            <w:noProof/>
            <w:webHidden/>
          </w:rPr>
          <w:t>104</w:t>
        </w:r>
        <w:r w:rsidR="0006699D" w:rsidRPr="0006699D">
          <w:rPr>
            <w:noProof/>
            <w:webHidden/>
          </w:rPr>
          <w:fldChar w:fldCharType="end"/>
        </w:r>
      </w:hyperlink>
    </w:p>
    <w:p w14:paraId="76F7D9BE" w14:textId="576C230F" w:rsidR="0006699D" w:rsidRPr="0006699D" w:rsidRDefault="00000000" w:rsidP="00396452">
      <w:pPr>
        <w:pStyle w:val="TOC2"/>
        <w:rPr>
          <w:rFonts w:eastAsiaTheme="minorEastAsia" w:cstheme="minorBidi"/>
          <w:noProof/>
          <w:kern w:val="2"/>
          <w:sz w:val="24"/>
          <w:szCs w:val="24"/>
          <w14:ligatures w14:val="standardContextual"/>
        </w:rPr>
      </w:pPr>
      <w:hyperlink w:anchor="_Toc135131456" w:history="1">
        <w:r w:rsidR="0006699D" w:rsidRPr="0006699D">
          <w:rPr>
            <w:rStyle w:val="Hyperlink"/>
            <w:b w:val="0"/>
            <w:bCs w:val="0"/>
            <w:noProof/>
            <w14:scene3d>
              <w14:camera w14:prst="orthographicFront"/>
              <w14:lightRig w14:rig="threePt" w14:dir="t">
                <w14:rot w14:lat="0" w14:lon="0" w14:rev="0"/>
              </w14:lightRig>
            </w14:scene3d>
          </w:rPr>
          <w:t>6.4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Evaluating risks and benefits of deceased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_Toc135131456 \h </w:instrText>
        </w:r>
        <w:r w:rsidR="0006699D" w:rsidRPr="0006699D">
          <w:rPr>
            <w:noProof/>
            <w:webHidden/>
          </w:rPr>
        </w:r>
        <w:r w:rsidR="0006699D" w:rsidRPr="0006699D">
          <w:rPr>
            <w:noProof/>
            <w:webHidden/>
          </w:rPr>
          <w:fldChar w:fldCharType="separate"/>
        </w:r>
        <w:r w:rsidR="00B63F7B">
          <w:rPr>
            <w:noProof/>
            <w:webHidden/>
          </w:rPr>
          <w:t>108</w:t>
        </w:r>
        <w:r w:rsidR="0006699D" w:rsidRPr="0006699D">
          <w:rPr>
            <w:noProof/>
            <w:webHidden/>
          </w:rPr>
          <w:fldChar w:fldCharType="end"/>
        </w:r>
      </w:hyperlink>
    </w:p>
    <w:p w14:paraId="1D6939D9" w14:textId="43985D99" w:rsidR="0006699D" w:rsidRPr="0006699D" w:rsidRDefault="00000000" w:rsidP="00396452">
      <w:pPr>
        <w:pStyle w:val="TOC2"/>
        <w:rPr>
          <w:rFonts w:eastAsiaTheme="minorEastAsia" w:cstheme="minorBidi"/>
          <w:noProof/>
          <w:kern w:val="2"/>
          <w:sz w:val="24"/>
          <w:szCs w:val="24"/>
          <w14:ligatures w14:val="standardContextual"/>
        </w:rPr>
      </w:pPr>
      <w:hyperlink w:anchor="_Toc135131457" w:history="1">
        <w:r w:rsidR="0006699D" w:rsidRPr="0006699D">
          <w:rPr>
            <w:rStyle w:val="Hyperlink"/>
            <w:b w:val="0"/>
            <w:bCs w:val="0"/>
            <w:noProof/>
            <w14:scene3d>
              <w14:camera w14:prst="orthographicFront"/>
              <w14:lightRig w14:rig="threePt" w14:dir="t">
                <w14:rot w14:lat="0" w14:lon="0" w14:rev="0"/>
              </w14:lightRig>
            </w14:scene3d>
          </w:rPr>
          <w:t>6.5</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Evaluating proportionality of risks and benefits in the context of organ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_Toc135131457 \h </w:instrText>
        </w:r>
        <w:r w:rsidR="0006699D" w:rsidRPr="0006699D">
          <w:rPr>
            <w:noProof/>
            <w:webHidden/>
          </w:rPr>
        </w:r>
        <w:r w:rsidR="0006699D" w:rsidRPr="0006699D">
          <w:rPr>
            <w:noProof/>
            <w:webHidden/>
          </w:rPr>
          <w:fldChar w:fldCharType="separate"/>
        </w:r>
        <w:r w:rsidR="00B63F7B">
          <w:rPr>
            <w:noProof/>
            <w:webHidden/>
          </w:rPr>
          <w:t>109</w:t>
        </w:r>
        <w:r w:rsidR="0006699D" w:rsidRPr="0006699D">
          <w:rPr>
            <w:noProof/>
            <w:webHidden/>
          </w:rPr>
          <w:fldChar w:fldCharType="end"/>
        </w:r>
      </w:hyperlink>
    </w:p>
    <w:p w14:paraId="68DCFBFE" w14:textId="39F5E523" w:rsidR="0006699D" w:rsidRPr="0006699D" w:rsidRDefault="00000000" w:rsidP="00396452">
      <w:pPr>
        <w:pStyle w:val="TOC2"/>
        <w:rPr>
          <w:rFonts w:eastAsiaTheme="minorEastAsia" w:cstheme="minorBidi"/>
          <w:noProof/>
          <w:kern w:val="2"/>
          <w:sz w:val="24"/>
          <w:szCs w:val="24"/>
          <w14:ligatures w14:val="standardContextual"/>
        </w:rPr>
      </w:pPr>
      <w:hyperlink w:anchor="_Toc135131458" w:history="1">
        <w:r w:rsidR="0006699D" w:rsidRPr="0006699D">
          <w:rPr>
            <w:rStyle w:val="Hyperlink"/>
            <w:b w:val="0"/>
            <w:bCs w:val="0"/>
            <w:noProof/>
            <w14:scene3d>
              <w14:camera w14:prst="orthographicFront"/>
              <w14:lightRig w14:rig="threePt" w14:dir="t">
                <w14:rot w14:lat="0" w14:lon="0" w14:rev="0"/>
              </w14:lightRig>
            </w14:scene3d>
          </w:rPr>
          <w:t>6.6</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Supporting decision-making by potential transplant recipients about transplant offers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_Toc135131458 \h </w:instrText>
        </w:r>
        <w:r w:rsidR="0006699D" w:rsidRPr="0006699D">
          <w:rPr>
            <w:noProof/>
            <w:webHidden/>
          </w:rPr>
        </w:r>
        <w:r w:rsidR="0006699D" w:rsidRPr="0006699D">
          <w:rPr>
            <w:noProof/>
            <w:webHidden/>
          </w:rPr>
          <w:fldChar w:fldCharType="separate"/>
        </w:r>
        <w:r w:rsidR="00B63F7B">
          <w:rPr>
            <w:noProof/>
            <w:webHidden/>
          </w:rPr>
          <w:t>113</w:t>
        </w:r>
        <w:r w:rsidR="0006699D" w:rsidRPr="0006699D">
          <w:rPr>
            <w:noProof/>
            <w:webHidden/>
          </w:rPr>
          <w:fldChar w:fldCharType="end"/>
        </w:r>
      </w:hyperlink>
    </w:p>
    <w:p w14:paraId="4D584578" w14:textId="2E21C17A" w:rsidR="0006699D" w:rsidRPr="0006699D" w:rsidRDefault="00000000" w:rsidP="007162C3">
      <w:pPr>
        <w:pStyle w:val="TOC1"/>
        <w:rPr>
          <w:rFonts w:eastAsiaTheme="minorEastAsia" w:cstheme="minorBidi"/>
          <w:kern w:val="2"/>
          <w14:ligatures w14:val="standardContextual"/>
        </w:rPr>
      </w:pPr>
      <w:hyperlink w:anchor="_Toc135131460" w:history="1">
        <w:r w:rsidR="0006699D" w:rsidRPr="0006699D">
          <w:rPr>
            <w:rStyle w:val="Hyperlink"/>
          </w:rPr>
          <w:t>7.</w:t>
        </w:r>
        <w:r w:rsidR="0006699D" w:rsidRPr="0006699D">
          <w:rPr>
            <w:rFonts w:eastAsiaTheme="minorEastAsia" w:cstheme="minorBidi"/>
            <w:kern w:val="2"/>
            <w14:ligatures w14:val="standardContextual"/>
          </w:rPr>
          <w:tab/>
        </w:r>
        <w:r w:rsidR="0006699D" w:rsidRPr="0006699D">
          <w:rPr>
            <w:rStyle w:val="Hyperlink"/>
          </w:rPr>
          <w:t>Privacy and confidentiality</w:t>
        </w:r>
        <w:r w:rsidR="0006699D" w:rsidRPr="0006699D">
          <w:rPr>
            <w:webHidden/>
          </w:rPr>
          <w:tab/>
        </w:r>
        <w:r w:rsidR="0006699D" w:rsidRPr="0006699D">
          <w:rPr>
            <w:webHidden/>
          </w:rPr>
          <w:fldChar w:fldCharType="begin"/>
        </w:r>
        <w:r w:rsidR="0006699D" w:rsidRPr="0006699D">
          <w:rPr>
            <w:webHidden/>
          </w:rPr>
          <w:instrText xml:space="preserve"> PAGEREF _Toc135131460 \h </w:instrText>
        </w:r>
        <w:r w:rsidR="0006699D" w:rsidRPr="0006699D">
          <w:rPr>
            <w:webHidden/>
          </w:rPr>
        </w:r>
        <w:r w:rsidR="0006699D" w:rsidRPr="0006699D">
          <w:rPr>
            <w:webHidden/>
          </w:rPr>
          <w:fldChar w:fldCharType="separate"/>
        </w:r>
        <w:r w:rsidR="00B63F7B">
          <w:rPr>
            <w:webHidden/>
          </w:rPr>
          <w:t>119</w:t>
        </w:r>
        <w:r w:rsidR="0006699D" w:rsidRPr="0006699D">
          <w:rPr>
            <w:webHidden/>
          </w:rPr>
          <w:fldChar w:fldCharType="end"/>
        </w:r>
      </w:hyperlink>
    </w:p>
    <w:p w14:paraId="4E6DFDE3" w14:textId="3549B224" w:rsidR="0006699D" w:rsidRPr="0006699D" w:rsidRDefault="00000000" w:rsidP="00396452">
      <w:pPr>
        <w:pStyle w:val="TOC2"/>
        <w:rPr>
          <w:rFonts w:eastAsiaTheme="minorEastAsia" w:cstheme="minorBidi"/>
          <w:noProof/>
          <w:kern w:val="2"/>
          <w:sz w:val="24"/>
          <w:szCs w:val="24"/>
          <w14:ligatures w14:val="standardContextual"/>
        </w:rPr>
      </w:pPr>
      <w:hyperlink w:anchor="_Toc135131461" w:history="1">
        <w:r w:rsidR="0006699D" w:rsidRPr="0006699D">
          <w:rPr>
            <w:rStyle w:val="Hyperlink"/>
            <w:b w:val="0"/>
            <w:bCs w:val="0"/>
            <w:noProof/>
            <w14:scene3d>
              <w14:camera w14:prst="orthographicFront"/>
              <w14:lightRig w14:rig="threePt" w14:dir="t">
                <w14:rot w14:lat="0" w14:lon="0" w14:rev="0"/>
              </w14:lightRig>
            </w14:scene3d>
          </w:rPr>
          <w:t>7.1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General considerations in privacy and confidentiality</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_Toc135131461 \h </w:instrText>
        </w:r>
        <w:r w:rsidR="0006699D" w:rsidRPr="0006699D">
          <w:rPr>
            <w:noProof/>
            <w:webHidden/>
          </w:rPr>
        </w:r>
        <w:r w:rsidR="0006699D" w:rsidRPr="0006699D">
          <w:rPr>
            <w:noProof/>
            <w:webHidden/>
          </w:rPr>
          <w:fldChar w:fldCharType="separate"/>
        </w:r>
        <w:r w:rsidR="00B63F7B">
          <w:rPr>
            <w:noProof/>
            <w:webHidden/>
          </w:rPr>
          <w:t>119</w:t>
        </w:r>
        <w:r w:rsidR="0006699D" w:rsidRPr="0006699D">
          <w:rPr>
            <w:noProof/>
            <w:webHidden/>
          </w:rPr>
          <w:fldChar w:fldCharType="end"/>
        </w:r>
      </w:hyperlink>
    </w:p>
    <w:p w14:paraId="6CB1C4FB" w14:textId="2FD5F8E0" w:rsidR="0006699D" w:rsidRPr="0006699D" w:rsidRDefault="00000000" w:rsidP="00396452">
      <w:pPr>
        <w:pStyle w:val="TOC2"/>
        <w:rPr>
          <w:rFonts w:eastAsiaTheme="minorEastAsia" w:cstheme="minorBidi"/>
          <w:noProof/>
          <w:kern w:val="2"/>
          <w:sz w:val="24"/>
          <w:szCs w:val="24"/>
          <w14:ligatures w14:val="standardContextual"/>
        </w:rPr>
      </w:pPr>
      <w:hyperlink w:anchor="_Toc135131462" w:history="1">
        <w:r w:rsidR="0006699D" w:rsidRPr="0006699D">
          <w:rPr>
            <w:rStyle w:val="Hyperlink"/>
            <w:b w:val="0"/>
            <w:bCs w:val="0"/>
            <w:noProof/>
            <w14:scene3d>
              <w14:camera w14:prst="orthographicFront"/>
              <w14:lightRig w14:rig="threePt" w14:dir="t">
                <w14:rot w14:lat="0" w14:lon="0" w14:rev="0"/>
              </w14:lightRig>
            </w14:scene3d>
          </w:rPr>
          <w:t>7.2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Management of private and confidential information during donor and recipient evaluation and care</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_Toc135131462 \h </w:instrText>
        </w:r>
        <w:r w:rsidR="0006699D" w:rsidRPr="0006699D">
          <w:rPr>
            <w:noProof/>
            <w:webHidden/>
          </w:rPr>
        </w:r>
        <w:r w:rsidR="0006699D" w:rsidRPr="0006699D">
          <w:rPr>
            <w:noProof/>
            <w:webHidden/>
          </w:rPr>
          <w:fldChar w:fldCharType="separate"/>
        </w:r>
        <w:r w:rsidR="00B63F7B">
          <w:rPr>
            <w:noProof/>
            <w:webHidden/>
          </w:rPr>
          <w:t>123</w:t>
        </w:r>
        <w:r w:rsidR="0006699D" w:rsidRPr="0006699D">
          <w:rPr>
            <w:noProof/>
            <w:webHidden/>
          </w:rPr>
          <w:fldChar w:fldCharType="end"/>
        </w:r>
      </w:hyperlink>
    </w:p>
    <w:p w14:paraId="7ADEB103" w14:textId="6E58E1BC" w:rsidR="0006699D" w:rsidRPr="0006699D" w:rsidRDefault="00000000" w:rsidP="00396452">
      <w:pPr>
        <w:pStyle w:val="TOC2"/>
        <w:rPr>
          <w:rFonts w:eastAsiaTheme="minorEastAsia" w:cstheme="minorBidi"/>
          <w:noProof/>
          <w:kern w:val="2"/>
          <w:sz w:val="24"/>
          <w:szCs w:val="24"/>
          <w14:ligatures w14:val="standardContextual"/>
        </w:rPr>
      </w:pPr>
      <w:hyperlink w:anchor="_Toc135131463" w:history="1">
        <w:r w:rsidR="0006699D" w:rsidRPr="0006699D">
          <w:rPr>
            <w:rStyle w:val="Hyperlink"/>
            <w:b w:val="0"/>
            <w:bCs w:val="0"/>
            <w:noProof/>
            <w14:scene3d>
              <w14:camera w14:prst="orthographicFront"/>
              <w14:lightRig w14:rig="threePt" w14:dir="t">
                <w14:rot w14:lat="0" w14:lon="0" w14:rev="0"/>
              </w14:lightRig>
            </w14:scene3d>
          </w:rPr>
          <w:t>7.3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Anonymity in non-directed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_Toc135131463 \h </w:instrText>
        </w:r>
        <w:r w:rsidR="0006699D" w:rsidRPr="0006699D">
          <w:rPr>
            <w:noProof/>
            <w:webHidden/>
          </w:rPr>
        </w:r>
        <w:r w:rsidR="0006699D" w:rsidRPr="0006699D">
          <w:rPr>
            <w:noProof/>
            <w:webHidden/>
          </w:rPr>
          <w:fldChar w:fldCharType="separate"/>
        </w:r>
        <w:r w:rsidR="00B63F7B">
          <w:rPr>
            <w:noProof/>
            <w:webHidden/>
          </w:rPr>
          <w:t>127</w:t>
        </w:r>
        <w:r w:rsidR="0006699D" w:rsidRPr="0006699D">
          <w:rPr>
            <w:noProof/>
            <w:webHidden/>
          </w:rPr>
          <w:fldChar w:fldCharType="end"/>
        </w:r>
      </w:hyperlink>
    </w:p>
    <w:p w14:paraId="4C39CC94" w14:textId="35F8AB75" w:rsidR="0006699D" w:rsidRPr="0006699D" w:rsidRDefault="00000000" w:rsidP="00396452">
      <w:pPr>
        <w:pStyle w:val="TOC2"/>
        <w:rPr>
          <w:rFonts w:eastAsiaTheme="minorEastAsia" w:cstheme="minorBidi"/>
          <w:noProof/>
          <w:kern w:val="2"/>
          <w:sz w:val="24"/>
          <w:szCs w:val="24"/>
          <w14:ligatures w14:val="standardContextual"/>
        </w:rPr>
      </w:pPr>
      <w:hyperlink w:anchor="_Toc135131464" w:history="1">
        <w:r w:rsidR="0006699D" w:rsidRPr="0006699D">
          <w:rPr>
            <w:rStyle w:val="Hyperlink"/>
            <w:b w:val="0"/>
            <w:bCs w:val="0"/>
            <w:noProof/>
            <w14:scene3d>
              <w14:camera w14:prst="orthographicFront"/>
              <w14:lightRig w14:rig="threePt" w14:dir="t">
                <w14:rot w14:lat="0" w14:lon="0" w14:rev="0"/>
              </w14:lightRig>
            </w14:scene3d>
          </w:rPr>
          <w:t>7.4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Data collection and reporting in donation and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_Toc135131464 \h </w:instrText>
        </w:r>
        <w:r w:rsidR="0006699D" w:rsidRPr="0006699D">
          <w:rPr>
            <w:noProof/>
            <w:webHidden/>
          </w:rPr>
        </w:r>
        <w:r w:rsidR="0006699D" w:rsidRPr="0006699D">
          <w:rPr>
            <w:noProof/>
            <w:webHidden/>
          </w:rPr>
          <w:fldChar w:fldCharType="separate"/>
        </w:r>
        <w:r w:rsidR="00B63F7B">
          <w:rPr>
            <w:noProof/>
            <w:webHidden/>
          </w:rPr>
          <w:t>135</w:t>
        </w:r>
        <w:r w:rsidR="0006699D" w:rsidRPr="0006699D">
          <w:rPr>
            <w:noProof/>
            <w:webHidden/>
          </w:rPr>
          <w:fldChar w:fldCharType="end"/>
        </w:r>
      </w:hyperlink>
    </w:p>
    <w:p w14:paraId="606A39C8" w14:textId="7F4D2B41" w:rsidR="0006699D" w:rsidRPr="0006699D" w:rsidRDefault="00000000" w:rsidP="007162C3">
      <w:pPr>
        <w:pStyle w:val="TOC1"/>
        <w:rPr>
          <w:rFonts w:eastAsiaTheme="minorEastAsia" w:cstheme="minorBidi"/>
          <w:kern w:val="2"/>
          <w14:ligatures w14:val="standardContextual"/>
        </w:rPr>
      </w:pPr>
      <w:hyperlink w:anchor="_Toc135131465" w:history="1">
        <w:r w:rsidR="0006699D" w:rsidRPr="0006699D">
          <w:rPr>
            <w:rStyle w:val="Hyperlink"/>
          </w:rPr>
          <w:t>8.</w:t>
        </w:r>
        <w:r w:rsidR="0006699D" w:rsidRPr="0006699D">
          <w:rPr>
            <w:rFonts w:eastAsiaTheme="minorEastAsia" w:cstheme="minorBidi"/>
            <w:kern w:val="2"/>
            <w14:ligatures w14:val="standardContextual"/>
          </w:rPr>
          <w:tab/>
        </w:r>
        <w:r w:rsidR="0006699D" w:rsidRPr="0006699D">
          <w:rPr>
            <w:rStyle w:val="Hyperlink"/>
          </w:rPr>
          <w:t>Equity in opportunities for donation and transplantation</w:t>
        </w:r>
        <w:r w:rsidR="0006699D" w:rsidRPr="0006699D">
          <w:rPr>
            <w:webHidden/>
          </w:rPr>
          <w:tab/>
        </w:r>
        <w:r w:rsidR="0006699D" w:rsidRPr="0006699D">
          <w:rPr>
            <w:webHidden/>
          </w:rPr>
          <w:fldChar w:fldCharType="begin"/>
        </w:r>
        <w:r w:rsidR="0006699D" w:rsidRPr="0006699D">
          <w:rPr>
            <w:webHidden/>
          </w:rPr>
          <w:instrText xml:space="preserve"> PAGEREF _Toc135131465 \h </w:instrText>
        </w:r>
        <w:r w:rsidR="0006699D" w:rsidRPr="0006699D">
          <w:rPr>
            <w:webHidden/>
          </w:rPr>
        </w:r>
        <w:r w:rsidR="0006699D" w:rsidRPr="0006699D">
          <w:rPr>
            <w:webHidden/>
          </w:rPr>
          <w:fldChar w:fldCharType="separate"/>
        </w:r>
        <w:r w:rsidR="00B63F7B">
          <w:rPr>
            <w:webHidden/>
          </w:rPr>
          <w:t>140</w:t>
        </w:r>
        <w:r w:rsidR="0006699D" w:rsidRPr="0006699D">
          <w:rPr>
            <w:webHidden/>
          </w:rPr>
          <w:fldChar w:fldCharType="end"/>
        </w:r>
      </w:hyperlink>
    </w:p>
    <w:p w14:paraId="66379CB3" w14:textId="541A6C5D" w:rsidR="0006699D" w:rsidRPr="0006699D" w:rsidRDefault="00000000" w:rsidP="00396452">
      <w:pPr>
        <w:pStyle w:val="TOC2"/>
        <w:rPr>
          <w:rFonts w:eastAsiaTheme="minorEastAsia" w:cstheme="minorBidi"/>
          <w:noProof/>
          <w:kern w:val="2"/>
          <w:sz w:val="24"/>
          <w:szCs w:val="24"/>
          <w14:ligatures w14:val="standardContextual"/>
        </w:rPr>
      </w:pPr>
      <w:hyperlink w:anchor="_Toc135131466" w:history="1">
        <w:r w:rsidR="0006699D" w:rsidRPr="0006699D">
          <w:rPr>
            <w:rStyle w:val="Hyperlink"/>
            <w:b w:val="0"/>
            <w:bCs w:val="0"/>
            <w:noProof/>
            <w14:scene3d>
              <w14:camera w14:prst="orthographicFront"/>
              <w14:lightRig w14:rig="threePt" w14:dir="t">
                <w14:rot w14:lat="0" w14:lon="0" w14:rev="0"/>
              </w14:lightRig>
            </w14:scene3d>
          </w:rPr>
          <w:t>8.1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The concept of equity in health</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_Toc135131466 \h </w:instrText>
        </w:r>
        <w:r w:rsidR="0006699D" w:rsidRPr="0006699D">
          <w:rPr>
            <w:noProof/>
            <w:webHidden/>
          </w:rPr>
        </w:r>
        <w:r w:rsidR="0006699D" w:rsidRPr="0006699D">
          <w:rPr>
            <w:noProof/>
            <w:webHidden/>
          </w:rPr>
          <w:fldChar w:fldCharType="separate"/>
        </w:r>
        <w:r w:rsidR="00B63F7B">
          <w:rPr>
            <w:noProof/>
            <w:webHidden/>
          </w:rPr>
          <w:t>140</w:t>
        </w:r>
        <w:r w:rsidR="0006699D" w:rsidRPr="0006699D">
          <w:rPr>
            <w:noProof/>
            <w:webHidden/>
          </w:rPr>
          <w:fldChar w:fldCharType="end"/>
        </w:r>
      </w:hyperlink>
    </w:p>
    <w:p w14:paraId="7E836035" w14:textId="0DEE28C1" w:rsidR="0006699D" w:rsidRPr="0006699D" w:rsidRDefault="00000000" w:rsidP="00396452">
      <w:pPr>
        <w:pStyle w:val="TOC2"/>
        <w:rPr>
          <w:rFonts w:eastAsiaTheme="minorEastAsia" w:cstheme="minorBidi"/>
          <w:noProof/>
          <w:kern w:val="2"/>
          <w:sz w:val="24"/>
          <w:szCs w:val="24"/>
          <w14:ligatures w14:val="standardContextual"/>
        </w:rPr>
      </w:pPr>
      <w:hyperlink w:anchor="_Toc135131467" w:history="1">
        <w:r w:rsidR="0006699D" w:rsidRPr="0006699D">
          <w:rPr>
            <w:rStyle w:val="Hyperlink"/>
            <w:b w:val="0"/>
            <w:bCs w:val="0"/>
            <w:noProof/>
            <w14:scene3d>
              <w14:camera w14:prst="orthographicFront"/>
              <w14:lightRig w14:rig="threePt" w14:dir="t">
                <w14:rot w14:lat="0" w14:lon="0" w14:rev="0"/>
              </w14:lightRig>
            </w14:scene3d>
          </w:rPr>
          <w:t>8.2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Principles of justice</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_Toc135131467 \h </w:instrText>
        </w:r>
        <w:r w:rsidR="0006699D" w:rsidRPr="0006699D">
          <w:rPr>
            <w:noProof/>
            <w:webHidden/>
          </w:rPr>
        </w:r>
        <w:r w:rsidR="0006699D" w:rsidRPr="0006699D">
          <w:rPr>
            <w:noProof/>
            <w:webHidden/>
          </w:rPr>
          <w:fldChar w:fldCharType="separate"/>
        </w:r>
        <w:r w:rsidR="00B63F7B">
          <w:rPr>
            <w:noProof/>
            <w:webHidden/>
          </w:rPr>
          <w:t>142</w:t>
        </w:r>
        <w:r w:rsidR="0006699D" w:rsidRPr="0006699D">
          <w:rPr>
            <w:noProof/>
            <w:webHidden/>
          </w:rPr>
          <w:fldChar w:fldCharType="end"/>
        </w:r>
      </w:hyperlink>
    </w:p>
    <w:p w14:paraId="110EC1A6" w14:textId="4452E727" w:rsidR="0006699D" w:rsidRPr="0006699D" w:rsidRDefault="00000000" w:rsidP="00396452">
      <w:pPr>
        <w:pStyle w:val="TOC2"/>
        <w:rPr>
          <w:rFonts w:eastAsiaTheme="minorEastAsia" w:cstheme="minorBidi"/>
          <w:noProof/>
          <w:kern w:val="2"/>
          <w:sz w:val="24"/>
          <w:szCs w:val="24"/>
          <w14:ligatures w14:val="standardContextual"/>
        </w:rPr>
      </w:pPr>
      <w:hyperlink w:anchor="_Toc135131468" w:history="1">
        <w:r w:rsidR="0006699D" w:rsidRPr="0006699D">
          <w:rPr>
            <w:rStyle w:val="Hyperlink"/>
            <w:b w:val="0"/>
            <w:bCs w:val="0"/>
            <w:noProof/>
            <w14:scene3d>
              <w14:camera w14:prst="orthographicFront"/>
              <w14:lightRig w14:rig="threePt" w14:dir="t">
                <w14:rot w14:lat="0" w14:lon="0" w14:rev="0"/>
              </w14:lightRig>
            </w14:scene3d>
          </w:rPr>
          <w:t>8.3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Equity in access to opportunities for donation and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_Toc135131468 \h </w:instrText>
        </w:r>
        <w:r w:rsidR="0006699D" w:rsidRPr="0006699D">
          <w:rPr>
            <w:noProof/>
            <w:webHidden/>
          </w:rPr>
        </w:r>
        <w:r w:rsidR="0006699D" w:rsidRPr="0006699D">
          <w:rPr>
            <w:noProof/>
            <w:webHidden/>
          </w:rPr>
          <w:fldChar w:fldCharType="separate"/>
        </w:r>
        <w:r w:rsidR="00B63F7B">
          <w:rPr>
            <w:noProof/>
            <w:webHidden/>
          </w:rPr>
          <w:t>148</w:t>
        </w:r>
        <w:r w:rsidR="0006699D" w:rsidRPr="0006699D">
          <w:rPr>
            <w:noProof/>
            <w:webHidden/>
          </w:rPr>
          <w:fldChar w:fldCharType="end"/>
        </w:r>
      </w:hyperlink>
    </w:p>
    <w:p w14:paraId="7E27C276" w14:textId="6C392CA0" w:rsidR="0006699D" w:rsidRPr="0006699D" w:rsidRDefault="00000000" w:rsidP="00396452">
      <w:pPr>
        <w:pStyle w:val="TOC2"/>
        <w:rPr>
          <w:rFonts w:eastAsiaTheme="minorEastAsia" w:cstheme="minorBidi"/>
          <w:noProof/>
          <w:kern w:val="2"/>
          <w:sz w:val="24"/>
          <w:szCs w:val="24"/>
          <w14:ligatures w14:val="standardContextual"/>
        </w:rPr>
      </w:pPr>
      <w:hyperlink w:anchor="_Toc135131469" w:history="1">
        <w:r w:rsidR="0006699D" w:rsidRPr="0006699D">
          <w:rPr>
            <w:rStyle w:val="Hyperlink"/>
            <w:b w:val="0"/>
            <w:bCs w:val="0"/>
            <w:noProof/>
            <w14:scene3d>
              <w14:camera w14:prst="orthographicFront"/>
              <w14:lightRig w14:rig="threePt" w14:dir="t">
                <w14:rot w14:lat="0" w14:lon="0" w14:rev="0"/>
              </w14:lightRig>
            </w14:scene3d>
          </w:rPr>
          <w:t>8.4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Allocation of deceased donor organs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_Toc135131469 \h </w:instrText>
        </w:r>
        <w:r w:rsidR="0006699D" w:rsidRPr="0006699D">
          <w:rPr>
            <w:noProof/>
            <w:webHidden/>
          </w:rPr>
        </w:r>
        <w:r w:rsidR="0006699D" w:rsidRPr="0006699D">
          <w:rPr>
            <w:noProof/>
            <w:webHidden/>
          </w:rPr>
          <w:fldChar w:fldCharType="separate"/>
        </w:r>
        <w:r w:rsidR="00B63F7B">
          <w:rPr>
            <w:noProof/>
            <w:webHidden/>
          </w:rPr>
          <w:t>151</w:t>
        </w:r>
        <w:r w:rsidR="0006699D" w:rsidRPr="0006699D">
          <w:rPr>
            <w:noProof/>
            <w:webHidden/>
          </w:rPr>
          <w:fldChar w:fldCharType="end"/>
        </w:r>
      </w:hyperlink>
    </w:p>
    <w:p w14:paraId="565C1BCE" w14:textId="7596B69C" w:rsidR="0006699D" w:rsidRPr="0006699D" w:rsidRDefault="00000000" w:rsidP="00396452">
      <w:pPr>
        <w:pStyle w:val="TOC2"/>
        <w:rPr>
          <w:rFonts w:eastAsiaTheme="minorEastAsia" w:cstheme="minorBidi"/>
          <w:noProof/>
          <w:kern w:val="2"/>
          <w:sz w:val="24"/>
          <w:szCs w:val="24"/>
          <w14:ligatures w14:val="standardContextual"/>
        </w:rPr>
      </w:pPr>
      <w:hyperlink w:anchor="_Toc135131470" w:history="1">
        <w:r w:rsidR="0006699D" w:rsidRPr="0006699D">
          <w:rPr>
            <w:rStyle w:val="Hyperlink"/>
            <w:b w:val="0"/>
            <w:bCs w:val="0"/>
            <w:noProof/>
            <w14:scene3d>
              <w14:camera w14:prst="orthographicFront"/>
              <w14:lightRig w14:rig="threePt" w14:dir="t">
                <w14:rot w14:lat="0" w14:lon="0" w14:rev="0"/>
              </w14:lightRig>
            </w14:scene3d>
          </w:rPr>
          <w:t>8.5</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Equity in distribution of donor tissues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_Toc135131470 \h </w:instrText>
        </w:r>
        <w:r w:rsidR="0006699D" w:rsidRPr="0006699D">
          <w:rPr>
            <w:noProof/>
            <w:webHidden/>
          </w:rPr>
        </w:r>
        <w:r w:rsidR="0006699D" w:rsidRPr="0006699D">
          <w:rPr>
            <w:noProof/>
            <w:webHidden/>
          </w:rPr>
          <w:fldChar w:fldCharType="separate"/>
        </w:r>
        <w:r w:rsidR="00B63F7B">
          <w:rPr>
            <w:noProof/>
            <w:webHidden/>
          </w:rPr>
          <w:t>155</w:t>
        </w:r>
        <w:r w:rsidR="0006699D" w:rsidRPr="0006699D">
          <w:rPr>
            <w:noProof/>
            <w:webHidden/>
          </w:rPr>
          <w:fldChar w:fldCharType="end"/>
        </w:r>
      </w:hyperlink>
    </w:p>
    <w:p w14:paraId="26A3A041" w14:textId="7AF88754" w:rsidR="0006699D" w:rsidRPr="0006699D" w:rsidRDefault="006D04A8" w:rsidP="00396452">
      <w:pPr>
        <w:pStyle w:val="TOC2"/>
        <w:rPr>
          <w:rFonts w:eastAsiaTheme="minorEastAsia" w:cstheme="minorBidi"/>
          <w:noProof/>
          <w:kern w:val="2"/>
          <w:sz w:val="24"/>
          <w:szCs w:val="24"/>
          <w14:ligatures w14:val="standardContextual"/>
        </w:rPr>
      </w:pPr>
      <w:hyperlink w:anchor="_Toc135131471" w:history="1">
        <w:r w:rsidR="0006699D" w:rsidRPr="0006699D">
          <w:rPr>
            <w:rStyle w:val="Hyperlink"/>
            <w:b w:val="0"/>
            <w:bCs w:val="0"/>
            <w:noProof/>
            <w14:scene3d>
              <w14:camera w14:prst="orthographicFront"/>
              <w14:lightRig w14:rig="threePt" w14:dir="t">
                <w14:rot w14:lat="0" w14:lon="0" w14:rev="0"/>
              </w14:lightRig>
            </w14:scene3d>
          </w:rPr>
          <w:t>8.6</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Considerations for procedural justice in distribution and allocation of donor tissues and organs</w:t>
        </w:r>
        <w:r w:rsidR="0006699D" w:rsidRPr="0006699D">
          <w:rPr>
            <w:noProof/>
            <w:webHidden/>
          </w:rPr>
          <w:tab/>
        </w:r>
        <w:r w:rsidR="00443EAC">
          <w:rPr>
            <w:noProof/>
            <w:webHidden/>
          </w:rPr>
          <w:tab/>
        </w:r>
        <w:r w:rsidR="0006699D" w:rsidRPr="0006699D">
          <w:rPr>
            <w:noProof/>
            <w:webHidden/>
          </w:rPr>
          <w:fldChar w:fldCharType="begin"/>
        </w:r>
        <w:r w:rsidR="0006699D" w:rsidRPr="0006699D">
          <w:rPr>
            <w:noProof/>
            <w:webHidden/>
          </w:rPr>
          <w:instrText xml:space="preserve"> PAGEREF _Toc135131471 \h </w:instrText>
        </w:r>
        <w:r w:rsidR="0006699D" w:rsidRPr="0006699D">
          <w:rPr>
            <w:noProof/>
            <w:webHidden/>
          </w:rPr>
        </w:r>
        <w:r w:rsidR="0006699D" w:rsidRPr="0006699D">
          <w:rPr>
            <w:noProof/>
            <w:webHidden/>
          </w:rPr>
          <w:fldChar w:fldCharType="separate"/>
        </w:r>
        <w:r w:rsidR="00B63F7B">
          <w:rPr>
            <w:noProof/>
            <w:webHidden/>
          </w:rPr>
          <w:t>157</w:t>
        </w:r>
        <w:r w:rsidR="0006699D" w:rsidRPr="0006699D">
          <w:rPr>
            <w:noProof/>
            <w:webHidden/>
          </w:rPr>
          <w:fldChar w:fldCharType="end"/>
        </w:r>
      </w:hyperlink>
    </w:p>
    <w:p w14:paraId="6E479F19" w14:textId="72AC536E" w:rsidR="0006699D" w:rsidRPr="0006699D" w:rsidRDefault="00000000" w:rsidP="007162C3">
      <w:pPr>
        <w:pStyle w:val="TOC1"/>
        <w:rPr>
          <w:rFonts w:eastAsiaTheme="minorEastAsia" w:cstheme="minorBidi"/>
          <w:kern w:val="2"/>
          <w14:ligatures w14:val="standardContextual"/>
        </w:rPr>
      </w:pPr>
      <w:hyperlink w:anchor="_Toc135131472" w:history="1">
        <w:r w:rsidR="0006699D" w:rsidRPr="0006699D">
          <w:rPr>
            <w:rStyle w:val="Hyperlink"/>
          </w:rPr>
          <w:t>9.</w:t>
        </w:r>
        <w:r w:rsidR="0006699D" w:rsidRPr="0006699D">
          <w:rPr>
            <w:rFonts w:eastAsiaTheme="minorEastAsia" w:cstheme="minorBidi"/>
            <w:kern w:val="2"/>
            <w14:ligatures w14:val="standardContextual"/>
          </w:rPr>
          <w:tab/>
        </w:r>
        <w:r w:rsidR="0006699D" w:rsidRPr="0006699D">
          <w:rPr>
            <w:rStyle w:val="Hyperlink"/>
          </w:rPr>
          <w:t>Sufficiency and sustainability in donation and transplantation</w:t>
        </w:r>
        <w:r w:rsidR="0006699D" w:rsidRPr="0006699D">
          <w:rPr>
            <w:webHidden/>
          </w:rPr>
          <w:tab/>
        </w:r>
        <w:r w:rsidR="0006699D" w:rsidRPr="0006699D">
          <w:rPr>
            <w:webHidden/>
          </w:rPr>
          <w:fldChar w:fldCharType="begin"/>
        </w:r>
        <w:r w:rsidR="0006699D" w:rsidRPr="0006699D">
          <w:rPr>
            <w:webHidden/>
          </w:rPr>
          <w:instrText xml:space="preserve"> PAGEREF _Toc135131472 \h </w:instrText>
        </w:r>
        <w:r w:rsidR="0006699D" w:rsidRPr="0006699D">
          <w:rPr>
            <w:webHidden/>
          </w:rPr>
        </w:r>
        <w:r w:rsidR="0006699D" w:rsidRPr="0006699D">
          <w:rPr>
            <w:webHidden/>
          </w:rPr>
          <w:fldChar w:fldCharType="separate"/>
        </w:r>
        <w:r w:rsidR="00B63F7B">
          <w:rPr>
            <w:webHidden/>
          </w:rPr>
          <w:t>159</w:t>
        </w:r>
        <w:r w:rsidR="0006699D" w:rsidRPr="0006699D">
          <w:rPr>
            <w:webHidden/>
          </w:rPr>
          <w:fldChar w:fldCharType="end"/>
        </w:r>
      </w:hyperlink>
    </w:p>
    <w:p w14:paraId="4CAF78D8" w14:textId="04C833CE" w:rsidR="0006699D" w:rsidRPr="0006699D" w:rsidRDefault="00000000" w:rsidP="00396452">
      <w:pPr>
        <w:pStyle w:val="TOC2"/>
        <w:rPr>
          <w:rFonts w:eastAsiaTheme="minorEastAsia" w:cstheme="minorBidi"/>
          <w:noProof/>
          <w:kern w:val="2"/>
          <w:sz w:val="24"/>
          <w:szCs w:val="24"/>
          <w14:ligatures w14:val="standardContextual"/>
        </w:rPr>
      </w:pPr>
      <w:hyperlink w:anchor="_Toc135131473" w:history="1">
        <w:r w:rsidR="0006699D" w:rsidRPr="0006699D">
          <w:rPr>
            <w:rStyle w:val="Hyperlink"/>
            <w:b w:val="0"/>
            <w:bCs w:val="0"/>
            <w:noProof/>
            <w14:scene3d>
              <w14:camera w14:prst="orthographicFront"/>
              <w14:lightRig w14:rig="threePt" w14:dir="t">
                <w14:rot w14:lat="0" w14:lon="0" w14:rev="0"/>
              </w14:lightRig>
            </w14:scene3d>
          </w:rPr>
          <w:t>9.1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Ethical values embedded in the self-sufficiency concept</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_Toc135131473 \h </w:instrText>
        </w:r>
        <w:r w:rsidR="0006699D" w:rsidRPr="0006699D">
          <w:rPr>
            <w:noProof/>
            <w:webHidden/>
          </w:rPr>
        </w:r>
        <w:r w:rsidR="0006699D" w:rsidRPr="0006699D">
          <w:rPr>
            <w:noProof/>
            <w:webHidden/>
          </w:rPr>
          <w:fldChar w:fldCharType="separate"/>
        </w:r>
        <w:r w:rsidR="00B63F7B">
          <w:rPr>
            <w:noProof/>
            <w:webHidden/>
          </w:rPr>
          <w:t>159</w:t>
        </w:r>
        <w:r w:rsidR="0006699D" w:rsidRPr="0006699D">
          <w:rPr>
            <w:noProof/>
            <w:webHidden/>
          </w:rPr>
          <w:fldChar w:fldCharType="end"/>
        </w:r>
      </w:hyperlink>
    </w:p>
    <w:p w14:paraId="02BBCC91" w14:textId="64B12464" w:rsidR="0006699D" w:rsidRPr="0006699D" w:rsidRDefault="006D04A8" w:rsidP="00396452">
      <w:pPr>
        <w:pStyle w:val="TOC2"/>
        <w:rPr>
          <w:rFonts w:eastAsiaTheme="minorEastAsia" w:cstheme="minorBidi"/>
          <w:noProof/>
          <w:kern w:val="2"/>
          <w:sz w:val="24"/>
          <w:szCs w:val="24"/>
          <w14:ligatures w14:val="standardContextual"/>
        </w:rPr>
      </w:pPr>
      <w:hyperlink w:anchor="_Toc135131474" w:history="1">
        <w:r w:rsidR="0006699D" w:rsidRPr="0006699D">
          <w:rPr>
            <w:rStyle w:val="Hyperlink"/>
            <w:b w:val="0"/>
            <w:bCs w:val="0"/>
            <w:noProof/>
            <w14:scene3d>
              <w14:camera w14:prst="orthographicFront"/>
              <w14:lightRig w14:rig="threePt" w14:dir="t">
                <w14:rot w14:lat="0" w14:lon="0" w14:rev="0"/>
              </w14:lightRig>
            </w14:scene3d>
          </w:rPr>
          <w:t>9.2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Ethical obligations of custodians when receiving or transferring donor cells, tissues or organs</w:t>
        </w:r>
        <w:r w:rsidR="0006699D" w:rsidRPr="0006699D">
          <w:rPr>
            <w:noProof/>
            <w:webHidden/>
          </w:rPr>
          <w:tab/>
        </w:r>
        <w:r w:rsidR="00443EAC">
          <w:rPr>
            <w:noProof/>
            <w:webHidden/>
          </w:rPr>
          <w:tab/>
        </w:r>
        <w:r w:rsidR="0006699D" w:rsidRPr="0006699D">
          <w:rPr>
            <w:noProof/>
            <w:webHidden/>
          </w:rPr>
          <w:fldChar w:fldCharType="begin"/>
        </w:r>
        <w:r w:rsidR="0006699D" w:rsidRPr="0006699D">
          <w:rPr>
            <w:noProof/>
            <w:webHidden/>
          </w:rPr>
          <w:instrText xml:space="preserve"> PAGEREF _Toc135131474 \h </w:instrText>
        </w:r>
        <w:r w:rsidR="0006699D" w:rsidRPr="0006699D">
          <w:rPr>
            <w:noProof/>
            <w:webHidden/>
          </w:rPr>
        </w:r>
        <w:r w:rsidR="0006699D" w:rsidRPr="0006699D">
          <w:rPr>
            <w:noProof/>
            <w:webHidden/>
          </w:rPr>
          <w:fldChar w:fldCharType="separate"/>
        </w:r>
        <w:r w:rsidR="00B63F7B">
          <w:rPr>
            <w:noProof/>
            <w:webHidden/>
          </w:rPr>
          <w:t>161</w:t>
        </w:r>
        <w:r w:rsidR="0006699D" w:rsidRPr="0006699D">
          <w:rPr>
            <w:noProof/>
            <w:webHidden/>
          </w:rPr>
          <w:fldChar w:fldCharType="end"/>
        </w:r>
      </w:hyperlink>
    </w:p>
    <w:p w14:paraId="79A37ED6" w14:textId="4B0D1DCB" w:rsidR="0006699D" w:rsidRPr="0006699D" w:rsidRDefault="00000000" w:rsidP="00396452">
      <w:pPr>
        <w:pStyle w:val="TOC2"/>
        <w:rPr>
          <w:rFonts w:eastAsiaTheme="minorEastAsia" w:cstheme="minorBidi"/>
          <w:noProof/>
          <w:kern w:val="2"/>
          <w:sz w:val="24"/>
          <w:szCs w:val="24"/>
          <w14:ligatures w14:val="standardContextual"/>
        </w:rPr>
      </w:pPr>
      <w:hyperlink w:anchor="_Toc135131475" w:history="1">
        <w:r w:rsidR="0006699D" w:rsidRPr="0006699D">
          <w:rPr>
            <w:rStyle w:val="Hyperlink"/>
            <w:b w:val="0"/>
            <w:bCs w:val="0"/>
            <w:noProof/>
            <w14:scene3d>
              <w14:camera w14:prst="orthographicFront"/>
              <w14:lightRig w14:rig="threePt" w14:dir="t">
                <w14:rot w14:lat="0" w14:lon="0" w14:rev="0"/>
              </w14:lightRig>
            </w14:scene3d>
          </w:rPr>
          <w:t>9.3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Ethical conditions for the international import and export of donations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_Toc135131475 \h </w:instrText>
        </w:r>
        <w:r w:rsidR="0006699D" w:rsidRPr="0006699D">
          <w:rPr>
            <w:noProof/>
            <w:webHidden/>
          </w:rPr>
        </w:r>
        <w:r w:rsidR="0006699D" w:rsidRPr="0006699D">
          <w:rPr>
            <w:noProof/>
            <w:webHidden/>
          </w:rPr>
          <w:fldChar w:fldCharType="separate"/>
        </w:r>
        <w:r w:rsidR="00B63F7B">
          <w:rPr>
            <w:noProof/>
            <w:webHidden/>
          </w:rPr>
          <w:t>161</w:t>
        </w:r>
        <w:r w:rsidR="0006699D" w:rsidRPr="0006699D">
          <w:rPr>
            <w:noProof/>
            <w:webHidden/>
          </w:rPr>
          <w:fldChar w:fldCharType="end"/>
        </w:r>
      </w:hyperlink>
    </w:p>
    <w:p w14:paraId="1045BF60" w14:textId="262432C7" w:rsidR="0006699D" w:rsidRPr="0006699D" w:rsidRDefault="00000000" w:rsidP="00396452">
      <w:pPr>
        <w:pStyle w:val="TOC2"/>
        <w:rPr>
          <w:rFonts w:eastAsiaTheme="minorEastAsia" w:cstheme="minorBidi"/>
          <w:noProof/>
          <w:kern w:val="2"/>
          <w:sz w:val="24"/>
          <w:szCs w:val="24"/>
          <w14:ligatures w14:val="standardContextual"/>
        </w:rPr>
      </w:pPr>
      <w:hyperlink w:anchor="_Toc135131476" w:history="1">
        <w:r w:rsidR="0006699D" w:rsidRPr="0006699D">
          <w:rPr>
            <w:rStyle w:val="Hyperlink"/>
            <w:b w:val="0"/>
            <w:bCs w:val="0"/>
            <w:noProof/>
            <w14:scene3d>
              <w14:camera w14:prst="orthographicFront"/>
              <w14:lightRig w14:rig="threePt" w14:dir="t">
                <w14:rot w14:lat="0" w14:lon="0" w14:rev="0"/>
              </w14:lightRig>
            </w14:scene3d>
          </w:rPr>
          <w:t>9.4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International travel for organ or tissue transplantation or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_Toc135131476 \h </w:instrText>
        </w:r>
        <w:r w:rsidR="0006699D" w:rsidRPr="0006699D">
          <w:rPr>
            <w:noProof/>
            <w:webHidden/>
          </w:rPr>
        </w:r>
        <w:r w:rsidR="0006699D" w:rsidRPr="0006699D">
          <w:rPr>
            <w:noProof/>
            <w:webHidden/>
          </w:rPr>
          <w:fldChar w:fldCharType="separate"/>
        </w:r>
        <w:r w:rsidR="00B63F7B">
          <w:rPr>
            <w:noProof/>
            <w:webHidden/>
          </w:rPr>
          <w:t>165</w:t>
        </w:r>
        <w:r w:rsidR="0006699D" w:rsidRPr="0006699D">
          <w:rPr>
            <w:noProof/>
            <w:webHidden/>
          </w:rPr>
          <w:fldChar w:fldCharType="end"/>
        </w:r>
      </w:hyperlink>
    </w:p>
    <w:p w14:paraId="5ECB7202" w14:textId="43DDBCA9" w:rsidR="0006699D" w:rsidRPr="0006699D" w:rsidRDefault="00000000" w:rsidP="007162C3">
      <w:pPr>
        <w:pStyle w:val="TOC1"/>
        <w:rPr>
          <w:rFonts w:eastAsiaTheme="minorEastAsia" w:cstheme="minorBidi"/>
          <w:kern w:val="2"/>
          <w14:ligatures w14:val="standardContextual"/>
        </w:rPr>
      </w:pPr>
      <w:hyperlink w:anchor="_Toc135131477" w:history="1">
        <w:r w:rsidR="0006699D" w:rsidRPr="0006699D">
          <w:rPr>
            <w:rStyle w:val="Hyperlink"/>
          </w:rPr>
          <w:t>10.</w:t>
        </w:r>
        <w:r w:rsidR="0006699D" w:rsidRPr="0006699D">
          <w:rPr>
            <w:rFonts w:eastAsiaTheme="minorEastAsia" w:cstheme="minorBidi"/>
            <w:kern w:val="2"/>
            <w14:ligatures w14:val="standardContextual"/>
          </w:rPr>
          <w:tab/>
        </w:r>
        <w:r w:rsidR="0006699D" w:rsidRPr="0006699D">
          <w:rPr>
            <w:rStyle w:val="Hyperlink"/>
          </w:rPr>
          <w:t>Commodification of cells, tissues, and organs and financial neutrality in donation</w:t>
        </w:r>
        <w:r w:rsidR="0006699D" w:rsidRPr="0006699D">
          <w:rPr>
            <w:webHidden/>
          </w:rPr>
          <w:tab/>
        </w:r>
        <w:r w:rsidR="0006699D" w:rsidRPr="0006699D">
          <w:rPr>
            <w:webHidden/>
          </w:rPr>
          <w:fldChar w:fldCharType="begin"/>
        </w:r>
        <w:r w:rsidR="0006699D" w:rsidRPr="0006699D">
          <w:rPr>
            <w:webHidden/>
          </w:rPr>
          <w:instrText xml:space="preserve"> PAGEREF _Toc135131477 \h </w:instrText>
        </w:r>
        <w:r w:rsidR="0006699D" w:rsidRPr="0006699D">
          <w:rPr>
            <w:webHidden/>
          </w:rPr>
        </w:r>
        <w:r w:rsidR="0006699D" w:rsidRPr="0006699D">
          <w:rPr>
            <w:webHidden/>
          </w:rPr>
          <w:fldChar w:fldCharType="separate"/>
        </w:r>
        <w:r w:rsidR="00B63F7B">
          <w:rPr>
            <w:webHidden/>
          </w:rPr>
          <w:t>170</w:t>
        </w:r>
        <w:r w:rsidR="0006699D" w:rsidRPr="0006699D">
          <w:rPr>
            <w:webHidden/>
          </w:rPr>
          <w:fldChar w:fldCharType="end"/>
        </w:r>
      </w:hyperlink>
    </w:p>
    <w:p w14:paraId="3DE1900B" w14:textId="61DA77BD" w:rsidR="0006699D" w:rsidRPr="0006699D" w:rsidRDefault="00000000" w:rsidP="00396452">
      <w:pPr>
        <w:pStyle w:val="TOC2"/>
        <w:rPr>
          <w:rFonts w:eastAsiaTheme="minorEastAsia" w:cstheme="minorBidi"/>
          <w:noProof/>
          <w:kern w:val="2"/>
          <w14:ligatures w14:val="standardContextual"/>
        </w:rPr>
      </w:pPr>
      <w:hyperlink w:anchor="_Toc135131478" w:history="1">
        <w:r w:rsidR="0006699D" w:rsidRPr="0006699D">
          <w:rPr>
            <w:rStyle w:val="Hyperlink"/>
            <w:b w:val="0"/>
            <w:bCs w:val="0"/>
            <w:noProof/>
            <w14:scene3d>
              <w14:camera w14:prst="orthographicFront"/>
              <w14:lightRig w14:rig="threePt" w14:dir="t">
                <w14:rot w14:lat="0" w14:lon="0" w14:rev="0"/>
              </w14:lightRig>
            </w14:scene3d>
          </w:rPr>
          <w:t>10.1</w:t>
        </w:r>
        <w:r w:rsidR="0006699D" w:rsidRPr="0006699D">
          <w:rPr>
            <w:rFonts w:eastAsiaTheme="minorEastAsia" w:cstheme="minorBidi"/>
            <w:noProof/>
            <w:kern w:val="2"/>
            <w14:ligatures w14:val="standardContextual"/>
          </w:rPr>
          <w:tab/>
        </w:r>
        <w:r w:rsidR="0006699D" w:rsidRPr="0006699D">
          <w:rPr>
            <w:rStyle w:val="Hyperlink"/>
            <w:b w:val="0"/>
            <w:bCs w:val="0"/>
            <w:noProof/>
          </w:rPr>
          <w:t>Ethical concerns about trade in human cells, tissues, and organs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_Toc135131478 \h </w:instrText>
        </w:r>
        <w:r w:rsidR="0006699D" w:rsidRPr="0006699D">
          <w:rPr>
            <w:noProof/>
            <w:webHidden/>
          </w:rPr>
        </w:r>
        <w:r w:rsidR="0006699D" w:rsidRPr="0006699D">
          <w:rPr>
            <w:noProof/>
            <w:webHidden/>
          </w:rPr>
          <w:fldChar w:fldCharType="separate"/>
        </w:r>
        <w:r w:rsidR="00B63F7B">
          <w:rPr>
            <w:noProof/>
            <w:webHidden/>
          </w:rPr>
          <w:t>171</w:t>
        </w:r>
        <w:r w:rsidR="0006699D" w:rsidRPr="0006699D">
          <w:rPr>
            <w:noProof/>
            <w:webHidden/>
          </w:rPr>
          <w:fldChar w:fldCharType="end"/>
        </w:r>
      </w:hyperlink>
    </w:p>
    <w:p w14:paraId="115FBD42" w14:textId="7CF6CB8E" w:rsidR="0006699D" w:rsidRPr="0006699D" w:rsidRDefault="00000000" w:rsidP="00396452">
      <w:pPr>
        <w:pStyle w:val="TOC2"/>
        <w:rPr>
          <w:rFonts w:eastAsiaTheme="minorEastAsia" w:cstheme="minorBidi"/>
          <w:noProof/>
          <w:kern w:val="2"/>
          <w14:ligatures w14:val="standardContextual"/>
        </w:rPr>
      </w:pPr>
      <w:hyperlink w:anchor="_Toc135131479" w:history="1">
        <w:r w:rsidR="0006699D" w:rsidRPr="0006699D">
          <w:rPr>
            <w:rStyle w:val="Hyperlink"/>
            <w:b w:val="0"/>
            <w:bCs w:val="0"/>
            <w:noProof/>
            <w14:scene3d>
              <w14:camera w14:prst="orthographicFront"/>
              <w14:lightRig w14:rig="threePt" w14:dir="t">
                <w14:rot w14:lat="0" w14:lon="0" w14:rev="0"/>
              </w14:lightRig>
            </w14:scene3d>
          </w:rPr>
          <w:t>10.2</w:t>
        </w:r>
        <w:r w:rsidR="0006699D" w:rsidRPr="0006699D">
          <w:rPr>
            <w:rFonts w:eastAsiaTheme="minorEastAsia" w:cstheme="minorBidi"/>
            <w:noProof/>
            <w:kern w:val="2"/>
            <w14:ligatures w14:val="standardContextual"/>
          </w:rPr>
          <w:tab/>
        </w:r>
        <w:r w:rsidR="0006699D" w:rsidRPr="0006699D">
          <w:rPr>
            <w:rStyle w:val="Hyperlink"/>
            <w:b w:val="0"/>
            <w:bCs w:val="0"/>
            <w:noProof/>
          </w:rPr>
          <w:t>Legal aspects of prohibition of trade in human cells, tissues, and organs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_Toc135131479 \h </w:instrText>
        </w:r>
        <w:r w:rsidR="0006699D" w:rsidRPr="0006699D">
          <w:rPr>
            <w:noProof/>
            <w:webHidden/>
          </w:rPr>
        </w:r>
        <w:r w:rsidR="0006699D" w:rsidRPr="0006699D">
          <w:rPr>
            <w:noProof/>
            <w:webHidden/>
          </w:rPr>
          <w:fldChar w:fldCharType="separate"/>
        </w:r>
        <w:r w:rsidR="00B63F7B">
          <w:rPr>
            <w:noProof/>
            <w:webHidden/>
          </w:rPr>
          <w:t>172</w:t>
        </w:r>
        <w:r w:rsidR="0006699D" w:rsidRPr="0006699D">
          <w:rPr>
            <w:noProof/>
            <w:webHidden/>
          </w:rPr>
          <w:fldChar w:fldCharType="end"/>
        </w:r>
      </w:hyperlink>
    </w:p>
    <w:p w14:paraId="20EC367D" w14:textId="559650A4" w:rsidR="0006699D" w:rsidRPr="0006699D" w:rsidRDefault="00000000" w:rsidP="00396452">
      <w:pPr>
        <w:pStyle w:val="TOC2"/>
        <w:rPr>
          <w:rFonts w:eastAsiaTheme="minorEastAsia" w:cstheme="minorBidi"/>
          <w:noProof/>
          <w:kern w:val="2"/>
          <w14:ligatures w14:val="standardContextual"/>
        </w:rPr>
      </w:pPr>
      <w:hyperlink w:anchor="_Toc135131480" w:history="1">
        <w:r w:rsidR="0006699D" w:rsidRPr="0006699D">
          <w:rPr>
            <w:rStyle w:val="Hyperlink"/>
            <w:b w:val="0"/>
            <w:bCs w:val="0"/>
            <w:noProof/>
            <w14:scene3d>
              <w14:camera w14:prst="orthographicFront"/>
              <w14:lightRig w14:rig="threePt" w14:dir="t">
                <w14:rot w14:lat="0" w14:lon="0" w14:rev="0"/>
              </w14:lightRig>
            </w14:scene3d>
          </w:rPr>
          <w:t>10.3</w:t>
        </w:r>
        <w:r w:rsidR="0006699D" w:rsidRPr="0006699D">
          <w:rPr>
            <w:rFonts w:eastAsiaTheme="minorEastAsia" w:cstheme="minorBidi"/>
            <w:noProof/>
            <w:kern w:val="2"/>
            <w14:ligatures w14:val="standardContextual"/>
          </w:rPr>
          <w:tab/>
        </w:r>
        <w:r w:rsidR="0006699D" w:rsidRPr="0006699D">
          <w:rPr>
            <w:rStyle w:val="Hyperlink"/>
            <w:b w:val="0"/>
            <w:bCs w:val="0"/>
            <w:noProof/>
          </w:rPr>
          <w:t>Distinguishing trade in cells, tissues, and organs from cost recovery in donation and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_Toc135131480 \h </w:instrText>
        </w:r>
        <w:r w:rsidR="0006699D" w:rsidRPr="0006699D">
          <w:rPr>
            <w:noProof/>
            <w:webHidden/>
          </w:rPr>
        </w:r>
        <w:r w:rsidR="0006699D" w:rsidRPr="0006699D">
          <w:rPr>
            <w:noProof/>
            <w:webHidden/>
          </w:rPr>
          <w:fldChar w:fldCharType="separate"/>
        </w:r>
        <w:r w:rsidR="00B63F7B">
          <w:rPr>
            <w:noProof/>
            <w:webHidden/>
          </w:rPr>
          <w:t>172</w:t>
        </w:r>
        <w:r w:rsidR="0006699D" w:rsidRPr="0006699D">
          <w:rPr>
            <w:noProof/>
            <w:webHidden/>
          </w:rPr>
          <w:fldChar w:fldCharType="end"/>
        </w:r>
      </w:hyperlink>
    </w:p>
    <w:p w14:paraId="20F32504" w14:textId="6387D191" w:rsidR="0006699D" w:rsidRPr="0006699D" w:rsidRDefault="00000000" w:rsidP="00396452">
      <w:pPr>
        <w:pStyle w:val="TOC2"/>
        <w:rPr>
          <w:rFonts w:eastAsiaTheme="minorEastAsia" w:cstheme="minorBidi"/>
          <w:noProof/>
          <w:kern w:val="2"/>
          <w14:ligatures w14:val="standardContextual"/>
        </w:rPr>
      </w:pPr>
      <w:hyperlink w:anchor="_Toc135131481" w:history="1">
        <w:r w:rsidR="0006699D" w:rsidRPr="0006699D">
          <w:rPr>
            <w:rStyle w:val="Hyperlink"/>
            <w:b w:val="0"/>
            <w:bCs w:val="0"/>
            <w:noProof/>
            <w14:scene3d>
              <w14:camera w14:prst="orthographicFront"/>
              <w14:lightRig w14:rig="threePt" w14:dir="t">
                <w14:rot w14:lat="0" w14:lon="0" w14:rev="0"/>
              </w14:lightRig>
            </w14:scene3d>
          </w:rPr>
          <w:t>10.4</w:t>
        </w:r>
        <w:r w:rsidR="0006699D" w:rsidRPr="0006699D">
          <w:rPr>
            <w:rFonts w:eastAsiaTheme="minorEastAsia" w:cstheme="minorBidi"/>
            <w:noProof/>
            <w:kern w:val="2"/>
            <w14:ligatures w14:val="standardContextual"/>
          </w:rPr>
          <w:tab/>
        </w:r>
        <w:r w:rsidR="0006699D" w:rsidRPr="0006699D">
          <w:rPr>
            <w:rStyle w:val="Hyperlink"/>
            <w:b w:val="0"/>
            <w:bCs w:val="0"/>
            <w:noProof/>
          </w:rPr>
          <w:t>Financial neutrality in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_Toc135131481 \h </w:instrText>
        </w:r>
        <w:r w:rsidR="0006699D" w:rsidRPr="0006699D">
          <w:rPr>
            <w:noProof/>
            <w:webHidden/>
          </w:rPr>
        </w:r>
        <w:r w:rsidR="0006699D" w:rsidRPr="0006699D">
          <w:rPr>
            <w:noProof/>
            <w:webHidden/>
          </w:rPr>
          <w:fldChar w:fldCharType="separate"/>
        </w:r>
        <w:r w:rsidR="00B63F7B">
          <w:rPr>
            <w:noProof/>
            <w:webHidden/>
          </w:rPr>
          <w:t>173</w:t>
        </w:r>
        <w:r w:rsidR="0006699D" w:rsidRPr="0006699D">
          <w:rPr>
            <w:noProof/>
            <w:webHidden/>
          </w:rPr>
          <w:fldChar w:fldCharType="end"/>
        </w:r>
      </w:hyperlink>
    </w:p>
    <w:p w14:paraId="2ADFC87F" w14:textId="72EBE9E0" w:rsidR="0006699D" w:rsidRPr="0006699D" w:rsidRDefault="00000000" w:rsidP="00396452">
      <w:pPr>
        <w:pStyle w:val="TOC2"/>
        <w:rPr>
          <w:rFonts w:eastAsiaTheme="minorEastAsia" w:cstheme="minorBidi"/>
          <w:noProof/>
          <w:kern w:val="2"/>
          <w14:ligatures w14:val="standardContextual"/>
        </w:rPr>
      </w:pPr>
      <w:hyperlink w:anchor="_Toc135131482" w:history="1">
        <w:r w:rsidR="0006699D" w:rsidRPr="0006699D">
          <w:rPr>
            <w:rStyle w:val="Hyperlink"/>
            <w:b w:val="0"/>
            <w:bCs w:val="0"/>
            <w:noProof/>
            <w14:scene3d>
              <w14:camera w14:prst="orthographicFront"/>
              <w14:lightRig w14:rig="threePt" w14:dir="t">
                <w14:rot w14:lat="0" w14:lon="0" w14:rev="0"/>
              </w14:lightRig>
            </w14:scene3d>
          </w:rPr>
          <w:t>10.5</w:t>
        </w:r>
        <w:r w:rsidR="0006699D" w:rsidRPr="0006699D">
          <w:rPr>
            <w:rFonts w:eastAsiaTheme="minorEastAsia" w:cstheme="minorBidi"/>
            <w:noProof/>
            <w:kern w:val="2"/>
            <w14:ligatures w14:val="standardContextual"/>
          </w:rPr>
          <w:tab/>
        </w:r>
        <w:r w:rsidR="0006699D" w:rsidRPr="0006699D">
          <w:rPr>
            <w:rStyle w:val="Hyperlink"/>
            <w:b w:val="0"/>
            <w:bCs w:val="0"/>
            <w:noProof/>
          </w:rPr>
          <w:t>Cost recovery and profit management for donation and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_Toc135131482 \h </w:instrText>
        </w:r>
        <w:r w:rsidR="0006699D" w:rsidRPr="0006699D">
          <w:rPr>
            <w:noProof/>
            <w:webHidden/>
          </w:rPr>
        </w:r>
        <w:r w:rsidR="0006699D" w:rsidRPr="0006699D">
          <w:rPr>
            <w:noProof/>
            <w:webHidden/>
          </w:rPr>
          <w:fldChar w:fldCharType="separate"/>
        </w:r>
        <w:r w:rsidR="00B63F7B">
          <w:rPr>
            <w:noProof/>
            <w:webHidden/>
          </w:rPr>
          <w:t>175</w:t>
        </w:r>
        <w:r w:rsidR="0006699D" w:rsidRPr="0006699D">
          <w:rPr>
            <w:noProof/>
            <w:webHidden/>
          </w:rPr>
          <w:fldChar w:fldCharType="end"/>
        </w:r>
      </w:hyperlink>
    </w:p>
    <w:p w14:paraId="661B72E5" w14:textId="1FC1B550" w:rsidR="0006699D" w:rsidRPr="0006699D" w:rsidRDefault="00000000" w:rsidP="00396452">
      <w:pPr>
        <w:pStyle w:val="TOC2"/>
        <w:rPr>
          <w:rFonts w:eastAsiaTheme="minorEastAsia" w:cstheme="minorBidi"/>
          <w:noProof/>
          <w:kern w:val="2"/>
          <w14:ligatures w14:val="standardContextual"/>
        </w:rPr>
      </w:pPr>
      <w:hyperlink w:anchor="_Toc135131483" w:history="1">
        <w:r w:rsidR="0006699D" w:rsidRPr="0006699D">
          <w:rPr>
            <w:rStyle w:val="Hyperlink"/>
            <w:b w:val="0"/>
            <w:bCs w:val="0"/>
            <w:noProof/>
            <w14:scene3d>
              <w14:camera w14:prst="orthographicFront"/>
              <w14:lightRig w14:rig="threePt" w14:dir="t">
                <w14:rot w14:lat="0" w14:lon="0" w14:rev="0"/>
              </w14:lightRig>
            </w14:scene3d>
          </w:rPr>
          <w:t>10.6</w:t>
        </w:r>
        <w:r w:rsidR="0006699D" w:rsidRPr="0006699D">
          <w:rPr>
            <w:rFonts w:eastAsiaTheme="minorEastAsia" w:cstheme="minorBidi"/>
            <w:noProof/>
            <w:kern w:val="2"/>
            <w14:ligatures w14:val="standardContextual"/>
          </w:rPr>
          <w:tab/>
        </w:r>
        <w:r w:rsidR="0006699D" w:rsidRPr="0006699D">
          <w:rPr>
            <w:rStyle w:val="Hyperlink"/>
            <w:b w:val="0"/>
            <w:bCs w:val="0"/>
            <w:noProof/>
          </w:rPr>
          <w:t>Organ and tissue trafficking</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_Toc135131483 \h </w:instrText>
        </w:r>
        <w:r w:rsidR="0006699D" w:rsidRPr="0006699D">
          <w:rPr>
            <w:noProof/>
            <w:webHidden/>
          </w:rPr>
        </w:r>
        <w:r w:rsidR="0006699D" w:rsidRPr="0006699D">
          <w:rPr>
            <w:noProof/>
            <w:webHidden/>
          </w:rPr>
          <w:fldChar w:fldCharType="separate"/>
        </w:r>
        <w:r w:rsidR="00B63F7B">
          <w:rPr>
            <w:noProof/>
            <w:webHidden/>
          </w:rPr>
          <w:t>179</w:t>
        </w:r>
        <w:r w:rsidR="0006699D" w:rsidRPr="0006699D">
          <w:rPr>
            <w:noProof/>
            <w:webHidden/>
          </w:rPr>
          <w:fldChar w:fldCharType="end"/>
        </w:r>
      </w:hyperlink>
    </w:p>
    <w:p w14:paraId="4613B553" w14:textId="1992B113" w:rsidR="0006699D" w:rsidRPr="0006699D" w:rsidRDefault="00000000" w:rsidP="007162C3">
      <w:pPr>
        <w:pStyle w:val="TOC1"/>
        <w:rPr>
          <w:rFonts w:eastAsiaTheme="minorEastAsia" w:cstheme="minorBidi"/>
          <w:kern w:val="2"/>
          <w14:ligatures w14:val="standardContextual"/>
        </w:rPr>
      </w:pPr>
      <w:hyperlink w:anchor="_Toc135131484" w:history="1">
        <w:r w:rsidR="0006699D" w:rsidRPr="0006699D">
          <w:rPr>
            <w:rStyle w:val="Hyperlink"/>
          </w:rPr>
          <w:t>11.</w:t>
        </w:r>
        <w:r w:rsidR="0006699D" w:rsidRPr="0006699D">
          <w:rPr>
            <w:rFonts w:eastAsiaTheme="minorEastAsia" w:cstheme="minorBidi"/>
            <w:kern w:val="2"/>
            <w14:ligatures w14:val="standardContextual"/>
          </w:rPr>
          <w:tab/>
        </w:r>
        <w:r w:rsidR="0006699D" w:rsidRPr="0006699D">
          <w:rPr>
            <w:rStyle w:val="Hyperlink"/>
          </w:rPr>
          <w:t>Ethical issues in deceased donation of organs and tissues</w:t>
        </w:r>
        <w:r w:rsidR="0006699D" w:rsidRPr="0006699D">
          <w:rPr>
            <w:webHidden/>
          </w:rPr>
          <w:tab/>
        </w:r>
        <w:r w:rsidR="0006699D" w:rsidRPr="0006699D">
          <w:rPr>
            <w:webHidden/>
          </w:rPr>
          <w:fldChar w:fldCharType="begin"/>
        </w:r>
        <w:r w:rsidR="0006699D" w:rsidRPr="0006699D">
          <w:rPr>
            <w:webHidden/>
          </w:rPr>
          <w:instrText xml:space="preserve"> PAGEREF _Toc135131484 \h </w:instrText>
        </w:r>
        <w:r w:rsidR="0006699D" w:rsidRPr="0006699D">
          <w:rPr>
            <w:webHidden/>
          </w:rPr>
        </w:r>
        <w:r w:rsidR="0006699D" w:rsidRPr="0006699D">
          <w:rPr>
            <w:webHidden/>
          </w:rPr>
          <w:fldChar w:fldCharType="separate"/>
        </w:r>
        <w:r w:rsidR="00B63F7B">
          <w:rPr>
            <w:webHidden/>
          </w:rPr>
          <w:t>183</w:t>
        </w:r>
        <w:r w:rsidR="0006699D" w:rsidRPr="0006699D">
          <w:rPr>
            <w:webHidden/>
          </w:rPr>
          <w:fldChar w:fldCharType="end"/>
        </w:r>
      </w:hyperlink>
    </w:p>
    <w:p w14:paraId="7D200DD6" w14:textId="3173EC9B" w:rsidR="0006699D" w:rsidRPr="0006699D" w:rsidRDefault="00000000" w:rsidP="00396452">
      <w:pPr>
        <w:pStyle w:val="TOC2"/>
        <w:rPr>
          <w:rFonts w:eastAsiaTheme="minorEastAsia" w:cstheme="minorBidi"/>
          <w:noProof/>
          <w:kern w:val="2"/>
          <w14:ligatures w14:val="standardContextual"/>
        </w:rPr>
      </w:pPr>
      <w:hyperlink w:anchor="_Toc135131485" w:history="1">
        <w:r w:rsidR="0006699D" w:rsidRPr="0006699D">
          <w:rPr>
            <w:rStyle w:val="Hyperlink"/>
            <w:b w:val="0"/>
            <w:bCs w:val="0"/>
            <w:noProof/>
            <w14:scene3d>
              <w14:camera w14:prst="orthographicFront"/>
              <w14:lightRig w14:rig="threePt" w14:dir="t">
                <w14:rot w14:lat="0" w14:lon="0" w14:rev="0"/>
              </w14:lightRig>
            </w14:scene3d>
          </w:rPr>
          <w:t>11.1</w:t>
        </w:r>
        <w:r w:rsidR="0006699D" w:rsidRPr="0006699D">
          <w:rPr>
            <w:rFonts w:eastAsiaTheme="minorEastAsia" w:cstheme="minorBidi"/>
            <w:noProof/>
            <w:kern w:val="2"/>
            <w14:ligatures w14:val="standardContextual"/>
          </w:rPr>
          <w:tab/>
        </w:r>
        <w:r w:rsidR="0006699D" w:rsidRPr="0006699D">
          <w:rPr>
            <w:rStyle w:val="Hyperlink"/>
            <w:b w:val="0"/>
            <w:bCs w:val="0"/>
            <w:noProof/>
          </w:rPr>
          <w:t>Understanding the “dead donor rule”</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_Toc135131485 \h </w:instrText>
        </w:r>
        <w:r w:rsidR="0006699D" w:rsidRPr="0006699D">
          <w:rPr>
            <w:noProof/>
            <w:webHidden/>
          </w:rPr>
        </w:r>
        <w:r w:rsidR="0006699D" w:rsidRPr="0006699D">
          <w:rPr>
            <w:noProof/>
            <w:webHidden/>
          </w:rPr>
          <w:fldChar w:fldCharType="separate"/>
        </w:r>
        <w:r w:rsidR="00B63F7B">
          <w:rPr>
            <w:noProof/>
            <w:webHidden/>
          </w:rPr>
          <w:t>183</w:t>
        </w:r>
        <w:r w:rsidR="0006699D" w:rsidRPr="0006699D">
          <w:rPr>
            <w:noProof/>
            <w:webHidden/>
          </w:rPr>
          <w:fldChar w:fldCharType="end"/>
        </w:r>
      </w:hyperlink>
    </w:p>
    <w:p w14:paraId="51BFBF08" w14:textId="4D74C9D9" w:rsidR="0006699D" w:rsidRPr="0006699D" w:rsidRDefault="00000000" w:rsidP="00396452">
      <w:pPr>
        <w:pStyle w:val="TOC2"/>
        <w:rPr>
          <w:rFonts w:eastAsiaTheme="minorEastAsia" w:cstheme="minorBidi"/>
          <w:noProof/>
          <w:kern w:val="2"/>
          <w14:ligatures w14:val="standardContextual"/>
        </w:rPr>
      </w:pPr>
      <w:hyperlink w:anchor="_Toc135131486" w:history="1">
        <w:r w:rsidR="0006699D" w:rsidRPr="0006699D">
          <w:rPr>
            <w:rStyle w:val="Hyperlink"/>
            <w:b w:val="0"/>
            <w:bCs w:val="0"/>
            <w:noProof/>
            <w14:scene3d>
              <w14:camera w14:prst="orthographicFront"/>
              <w14:lightRig w14:rig="threePt" w14:dir="t">
                <w14:rot w14:lat="0" w14:lon="0" w14:rev="0"/>
              </w14:lightRig>
            </w14:scene3d>
          </w:rPr>
          <w:t>11.2</w:t>
        </w:r>
        <w:r w:rsidR="0006699D" w:rsidRPr="0006699D">
          <w:rPr>
            <w:rFonts w:eastAsiaTheme="minorEastAsia" w:cstheme="minorBidi"/>
            <w:noProof/>
            <w:kern w:val="2"/>
            <w14:ligatures w14:val="standardContextual"/>
          </w:rPr>
          <w:tab/>
        </w:r>
        <w:r w:rsidR="0006699D" w:rsidRPr="0006699D">
          <w:rPr>
            <w:rStyle w:val="Hyperlink"/>
            <w:b w:val="0"/>
            <w:bCs w:val="0"/>
            <w:noProof/>
          </w:rPr>
          <w:t>Ethical considerations in the determination of death</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_Toc135131486 \h </w:instrText>
        </w:r>
        <w:r w:rsidR="0006699D" w:rsidRPr="0006699D">
          <w:rPr>
            <w:noProof/>
            <w:webHidden/>
          </w:rPr>
        </w:r>
        <w:r w:rsidR="0006699D" w:rsidRPr="0006699D">
          <w:rPr>
            <w:noProof/>
            <w:webHidden/>
          </w:rPr>
          <w:fldChar w:fldCharType="separate"/>
        </w:r>
        <w:r w:rsidR="00B63F7B">
          <w:rPr>
            <w:noProof/>
            <w:webHidden/>
          </w:rPr>
          <w:t>184</w:t>
        </w:r>
        <w:r w:rsidR="0006699D" w:rsidRPr="0006699D">
          <w:rPr>
            <w:noProof/>
            <w:webHidden/>
          </w:rPr>
          <w:fldChar w:fldCharType="end"/>
        </w:r>
      </w:hyperlink>
    </w:p>
    <w:p w14:paraId="44106C26" w14:textId="68496DCE" w:rsidR="0006699D" w:rsidRPr="0006699D" w:rsidRDefault="006D04A8" w:rsidP="00396452">
      <w:pPr>
        <w:pStyle w:val="TOC2"/>
        <w:rPr>
          <w:rFonts w:eastAsiaTheme="minorEastAsia" w:cstheme="minorBidi"/>
          <w:noProof/>
          <w:kern w:val="2"/>
          <w14:ligatures w14:val="standardContextual"/>
        </w:rPr>
      </w:pPr>
      <w:hyperlink w:anchor="_Toc135131487" w:history="1">
        <w:r w:rsidR="0006699D" w:rsidRPr="0006699D">
          <w:rPr>
            <w:rStyle w:val="Hyperlink"/>
            <w:b w:val="0"/>
            <w:bCs w:val="0"/>
            <w:noProof/>
            <w14:scene3d>
              <w14:camera w14:prst="orthographicFront"/>
              <w14:lightRig w14:rig="threePt" w14:dir="t">
                <w14:rot w14:lat="0" w14:lon="0" w14:rev="0"/>
              </w14:lightRig>
            </w14:scene3d>
          </w:rPr>
          <w:t>11.3</w:t>
        </w:r>
        <w:r w:rsidR="0006699D" w:rsidRPr="0006699D">
          <w:rPr>
            <w:rFonts w:eastAsiaTheme="minorEastAsia" w:cstheme="minorBidi"/>
            <w:noProof/>
            <w:kern w:val="2"/>
            <w14:ligatures w14:val="standardContextual"/>
          </w:rPr>
          <w:tab/>
        </w:r>
        <w:r w:rsidR="0006699D" w:rsidRPr="0006699D">
          <w:rPr>
            <w:rStyle w:val="Hyperlink"/>
            <w:b w:val="0"/>
            <w:bCs w:val="0"/>
            <w:noProof/>
          </w:rPr>
          <w:t>Management of potential conflicts of interest in deceased donation and end-of-life care</w:t>
        </w:r>
        <w:r w:rsidR="0006699D" w:rsidRPr="0006699D">
          <w:rPr>
            <w:noProof/>
            <w:webHidden/>
          </w:rPr>
          <w:tab/>
        </w:r>
        <w:r w:rsidR="00443EAC">
          <w:rPr>
            <w:noProof/>
            <w:webHidden/>
          </w:rPr>
          <w:tab/>
        </w:r>
        <w:r w:rsidR="00443EAC">
          <w:rPr>
            <w:noProof/>
            <w:webHidden/>
          </w:rPr>
          <w:tab/>
        </w:r>
        <w:r w:rsidR="0006699D" w:rsidRPr="0006699D">
          <w:rPr>
            <w:noProof/>
            <w:webHidden/>
          </w:rPr>
          <w:fldChar w:fldCharType="begin"/>
        </w:r>
        <w:r w:rsidR="0006699D" w:rsidRPr="0006699D">
          <w:rPr>
            <w:noProof/>
            <w:webHidden/>
          </w:rPr>
          <w:instrText xml:space="preserve"> PAGEREF _Toc135131487 \h </w:instrText>
        </w:r>
        <w:r w:rsidR="0006699D" w:rsidRPr="0006699D">
          <w:rPr>
            <w:noProof/>
            <w:webHidden/>
          </w:rPr>
        </w:r>
        <w:r w:rsidR="0006699D" w:rsidRPr="0006699D">
          <w:rPr>
            <w:noProof/>
            <w:webHidden/>
          </w:rPr>
          <w:fldChar w:fldCharType="separate"/>
        </w:r>
        <w:r w:rsidR="00B63F7B">
          <w:rPr>
            <w:noProof/>
            <w:webHidden/>
          </w:rPr>
          <w:t>186</w:t>
        </w:r>
        <w:r w:rsidR="0006699D" w:rsidRPr="0006699D">
          <w:rPr>
            <w:noProof/>
            <w:webHidden/>
          </w:rPr>
          <w:fldChar w:fldCharType="end"/>
        </w:r>
      </w:hyperlink>
    </w:p>
    <w:p w14:paraId="4511CA44" w14:textId="07595960" w:rsidR="0006699D" w:rsidRPr="0006699D" w:rsidRDefault="00000000" w:rsidP="00396452">
      <w:pPr>
        <w:pStyle w:val="TOC2"/>
        <w:rPr>
          <w:rFonts w:eastAsiaTheme="minorEastAsia" w:cstheme="minorBidi"/>
          <w:noProof/>
          <w:kern w:val="2"/>
          <w14:ligatures w14:val="standardContextual"/>
        </w:rPr>
      </w:pPr>
      <w:hyperlink w:anchor="_Toc135131488" w:history="1">
        <w:r w:rsidR="0006699D" w:rsidRPr="0006699D">
          <w:rPr>
            <w:rStyle w:val="Hyperlink"/>
            <w:b w:val="0"/>
            <w:bCs w:val="0"/>
            <w:noProof/>
            <w14:scene3d>
              <w14:camera w14:prst="orthographicFront"/>
              <w14:lightRig w14:rig="threePt" w14:dir="t">
                <w14:rot w14:lat="0" w14:lon="0" w14:rev="0"/>
              </w14:lightRig>
            </w14:scene3d>
          </w:rPr>
          <w:t>11.4</w:t>
        </w:r>
        <w:r w:rsidR="0006699D" w:rsidRPr="0006699D">
          <w:rPr>
            <w:rFonts w:eastAsiaTheme="minorEastAsia" w:cstheme="minorBidi"/>
            <w:noProof/>
            <w:kern w:val="2"/>
            <w14:ligatures w14:val="standardContextual"/>
          </w:rPr>
          <w:tab/>
        </w:r>
        <w:r w:rsidR="0006699D" w:rsidRPr="0006699D">
          <w:rPr>
            <w:rStyle w:val="Hyperlink"/>
            <w:b w:val="0"/>
            <w:bCs w:val="0"/>
            <w:noProof/>
          </w:rPr>
          <w:t>Pre-mortem interventions for deceased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_Toc135131488 \h </w:instrText>
        </w:r>
        <w:r w:rsidR="0006699D" w:rsidRPr="0006699D">
          <w:rPr>
            <w:noProof/>
            <w:webHidden/>
          </w:rPr>
        </w:r>
        <w:r w:rsidR="0006699D" w:rsidRPr="0006699D">
          <w:rPr>
            <w:noProof/>
            <w:webHidden/>
          </w:rPr>
          <w:fldChar w:fldCharType="separate"/>
        </w:r>
        <w:r w:rsidR="00B63F7B">
          <w:rPr>
            <w:noProof/>
            <w:webHidden/>
          </w:rPr>
          <w:t>187</w:t>
        </w:r>
        <w:r w:rsidR="0006699D" w:rsidRPr="0006699D">
          <w:rPr>
            <w:noProof/>
            <w:webHidden/>
          </w:rPr>
          <w:fldChar w:fldCharType="end"/>
        </w:r>
      </w:hyperlink>
    </w:p>
    <w:p w14:paraId="56897216" w14:textId="1A8D1ED4" w:rsidR="0006699D" w:rsidRPr="0006699D" w:rsidRDefault="00000000" w:rsidP="00396452">
      <w:pPr>
        <w:pStyle w:val="TOC2"/>
        <w:rPr>
          <w:rFonts w:eastAsiaTheme="minorEastAsia" w:cstheme="minorBidi"/>
          <w:noProof/>
          <w:kern w:val="2"/>
          <w14:ligatures w14:val="standardContextual"/>
        </w:rPr>
      </w:pPr>
      <w:hyperlink w:anchor="_Toc135131489" w:history="1">
        <w:r w:rsidR="0006699D" w:rsidRPr="0006699D">
          <w:rPr>
            <w:rStyle w:val="Hyperlink"/>
            <w:b w:val="0"/>
            <w:bCs w:val="0"/>
            <w:noProof/>
            <w14:scene3d>
              <w14:camera w14:prst="orthographicFront"/>
              <w14:lightRig w14:rig="threePt" w14:dir="t">
                <w14:rot w14:lat="0" w14:lon="0" w14:rev="0"/>
              </w14:lightRig>
            </w14:scene3d>
          </w:rPr>
          <w:t>11.5</w:t>
        </w:r>
        <w:r w:rsidR="0006699D" w:rsidRPr="0006699D">
          <w:rPr>
            <w:rFonts w:eastAsiaTheme="minorEastAsia" w:cstheme="minorBidi"/>
            <w:noProof/>
            <w:kern w:val="2"/>
            <w14:ligatures w14:val="standardContextual"/>
          </w:rPr>
          <w:tab/>
        </w:r>
        <w:r w:rsidR="0006699D" w:rsidRPr="0006699D">
          <w:rPr>
            <w:rStyle w:val="Hyperlink"/>
            <w:b w:val="0"/>
            <w:bCs w:val="0"/>
            <w:noProof/>
          </w:rPr>
          <w:t>Routine consideration of opportunities for deceased donation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_Toc135131489 \h </w:instrText>
        </w:r>
        <w:r w:rsidR="0006699D" w:rsidRPr="0006699D">
          <w:rPr>
            <w:noProof/>
            <w:webHidden/>
          </w:rPr>
        </w:r>
        <w:r w:rsidR="0006699D" w:rsidRPr="0006699D">
          <w:rPr>
            <w:noProof/>
            <w:webHidden/>
          </w:rPr>
          <w:fldChar w:fldCharType="separate"/>
        </w:r>
        <w:r w:rsidR="00B63F7B">
          <w:rPr>
            <w:noProof/>
            <w:webHidden/>
          </w:rPr>
          <w:t>189</w:t>
        </w:r>
        <w:r w:rsidR="0006699D" w:rsidRPr="0006699D">
          <w:rPr>
            <w:noProof/>
            <w:webHidden/>
          </w:rPr>
          <w:fldChar w:fldCharType="end"/>
        </w:r>
      </w:hyperlink>
    </w:p>
    <w:p w14:paraId="71EA9898" w14:textId="00DB58FD" w:rsidR="0006699D" w:rsidRPr="0006699D" w:rsidRDefault="00000000" w:rsidP="00396452">
      <w:pPr>
        <w:pStyle w:val="TOC2"/>
        <w:rPr>
          <w:rFonts w:eastAsiaTheme="minorEastAsia" w:cstheme="minorBidi"/>
          <w:noProof/>
          <w:kern w:val="2"/>
          <w14:ligatures w14:val="standardContextual"/>
        </w:rPr>
      </w:pPr>
      <w:hyperlink w:anchor="_Toc135131490" w:history="1">
        <w:r w:rsidR="0006699D" w:rsidRPr="0006699D">
          <w:rPr>
            <w:rStyle w:val="Hyperlink"/>
            <w:b w:val="0"/>
            <w:bCs w:val="0"/>
            <w:noProof/>
            <w14:scene3d>
              <w14:camera w14:prst="orthographicFront"/>
              <w14:lightRig w14:rig="threePt" w14:dir="t">
                <w14:rot w14:lat="0" w14:lon="0" w14:rev="0"/>
              </w14:lightRig>
            </w14:scene3d>
          </w:rPr>
          <w:t>11.6</w:t>
        </w:r>
        <w:r w:rsidR="0006699D" w:rsidRPr="0006699D">
          <w:rPr>
            <w:rFonts w:eastAsiaTheme="minorEastAsia" w:cstheme="minorBidi"/>
            <w:noProof/>
            <w:kern w:val="2"/>
            <w14:ligatures w14:val="standardContextual"/>
          </w:rPr>
          <w:tab/>
        </w:r>
        <w:r w:rsidR="0006699D" w:rsidRPr="0006699D">
          <w:rPr>
            <w:rStyle w:val="Hyperlink"/>
            <w:b w:val="0"/>
            <w:bCs w:val="0"/>
            <w:noProof/>
          </w:rPr>
          <w:t>Deceased donation by competent individuals who choose to cease life sustaining treatment</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_Toc135131490 \h </w:instrText>
        </w:r>
        <w:r w:rsidR="0006699D" w:rsidRPr="0006699D">
          <w:rPr>
            <w:noProof/>
            <w:webHidden/>
          </w:rPr>
        </w:r>
        <w:r w:rsidR="0006699D" w:rsidRPr="0006699D">
          <w:rPr>
            <w:noProof/>
            <w:webHidden/>
          </w:rPr>
          <w:fldChar w:fldCharType="separate"/>
        </w:r>
        <w:r w:rsidR="00B63F7B">
          <w:rPr>
            <w:noProof/>
            <w:webHidden/>
          </w:rPr>
          <w:t>191</w:t>
        </w:r>
        <w:r w:rsidR="0006699D" w:rsidRPr="0006699D">
          <w:rPr>
            <w:noProof/>
            <w:webHidden/>
          </w:rPr>
          <w:fldChar w:fldCharType="end"/>
        </w:r>
      </w:hyperlink>
    </w:p>
    <w:p w14:paraId="4FED00EB" w14:textId="442226F5" w:rsidR="0006699D" w:rsidRPr="0006699D" w:rsidRDefault="00000000" w:rsidP="00396452">
      <w:pPr>
        <w:pStyle w:val="TOC2"/>
        <w:rPr>
          <w:rFonts w:eastAsiaTheme="minorEastAsia" w:cstheme="minorBidi"/>
          <w:noProof/>
          <w:kern w:val="2"/>
          <w14:ligatures w14:val="standardContextual"/>
        </w:rPr>
      </w:pPr>
      <w:hyperlink w:anchor="_Toc135131491" w:history="1">
        <w:r w:rsidR="0006699D" w:rsidRPr="0006699D">
          <w:rPr>
            <w:rStyle w:val="Hyperlink"/>
            <w:b w:val="0"/>
            <w:bCs w:val="0"/>
            <w:noProof/>
            <w14:scene3d>
              <w14:camera w14:prst="orthographicFront"/>
              <w14:lightRig w14:rig="threePt" w14:dir="t">
                <w14:rot w14:lat="0" w14:lon="0" w14:rev="0"/>
              </w14:lightRig>
            </w14:scene3d>
          </w:rPr>
          <w:t>11.7</w:t>
        </w:r>
        <w:r w:rsidR="0006699D" w:rsidRPr="0006699D">
          <w:rPr>
            <w:rFonts w:eastAsiaTheme="minorEastAsia" w:cstheme="minorBidi"/>
            <w:noProof/>
            <w:kern w:val="2"/>
            <w14:ligatures w14:val="standardContextual"/>
          </w:rPr>
          <w:tab/>
        </w:r>
        <w:r w:rsidR="0006699D" w:rsidRPr="0006699D">
          <w:rPr>
            <w:rStyle w:val="Hyperlink"/>
            <w:b w:val="0"/>
            <w:bCs w:val="0"/>
            <w:noProof/>
          </w:rPr>
          <w:t>Deceased donation after voluntary assisted dying (VAD)</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_Toc135131491 \h </w:instrText>
        </w:r>
        <w:r w:rsidR="0006699D" w:rsidRPr="0006699D">
          <w:rPr>
            <w:noProof/>
            <w:webHidden/>
          </w:rPr>
        </w:r>
        <w:r w:rsidR="0006699D" w:rsidRPr="0006699D">
          <w:rPr>
            <w:noProof/>
            <w:webHidden/>
          </w:rPr>
          <w:fldChar w:fldCharType="separate"/>
        </w:r>
        <w:r w:rsidR="00B63F7B">
          <w:rPr>
            <w:noProof/>
            <w:webHidden/>
          </w:rPr>
          <w:t>192</w:t>
        </w:r>
        <w:r w:rsidR="0006699D" w:rsidRPr="0006699D">
          <w:rPr>
            <w:noProof/>
            <w:webHidden/>
          </w:rPr>
          <w:fldChar w:fldCharType="end"/>
        </w:r>
      </w:hyperlink>
    </w:p>
    <w:p w14:paraId="52492165" w14:textId="65D11D1F" w:rsidR="0006699D" w:rsidRPr="0006699D" w:rsidRDefault="00000000" w:rsidP="00396452">
      <w:pPr>
        <w:pStyle w:val="TOC2"/>
        <w:rPr>
          <w:rFonts w:eastAsiaTheme="minorEastAsia" w:cstheme="minorBidi"/>
          <w:noProof/>
          <w:kern w:val="2"/>
          <w14:ligatures w14:val="standardContextual"/>
        </w:rPr>
      </w:pPr>
      <w:hyperlink w:anchor="_Toc135131492" w:history="1">
        <w:r w:rsidR="0006699D" w:rsidRPr="0006699D">
          <w:rPr>
            <w:rStyle w:val="Hyperlink"/>
            <w:b w:val="0"/>
            <w:bCs w:val="0"/>
            <w:noProof/>
            <w14:scene3d>
              <w14:camera w14:prst="orthographicFront"/>
              <w14:lightRig w14:rig="threePt" w14:dir="t">
                <w14:rot w14:lat="0" w14:lon="0" w14:rev="0"/>
              </w14:lightRig>
            </w14:scene3d>
          </w:rPr>
          <w:t>11.8</w:t>
        </w:r>
        <w:r w:rsidR="0006699D" w:rsidRPr="0006699D">
          <w:rPr>
            <w:rFonts w:eastAsiaTheme="minorEastAsia" w:cstheme="minorBidi"/>
            <w:noProof/>
            <w:kern w:val="2"/>
            <w14:ligatures w14:val="standardContextual"/>
          </w:rPr>
          <w:tab/>
        </w:r>
        <w:r w:rsidR="0006699D" w:rsidRPr="0006699D">
          <w:rPr>
            <w:rStyle w:val="Hyperlink"/>
            <w:b w:val="0"/>
            <w:bCs w:val="0"/>
            <w:noProof/>
          </w:rPr>
          <w:t>Organ and tissue donation by infants with anencephaly</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_Toc135131492 \h </w:instrText>
        </w:r>
        <w:r w:rsidR="0006699D" w:rsidRPr="0006699D">
          <w:rPr>
            <w:noProof/>
            <w:webHidden/>
          </w:rPr>
        </w:r>
        <w:r w:rsidR="0006699D" w:rsidRPr="0006699D">
          <w:rPr>
            <w:noProof/>
            <w:webHidden/>
          </w:rPr>
          <w:fldChar w:fldCharType="separate"/>
        </w:r>
        <w:r w:rsidR="00B63F7B">
          <w:rPr>
            <w:noProof/>
            <w:webHidden/>
          </w:rPr>
          <w:t>194</w:t>
        </w:r>
        <w:r w:rsidR="0006699D" w:rsidRPr="0006699D">
          <w:rPr>
            <w:noProof/>
            <w:webHidden/>
          </w:rPr>
          <w:fldChar w:fldCharType="end"/>
        </w:r>
      </w:hyperlink>
    </w:p>
    <w:p w14:paraId="5A92FA5A" w14:textId="0467EAE0" w:rsidR="0006699D" w:rsidRPr="0006699D" w:rsidRDefault="00000000" w:rsidP="007162C3">
      <w:pPr>
        <w:pStyle w:val="TOC1"/>
        <w:rPr>
          <w:rFonts w:eastAsiaTheme="minorEastAsia" w:cstheme="minorBidi"/>
          <w:kern w:val="2"/>
          <w14:ligatures w14:val="standardContextual"/>
        </w:rPr>
      </w:pPr>
      <w:hyperlink w:anchor="_Toc135131493" w:history="1">
        <w:r w:rsidR="0006699D" w:rsidRPr="0006699D">
          <w:rPr>
            <w:rStyle w:val="Hyperlink"/>
          </w:rPr>
          <w:t>12.</w:t>
        </w:r>
        <w:r w:rsidR="0006699D" w:rsidRPr="0006699D">
          <w:rPr>
            <w:rFonts w:eastAsiaTheme="minorEastAsia" w:cstheme="minorBidi"/>
            <w:kern w:val="2"/>
            <w14:ligatures w14:val="standardContextual"/>
          </w:rPr>
          <w:tab/>
        </w:r>
        <w:r w:rsidR="0006699D" w:rsidRPr="0006699D">
          <w:rPr>
            <w:rStyle w:val="Hyperlink"/>
          </w:rPr>
          <w:t>Miscellaneous issues in donation and transplantation</w:t>
        </w:r>
        <w:r w:rsidR="0006699D" w:rsidRPr="0006699D">
          <w:rPr>
            <w:webHidden/>
          </w:rPr>
          <w:tab/>
        </w:r>
        <w:r w:rsidR="0006699D" w:rsidRPr="0006699D">
          <w:rPr>
            <w:webHidden/>
          </w:rPr>
          <w:fldChar w:fldCharType="begin"/>
        </w:r>
        <w:r w:rsidR="0006699D" w:rsidRPr="0006699D">
          <w:rPr>
            <w:webHidden/>
          </w:rPr>
          <w:instrText xml:space="preserve"> PAGEREF _Toc135131493 \h </w:instrText>
        </w:r>
        <w:r w:rsidR="0006699D" w:rsidRPr="0006699D">
          <w:rPr>
            <w:webHidden/>
          </w:rPr>
        </w:r>
        <w:r w:rsidR="0006699D" w:rsidRPr="0006699D">
          <w:rPr>
            <w:webHidden/>
          </w:rPr>
          <w:fldChar w:fldCharType="separate"/>
        </w:r>
        <w:r w:rsidR="00B63F7B">
          <w:rPr>
            <w:webHidden/>
          </w:rPr>
          <w:t>196</w:t>
        </w:r>
        <w:r w:rsidR="0006699D" w:rsidRPr="0006699D">
          <w:rPr>
            <w:webHidden/>
          </w:rPr>
          <w:fldChar w:fldCharType="end"/>
        </w:r>
      </w:hyperlink>
    </w:p>
    <w:p w14:paraId="539B46A8" w14:textId="1A114607" w:rsidR="0006699D" w:rsidRPr="0006699D" w:rsidRDefault="00000000" w:rsidP="00396452">
      <w:pPr>
        <w:pStyle w:val="TOC2"/>
        <w:rPr>
          <w:rFonts w:eastAsiaTheme="minorEastAsia" w:cstheme="minorBidi"/>
          <w:noProof/>
          <w:kern w:val="2"/>
          <w:sz w:val="24"/>
          <w:szCs w:val="24"/>
          <w14:ligatures w14:val="standardContextual"/>
        </w:rPr>
      </w:pPr>
      <w:hyperlink w:anchor="_Toc135131494" w:history="1">
        <w:r w:rsidR="0006699D" w:rsidRPr="0006699D">
          <w:rPr>
            <w:rStyle w:val="Hyperlink"/>
            <w:b w:val="0"/>
            <w:bCs w:val="0"/>
            <w:noProof/>
            <w14:scene3d>
              <w14:camera w14:prst="orthographicFront"/>
              <w14:lightRig w14:rig="threePt" w14:dir="t">
                <w14:rot w14:lat="0" w14:lon="0" w14:rev="0"/>
              </w14:lightRig>
            </w14:scene3d>
          </w:rPr>
          <w:t>12.1</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Public solicitation of living organ donors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_Toc135131494 \h </w:instrText>
        </w:r>
        <w:r w:rsidR="0006699D" w:rsidRPr="0006699D">
          <w:rPr>
            <w:noProof/>
            <w:webHidden/>
          </w:rPr>
        </w:r>
        <w:r w:rsidR="0006699D" w:rsidRPr="0006699D">
          <w:rPr>
            <w:noProof/>
            <w:webHidden/>
          </w:rPr>
          <w:fldChar w:fldCharType="separate"/>
        </w:r>
        <w:r w:rsidR="00B63F7B">
          <w:rPr>
            <w:noProof/>
            <w:webHidden/>
          </w:rPr>
          <w:t>196</w:t>
        </w:r>
        <w:r w:rsidR="0006699D" w:rsidRPr="0006699D">
          <w:rPr>
            <w:noProof/>
            <w:webHidden/>
          </w:rPr>
          <w:fldChar w:fldCharType="end"/>
        </w:r>
      </w:hyperlink>
    </w:p>
    <w:p w14:paraId="06F26D75" w14:textId="6EEF2346" w:rsidR="0006699D" w:rsidRPr="0006699D" w:rsidRDefault="00000000" w:rsidP="00396452">
      <w:pPr>
        <w:pStyle w:val="TOC2"/>
        <w:rPr>
          <w:rFonts w:eastAsiaTheme="minorEastAsia" w:cstheme="minorBidi"/>
          <w:noProof/>
          <w:kern w:val="2"/>
          <w:sz w:val="24"/>
          <w:szCs w:val="24"/>
          <w14:ligatures w14:val="standardContextual"/>
        </w:rPr>
      </w:pPr>
      <w:hyperlink w:anchor="_Toc135131495" w:history="1">
        <w:r w:rsidR="0006699D" w:rsidRPr="0006699D">
          <w:rPr>
            <w:rStyle w:val="Hyperlink"/>
            <w:b w:val="0"/>
            <w:bCs w:val="0"/>
            <w:noProof/>
            <w14:scene3d>
              <w14:camera w14:prst="orthographicFront"/>
              <w14:lightRig w14:rig="threePt" w14:dir="t">
                <w14:rot w14:lat="0" w14:lon="0" w14:rev="0"/>
              </w14:lightRig>
            </w14:scene3d>
          </w:rPr>
          <w:t>12.2</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Living organ donor vouchers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_Toc135131495 \h </w:instrText>
        </w:r>
        <w:r w:rsidR="0006699D" w:rsidRPr="0006699D">
          <w:rPr>
            <w:noProof/>
            <w:webHidden/>
          </w:rPr>
        </w:r>
        <w:r w:rsidR="0006699D" w:rsidRPr="0006699D">
          <w:rPr>
            <w:noProof/>
            <w:webHidden/>
          </w:rPr>
          <w:fldChar w:fldCharType="separate"/>
        </w:r>
        <w:r w:rsidR="00B63F7B">
          <w:rPr>
            <w:noProof/>
            <w:webHidden/>
          </w:rPr>
          <w:t>198</w:t>
        </w:r>
        <w:r w:rsidR="0006699D" w:rsidRPr="0006699D">
          <w:rPr>
            <w:noProof/>
            <w:webHidden/>
          </w:rPr>
          <w:fldChar w:fldCharType="end"/>
        </w:r>
      </w:hyperlink>
    </w:p>
    <w:p w14:paraId="1D5DCD7D" w14:textId="3250C28C" w:rsidR="0006699D" w:rsidRPr="0006699D" w:rsidRDefault="00000000" w:rsidP="00396452">
      <w:pPr>
        <w:pStyle w:val="TOC2"/>
        <w:rPr>
          <w:rFonts w:eastAsiaTheme="minorEastAsia" w:cstheme="minorBidi"/>
          <w:noProof/>
          <w:kern w:val="2"/>
          <w:sz w:val="24"/>
          <w:szCs w:val="24"/>
          <w14:ligatures w14:val="standardContextual"/>
        </w:rPr>
      </w:pPr>
      <w:hyperlink w:anchor="_Toc135131496" w:history="1">
        <w:r w:rsidR="0006699D" w:rsidRPr="0006699D">
          <w:rPr>
            <w:rStyle w:val="Hyperlink"/>
            <w:b w:val="0"/>
            <w:bCs w:val="0"/>
            <w:noProof/>
            <w14:scene3d>
              <w14:camera w14:prst="orthographicFront"/>
              <w14:lightRig w14:rig="threePt" w14:dir="t">
                <w14:rot w14:lat="0" w14:lon="0" w14:rev="0"/>
              </w14:lightRig>
            </w14:scene3d>
          </w:rPr>
          <w:t>12.3</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Directed, restricted or conditional donation of cells, tissues or organs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_Toc135131496 \h </w:instrText>
        </w:r>
        <w:r w:rsidR="0006699D" w:rsidRPr="0006699D">
          <w:rPr>
            <w:noProof/>
            <w:webHidden/>
          </w:rPr>
        </w:r>
        <w:r w:rsidR="0006699D" w:rsidRPr="0006699D">
          <w:rPr>
            <w:noProof/>
            <w:webHidden/>
          </w:rPr>
          <w:fldChar w:fldCharType="separate"/>
        </w:r>
        <w:r w:rsidR="00B63F7B">
          <w:rPr>
            <w:noProof/>
            <w:webHidden/>
          </w:rPr>
          <w:t>199</w:t>
        </w:r>
        <w:r w:rsidR="0006699D" w:rsidRPr="0006699D">
          <w:rPr>
            <w:noProof/>
            <w:webHidden/>
          </w:rPr>
          <w:fldChar w:fldCharType="end"/>
        </w:r>
      </w:hyperlink>
    </w:p>
    <w:p w14:paraId="32A0FFCA" w14:textId="5B2FD354" w:rsidR="0006699D" w:rsidRPr="0006699D" w:rsidRDefault="00000000" w:rsidP="00396452">
      <w:pPr>
        <w:pStyle w:val="TOC2"/>
        <w:rPr>
          <w:rFonts w:eastAsiaTheme="minorEastAsia" w:cstheme="minorBidi"/>
          <w:noProof/>
          <w:kern w:val="2"/>
          <w:sz w:val="24"/>
          <w:szCs w:val="24"/>
          <w14:ligatures w14:val="standardContextual"/>
        </w:rPr>
      </w:pPr>
      <w:hyperlink w:anchor="_Toc135131497" w:history="1">
        <w:r w:rsidR="0006699D" w:rsidRPr="0006699D">
          <w:rPr>
            <w:rStyle w:val="Hyperlink"/>
            <w:b w:val="0"/>
            <w:bCs w:val="0"/>
            <w:noProof/>
            <w14:scene3d>
              <w14:camera w14:prst="orthographicFront"/>
              <w14:lightRig w14:rig="threePt" w14:dir="t">
                <w14:rot w14:lat="0" w14:lon="0" w14:rev="0"/>
              </w14:lightRig>
            </w14:scene3d>
          </w:rPr>
          <w:t>12.4</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Ethical considerations in umbilical cord blood banking</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_Toc135131497 \h </w:instrText>
        </w:r>
        <w:r w:rsidR="0006699D" w:rsidRPr="0006699D">
          <w:rPr>
            <w:noProof/>
            <w:webHidden/>
          </w:rPr>
        </w:r>
        <w:r w:rsidR="0006699D" w:rsidRPr="0006699D">
          <w:rPr>
            <w:noProof/>
            <w:webHidden/>
          </w:rPr>
          <w:fldChar w:fldCharType="separate"/>
        </w:r>
        <w:r w:rsidR="00B63F7B">
          <w:rPr>
            <w:noProof/>
            <w:webHidden/>
          </w:rPr>
          <w:t>204</w:t>
        </w:r>
        <w:r w:rsidR="0006699D" w:rsidRPr="0006699D">
          <w:rPr>
            <w:noProof/>
            <w:webHidden/>
          </w:rPr>
          <w:fldChar w:fldCharType="end"/>
        </w:r>
      </w:hyperlink>
    </w:p>
    <w:p w14:paraId="6581B7E1" w14:textId="0D8578A8" w:rsidR="0006699D" w:rsidRPr="0006699D" w:rsidRDefault="00000000" w:rsidP="00396452">
      <w:pPr>
        <w:pStyle w:val="TOC2"/>
        <w:rPr>
          <w:rFonts w:eastAsiaTheme="minorEastAsia" w:cstheme="minorBidi"/>
          <w:noProof/>
          <w:kern w:val="2"/>
          <w:sz w:val="24"/>
          <w:szCs w:val="24"/>
          <w14:ligatures w14:val="standardContextual"/>
        </w:rPr>
      </w:pPr>
      <w:hyperlink w:anchor="_Toc135131498" w:history="1">
        <w:r w:rsidR="0006699D" w:rsidRPr="0006699D">
          <w:rPr>
            <w:rStyle w:val="Hyperlink"/>
            <w:b w:val="0"/>
            <w:bCs w:val="0"/>
            <w:noProof/>
            <w14:scene3d>
              <w14:camera w14:prst="orthographicFront"/>
              <w14:lightRig w14:rig="threePt" w14:dir="t">
                <w14:rot w14:lat="0" w14:lon="0" w14:rev="0"/>
              </w14:lightRig>
            </w14:scene3d>
          </w:rPr>
          <w:t>12.5</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Uterus transplantation</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_Toc135131498 \h </w:instrText>
        </w:r>
        <w:r w:rsidR="0006699D" w:rsidRPr="0006699D">
          <w:rPr>
            <w:noProof/>
            <w:webHidden/>
          </w:rPr>
        </w:r>
        <w:r w:rsidR="0006699D" w:rsidRPr="0006699D">
          <w:rPr>
            <w:noProof/>
            <w:webHidden/>
          </w:rPr>
          <w:fldChar w:fldCharType="separate"/>
        </w:r>
        <w:r w:rsidR="00B63F7B">
          <w:rPr>
            <w:noProof/>
            <w:webHidden/>
          </w:rPr>
          <w:t>206</w:t>
        </w:r>
        <w:r w:rsidR="0006699D" w:rsidRPr="0006699D">
          <w:rPr>
            <w:noProof/>
            <w:webHidden/>
          </w:rPr>
          <w:fldChar w:fldCharType="end"/>
        </w:r>
      </w:hyperlink>
    </w:p>
    <w:p w14:paraId="3C78283A" w14:textId="48D32A63" w:rsidR="0006699D" w:rsidRPr="0006699D" w:rsidRDefault="00000000" w:rsidP="00396452">
      <w:pPr>
        <w:pStyle w:val="TOC2"/>
        <w:rPr>
          <w:rFonts w:eastAsiaTheme="minorEastAsia" w:cstheme="minorBidi"/>
          <w:noProof/>
          <w:kern w:val="2"/>
          <w:sz w:val="24"/>
          <w:szCs w:val="24"/>
          <w14:ligatures w14:val="standardContextual"/>
        </w:rPr>
      </w:pPr>
      <w:hyperlink w:anchor="_Toc135131499" w:history="1">
        <w:r w:rsidR="0006699D" w:rsidRPr="0006699D">
          <w:rPr>
            <w:rStyle w:val="Hyperlink"/>
            <w:b w:val="0"/>
            <w:bCs w:val="0"/>
            <w:noProof/>
            <w14:scene3d>
              <w14:camera w14:prst="orthographicFront"/>
              <w14:lightRig w14:rig="threePt" w14:dir="t">
                <w14:rot w14:lat="0" w14:lon="0" w14:rev="0"/>
              </w14:lightRig>
            </w14:scene3d>
          </w:rPr>
          <w:t>12.6</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Ethical considerations of vascular composite allografts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_Toc135131499 \h </w:instrText>
        </w:r>
        <w:r w:rsidR="0006699D" w:rsidRPr="0006699D">
          <w:rPr>
            <w:noProof/>
            <w:webHidden/>
          </w:rPr>
        </w:r>
        <w:r w:rsidR="0006699D" w:rsidRPr="0006699D">
          <w:rPr>
            <w:noProof/>
            <w:webHidden/>
          </w:rPr>
          <w:fldChar w:fldCharType="separate"/>
        </w:r>
        <w:r w:rsidR="00B63F7B">
          <w:rPr>
            <w:noProof/>
            <w:webHidden/>
          </w:rPr>
          <w:t>208</w:t>
        </w:r>
        <w:r w:rsidR="0006699D" w:rsidRPr="0006699D">
          <w:rPr>
            <w:noProof/>
            <w:webHidden/>
          </w:rPr>
          <w:fldChar w:fldCharType="end"/>
        </w:r>
      </w:hyperlink>
    </w:p>
    <w:p w14:paraId="68AC0BB7" w14:textId="79D15FB4" w:rsidR="0006699D" w:rsidRPr="0006699D" w:rsidRDefault="00000000" w:rsidP="00396452">
      <w:pPr>
        <w:pStyle w:val="TOC2"/>
        <w:rPr>
          <w:rFonts w:eastAsiaTheme="minorEastAsia" w:cstheme="minorBidi"/>
          <w:noProof/>
          <w:kern w:val="2"/>
          <w:sz w:val="24"/>
          <w:szCs w:val="24"/>
          <w14:ligatures w14:val="standardContextual"/>
        </w:rPr>
      </w:pPr>
      <w:hyperlink w:anchor="_Toc135131500" w:history="1">
        <w:r w:rsidR="0006699D" w:rsidRPr="0006699D">
          <w:rPr>
            <w:rStyle w:val="Hyperlink"/>
            <w:b w:val="0"/>
            <w:bCs w:val="0"/>
            <w:noProof/>
            <w14:scene3d>
              <w14:camera w14:prst="orthographicFront"/>
              <w14:lightRig w14:rig="threePt" w14:dir="t">
                <w14:rot w14:lat="0" w14:lon="0" w14:rev="0"/>
              </w14:lightRig>
            </w14:scene3d>
          </w:rPr>
          <w:t>12.7</w:t>
        </w:r>
        <w:r w:rsidR="0006699D" w:rsidRPr="0006699D">
          <w:rPr>
            <w:rFonts w:eastAsiaTheme="minorEastAsia" w:cstheme="minorBidi"/>
            <w:noProof/>
            <w:kern w:val="2"/>
            <w:sz w:val="24"/>
            <w:szCs w:val="24"/>
            <w14:ligatures w14:val="standardContextual"/>
          </w:rPr>
          <w:tab/>
        </w:r>
        <w:r w:rsidR="0006699D" w:rsidRPr="0006699D">
          <w:rPr>
            <w:rStyle w:val="Hyperlink"/>
            <w:b w:val="0"/>
            <w:bCs w:val="0"/>
            <w:noProof/>
          </w:rPr>
          <w:t>Intersections between donation and transplantation and research</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_Toc135131500 \h </w:instrText>
        </w:r>
        <w:r w:rsidR="0006699D" w:rsidRPr="0006699D">
          <w:rPr>
            <w:noProof/>
            <w:webHidden/>
          </w:rPr>
        </w:r>
        <w:r w:rsidR="0006699D" w:rsidRPr="0006699D">
          <w:rPr>
            <w:noProof/>
            <w:webHidden/>
          </w:rPr>
          <w:fldChar w:fldCharType="separate"/>
        </w:r>
        <w:r w:rsidR="00B63F7B">
          <w:rPr>
            <w:noProof/>
            <w:webHidden/>
          </w:rPr>
          <w:t>209</w:t>
        </w:r>
        <w:r w:rsidR="0006699D" w:rsidRPr="0006699D">
          <w:rPr>
            <w:noProof/>
            <w:webHidden/>
          </w:rPr>
          <w:fldChar w:fldCharType="end"/>
        </w:r>
      </w:hyperlink>
    </w:p>
    <w:p w14:paraId="2B4A52BC" w14:textId="0014912E" w:rsidR="0006699D" w:rsidRPr="0006699D" w:rsidRDefault="00000000" w:rsidP="007162C3">
      <w:pPr>
        <w:pStyle w:val="TOC1"/>
        <w:rPr>
          <w:rFonts w:eastAsiaTheme="minorEastAsia" w:cstheme="minorBidi"/>
          <w:kern w:val="2"/>
          <w14:ligatures w14:val="standardContextual"/>
        </w:rPr>
      </w:pPr>
      <w:hyperlink w:anchor="_Toc135131501" w:history="1">
        <w:r w:rsidR="0006699D" w:rsidRPr="0006699D">
          <w:rPr>
            <w:rStyle w:val="Hyperlink"/>
          </w:rPr>
          <w:t>Glossary</w:t>
        </w:r>
        <w:r w:rsidR="0006699D" w:rsidRPr="0006699D">
          <w:rPr>
            <w:webHidden/>
          </w:rPr>
          <w:tab/>
        </w:r>
        <w:r w:rsidR="0006699D" w:rsidRPr="0006699D">
          <w:rPr>
            <w:webHidden/>
          </w:rPr>
          <w:fldChar w:fldCharType="begin"/>
        </w:r>
        <w:r w:rsidR="0006699D" w:rsidRPr="0006699D">
          <w:rPr>
            <w:webHidden/>
          </w:rPr>
          <w:instrText xml:space="preserve"> PAGEREF _Toc135131501 \h </w:instrText>
        </w:r>
        <w:r w:rsidR="0006699D" w:rsidRPr="0006699D">
          <w:rPr>
            <w:webHidden/>
          </w:rPr>
        </w:r>
        <w:r w:rsidR="0006699D" w:rsidRPr="0006699D">
          <w:rPr>
            <w:webHidden/>
          </w:rPr>
          <w:fldChar w:fldCharType="separate"/>
        </w:r>
        <w:r w:rsidR="00B63F7B">
          <w:rPr>
            <w:webHidden/>
          </w:rPr>
          <w:t>211</w:t>
        </w:r>
        <w:r w:rsidR="0006699D" w:rsidRPr="0006699D">
          <w:rPr>
            <w:webHidden/>
          </w:rPr>
          <w:fldChar w:fldCharType="end"/>
        </w:r>
      </w:hyperlink>
    </w:p>
    <w:p w14:paraId="5D54B54F" w14:textId="4914872E" w:rsidR="0006699D" w:rsidRPr="0006699D" w:rsidRDefault="00000000" w:rsidP="007162C3">
      <w:pPr>
        <w:pStyle w:val="TOC1"/>
        <w:rPr>
          <w:rFonts w:eastAsiaTheme="minorEastAsia" w:cstheme="minorBidi"/>
          <w:kern w:val="2"/>
          <w14:ligatures w14:val="standardContextual"/>
        </w:rPr>
      </w:pPr>
      <w:hyperlink w:anchor="_Toc135131502" w:history="1">
        <w:r w:rsidR="0006699D" w:rsidRPr="0006699D">
          <w:rPr>
            <w:rStyle w:val="Hyperlink"/>
          </w:rPr>
          <w:t>Index</w:t>
        </w:r>
        <w:r w:rsidR="0006699D" w:rsidRPr="0006699D">
          <w:rPr>
            <w:webHidden/>
          </w:rPr>
          <w:tab/>
        </w:r>
        <w:r w:rsidR="0006699D" w:rsidRPr="0006699D">
          <w:rPr>
            <w:webHidden/>
          </w:rPr>
          <w:fldChar w:fldCharType="begin"/>
        </w:r>
        <w:r w:rsidR="0006699D" w:rsidRPr="0006699D">
          <w:rPr>
            <w:webHidden/>
          </w:rPr>
          <w:instrText xml:space="preserve"> PAGEREF _Toc135131502 \h </w:instrText>
        </w:r>
        <w:r w:rsidR="0006699D" w:rsidRPr="0006699D">
          <w:rPr>
            <w:webHidden/>
          </w:rPr>
        </w:r>
        <w:r w:rsidR="0006699D" w:rsidRPr="0006699D">
          <w:rPr>
            <w:webHidden/>
          </w:rPr>
          <w:fldChar w:fldCharType="separate"/>
        </w:r>
        <w:r w:rsidR="00B63F7B">
          <w:rPr>
            <w:webHidden/>
          </w:rPr>
          <w:t>216</w:t>
        </w:r>
        <w:r w:rsidR="0006699D" w:rsidRPr="0006699D">
          <w:rPr>
            <w:webHidden/>
          </w:rPr>
          <w:fldChar w:fldCharType="end"/>
        </w:r>
      </w:hyperlink>
    </w:p>
    <w:p w14:paraId="15BC8EB0" w14:textId="1F009248" w:rsidR="0006699D" w:rsidRPr="0006699D" w:rsidRDefault="00000000" w:rsidP="007162C3">
      <w:pPr>
        <w:pStyle w:val="TOC1"/>
        <w:rPr>
          <w:rFonts w:eastAsiaTheme="minorEastAsia" w:cstheme="minorBidi"/>
          <w:kern w:val="2"/>
          <w14:ligatures w14:val="standardContextual"/>
        </w:rPr>
      </w:pPr>
      <w:hyperlink w:anchor="_Toc135131503" w:history="1">
        <w:r w:rsidR="0006699D" w:rsidRPr="0006699D">
          <w:rPr>
            <w:rStyle w:val="Hyperlink"/>
          </w:rPr>
          <w:t>Appendix 1 – Further reading and resources</w:t>
        </w:r>
        <w:r w:rsidR="0006699D" w:rsidRPr="0006699D">
          <w:rPr>
            <w:webHidden/>
          </w:rPr>
          <w:tab/>
        </w:r>
        <w:r w:rsidR="0006699D" w:rsidRPr="0006699D">
          <w:rPr>
            <w:webHidden/>
          </w:rPr>
          <w:fldChar w:fldCharType="begin"/>
        </w:r>
        <w:r w:rsidR="0006699D" w:rsidRPr="0006699D">
          <w:rPr>
            <w:webHidden/>
          </w:rPr>
          <w:instrText xml:space="preserve"> PAGEREF _Toc135131503 \h </w:instrText>
        </w:r>
        <w:r w:rsidR="0006699D" w:rsidRPr="0006699D">
          <w:rPr>
            <w:webHidden/>
          </w:rPr>
        </w:r>
        <w:r w:rsidR="0006699D" w:rsidRPr="0006699D">
          <w:rPr>
            <w:webHidden/>
          </w:rPr>
          <w:fldChar w:fldCharType="separate"/>
        </w:r>
        <w:r w:rsidR="00B63F7B">
          <w:rPr>
            <w:webHidden/>
          </w:rPr>
          <w:t>217</w:t>
        </w:r>
        <w:r w:rsidR="0006699D" w:rsidRPr="0006699D">
          <w:rPr>
            <w:webHidden/>
          </w:rPr>
          <w:fldChar w:fldCharType="end"/>
        </w:r>
      </w:hyperlink>
    </w:p>
    <w:p w14:paraId="7DBABA7E" w14:textId="1FE869FE" w:rsidR="0006699D" w:rsidRPr="0006699D" w:rsidRDefault="00000000" w:rsidP="00396452">
      <w:pPr>
        <w:pStyle w:val="TOC2"/>
        <w:rPr>
          <w:rFonts w:eastAsiaTheme="minorEastAsia" w:cstheme="minorBidi"/>
          <w:noProof/>
          <w:kern w:val="2"/>
          <w:sz w:val="24"/>
          <w:szCs w:val="24"/>
          <w14:ligatures w14:val="standardContextual"/>
        </w:rPr>
      </w:pPr>
      <w:hyperlink w:anchor="_Toc135131504" w:history="1">
        <w:r w:rsidR="0006699D" w:rsidRPr="0006699D">
          <w:rPr>
            <w:rStyle w:val="Hyperlink"/>
            <w:b w:val="0"/>
            <w:bCs w:val="0"/>
            <w:noProof/>
          </w:rPr>
          <w:t>Chapter 3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_Toc135131504 \h </w:instrText>
        </w:r>
        <w:r w:rsidR="0006699D" w:rsidRPr="0006699D">
          <w:rPr>
            <w:noProof/>
            <w:webHidden/>
          </w:rPr>
        </w:r>
        <w:r w:rsidR="0006699D" w:rsidRPr="0006699D">
          <w:rPr>
            <w:noProof/>
            <w:webHidden/>
          </w:rPr>
          <w:fldChar w:fldCharType="separate"/>
        </w:r>
        <w:r w:rsidR="00B63F7B">
          <w:rPr>
            <w:noProof/>
            <w:webHidden/>
          </w:rPr>
          <w:t>217</w:t>
        </w:r>
        <w:r w:rsidR="0006699D" w:rsidRPr="0006699D">
          <w:rPr>
            <w:noProof/>
            <w:webHidden/>
          </w:rPr>
          <w:fldChar w:fldCharType="end"/>
        </w:r>
      </w:hyperlink>
    </w:p>
    <w:p w14:paraId="7F917BB1" w14:textId="019CC7A1" w:rsidR="0006699D" w:rsidRPr="0006699D" w:rsidRDefault="00000000" w:rsidP="00396452">
      <w:pPr>
        <w:pStyle w:val="TOC2"/>
        <w:rPr>
          <w:rFonts w:eastAsiaTheme="minorEastAsia" w:cstheme="minorBidi"/>
          <w:noProof/>
          <w:kern w:val="2"/>
          <w:sz w:val="24"/>
          <w:szCs w:val="24"/>
          <w14:ligatures w14:val="standardContextual"/>
        </w:rPr>
      </w:pPr>
      <w:hyperlink w:anchor="_Toc135131505" w:history="1">
        <w:r w:rsidR="0006699D" w:rsidRPr="0006699D">
          <w:rPr>
            <w:rStyle w:val="Hyperlink"/>
            <w:b w:val="0"/>
            <w:bCs w:val="0"/>
            <w:noProof/>
          </w:rPr>
          <w:t>Chapter 4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_Toc135131505 \h </w:instrText>
        </w:r>
        <w:r w:rsidR="0006699D" w:rsidRPr="0006699D">
          <w:rPr>
            <w:noProof/>
            <w:webHidden/>
          </w:rPr>
        </w:r>
        <w:r w:rsidR="0006699D" w:rsidRPr="0006699D">
          <w:rPr>
            <w:noProof/>
            <w:webHidden/>
          </w:rPr>
          <w:fldChar w:fldCharType="separate"/>
        </w:r>
        <w:r w:rsidR="00B63F7B">
          <w:rPr>
            <w:noProof/>
            <w:webHidden/>
          </w:rPr>
          <w:t>219</w:t>
        </w:r>
        <w:r w:rsidR="0006699D" w:rsidRPr="0006699D">
          <w:rPr>
            <w:noProof/>
            <w:webHidden/>
          </w:rPr>
          <w:fldChar w:fldCharType="end"/>
        </w:r>
      </w:hyperlink>
    </w:p>
    <w:p w14:paraId="0B432253" w14:textId="6C2F6CA8" w:rsidR="0006699D" w:rsidRPr="0006699D" w:rsidRDefault="00000000" w:rsidP="00396452">
      <w:pPr>
        <w:pStyle w:val="TOC2"/>
        <w:rPr>
          <w:rFonts w:eastAsiaTheme="minorEastAsia" w:cstheme="minorBidi"/>
          <w:noProof/>
          <w:kern w:val="2"/>
          <w:sz w:val="24"/>
          <w:szCs w:val="24"/>
          <w14:ligatures w14:val="standardContextual"/>
        </w:rPr>
      </w:pPr>
      <w:hyperlink w:anchor="_Toc135131506" w:history="1">
        <w:r w:rsidR="0006699D" w:rsidRPr="0006699D">
          <w:rPr>
            <w:rStyle w:val="Hyperlink"/>
            <w:b w:val="0"/>
            <w:bCs w:val="0"/>
            <w:noProof/>
          </w:rPr>
          <w:t>Chapter 5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_Toc135131506 \h </w:instrText>
        </w:r>
        <w:r w:rsidR="0006699D" w:rsidRPr="0006699D">
          <w:rPr>
            <w:noProof/>
            <w:webHidden/>
          </w:rPr>
        </w:r>
        <w:r w:rsidR="0006699D" w:rsidRPr="0006699D">
          <w:rPr>
            <w:noProof/>
            <w:webHidden/>
          </w:rPr>
          <w:fldChar w:fldCharType="separate"/>
        </w:r>
        <w:r w:rsidR="00B63F7B">
          <w:rPr>
            <w:noProof/>
            <w:webHidden/>
          </w:rPr>
          <w:t>220</w:t>
        </w:r>
        <w:r w:rsidR="0006699D" w:rsidRPr="0006699D">
          <w:rPr>
            <w:noProof/>
            <w:webHidden/>
          </w:rPr>
          <w:fldChar w:fldCharType="end"/>
        </w:r>
      </w:hyperlink>
    </w:p>
    <w:p w14:paraId="298888B8" w14:textId="2AD931B3" w:rsidR="0006699D" w:rsidRPr="0006699D" w:rsidRDefault="00000000" w:rsidP="00396452">
      <w:pPr>
        <w:pStyle w:val="TOC2"/>
        <w:rPr>
          <w:rFonts w:eastAsiaTheme="minorEastAsia" w:cstheme="minorBidi"/>
          <w:noProof/>
          <w:kern w:val="2"/>
          <w:sz w:val="24"/>
          <w:szCs w:val="24"/>
          <w14:ligatures w14:val="standardContextual"/>
        </w:rPr>
      </w:pPr>
      <w:hyperlink w:anchor="_Toc135131507" w:history="1">
        <w:r w:rsidR="0006699D" w:rsidRPr="0006699D">
          <w:rPr>
            <w:rStyle w:val="Hyperlink"/>
            <w:b w:val="0"/>
            <w:bCs w:val="0"/>
            <w:noProof/>
          </w:rPr>
          <w:t>Chapter 6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_Toc135131507 \h </w:instrText>
        </w:r>
        <w:r w:rsidR="0006699D" w:rsidRPr="0006699D">
          <w:rPr>
            <w:noProof/>
            <w:webHidden/>
          </w:rPr>
        </w:r>
        <w:r w:rsidR="0006699D" w:rsidRPr="0006699D">
          <w:rPr>
            <w:noProof/>
            <w:webHidden/>
          </w:rPr>
          <w:fldChar w:fldCharType="separate"/>
        </w:r>
        <w:r w:rsidR="00B63F7B">
          <w:rPr>
            <w:noProof/>
            <w:webHidden/>
          </w:rPr>
          <w:t>220</w:t>
        </w:r>
        <w:r w:rsidR="0006699D" w:rsidRPr="0006699D">
          <w:rPr>
            <w:noProof/>
            <w:webHidden/>
          </w:rPr>
          <w:fldChar w:fldCharType="end"/>
        </w:r>
      </w:hyperlink>
    </w:p>
    <w:p w14:paraId="75F1C804" w14:textId="67BA57FE" w:rsidR="0006699D" w:rsidRPr="0006699D" w:rsidRDefault="00000000" w:rsidP="00396452">
      <w:pPr>
        <w:pStyle w:val="TOC2"/>
        <w:rPr>
          <w:rFonts w:eastAsiaTheme="minorEastAsia" w:cstheme="minorBidi"/>
          <w:noProof/>
          <w:kern w:val="2"/>
          <w:sz w:val="24"/>
          <w:szCs w:val="24"/>
          <w14:ligatures w14:val="standardContextual"/>
        </w:rPr>
      </w:pPr>
      <w:hyperlink w:anchor="_Toc135131508" w:history="1">
        <w:r w:rsidR="0006699D" w:rsidRPr="0006699D">
          <w:rPr>
            <w:rStyle w:val="Hyperlink"/>
            <w:b w:val="0"/>
            <w:bCs w:val="0"/>
            <w:noProof/>
          </w:rPr>
          <w:t>Chapter 7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_Toc135131508 \h </w:instrText>
        </w:r>
        <w:r w:rsidR="0006699D" w:rsidRPr="0006699D">
          <w:rPr>
            <w:noProof/>
            <w:webHidden/>
          </w:rPr>
        </w:r>
        <w:r w:rsidR="0006699D" w:rsidRPr="0006699D">
          <w:rPr>
            <w:noProof/>
            <w:webHidden/>
          </w:rPr>
          <w:fldChar w:fldCharType="separate"/>
        </w:r>
        <w:r w:rsidR="00B63F7B">
          <w:rPr>
            <w:noProof/>
            <w:webHidden/>
          </w:rPr>
          <w:t>221</w:t>
        </w:r>
        <w:r w:rsidR="0006699D" w:rsidRPr="0006699D">
          <w:rPr>
            <w:noProof/>
            <w:webHidden/>
          </w:rPr>
          <w:fldChar w:fldCharType="end"/>
        </w:r>
      </w:hyperlink>
    </w:p>
    <w:p w14:paraId="5793451A" w14:textId="7ACC5910" w:rsidR="0006699D" w:rsidRPr="0006699D" w:rsidRDefault="00000000" w:rsidP="00396452">
      <w:pPr>
        <w:pStyle w:val="TOC2"/>
        <w:rPr>
          <w:rFonts w:eastAsiaTheme="minorEastAsia" w:cstheme="minorBidi"/>
          <w:noProof/>
          <w:kern w:val="2"/>
          <w:sz w:val="24"/>
          <w:szCs w:val="24"/>
          <w14:ligatures w14:val="standardContextual"/>
        </w:rPr>
      </w:pPr>
      <w:hyperlink w:anchor="_Toc135131509" w:history="1">
        <w:r w:rsidR="0006699D" w:rsidRPr="0006699D">
          <w:rPr>
            <w:rStyle w:val="Hyperlink"/>
            <w:b w:val="0"/>
            <w:bCs w:val="0"/>
            <w:noProof/>
          </w:rPr>
          <w:t>Chapter 8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_Toc135131509 \h </w:instrText>
        </w:r>
        <w:r w:rsidR="0006699D" w:rsidRPr="0006699D">
          <w:rPr>
            <w:noProof/>
            <w:webHidden/>
          </w:rPr>
        </w:r>
        <w:r w:rsidR="0006699D" w:rsidRPr="0006699D">
          <w:rPr>
            <w:noProof/>
            <w:webHidden/>
          </w:rPr>
          <w:fldChar w:fldCharType="separate"/>
        </w:r>
        <w:r w:rsidR="00B63F7B">
          <w:rPr>
            <w:noProof/>
            <w:webHidden/>
          </w:rPr>
          <w:t>222</w:t>
        </w:r>
        <w:r w:rsidR="0006699D" w:rsidRPr="0006699D">
          <w:rPr>
            <w:noProof/>
            <w:webHidden/>
          </w:rPr>
          <w:fldChar w:fldCharType="end"/>
        </w:r>
      </w:hyperlink>
    </w:p>
    <w:p w14:paraId="47CED5D4" w14:textId="65D3F283" w:rsidR="0006699D" w:rsidRPr="0006699D" w:rsidRDefault="00000000" w:rsidP="00396452">
      <w:pPr>
        <w:pStyle w:val="TOC2"/>
        <w:rPr>
          <w:rFonts w:eastAsiaTheme="minorEastAsia" w:cstheme="minorBidi"/>
          <w:noProof/>
          <w:kern w:val="2"/>
          <w:sz w:val="24"/>
          <w:szCs w:val="24"/>
          <w14:ligatures w14:val="standardContextual"/>
        </w:rPr>
      </w:pPr>
      <w:hyperlink w:anchor="_Toc135131510" w:history="1">
        <w:r w:rsidR="0006699D" w:rsidRPr="0006699D">
          <w:rPr>
            <w:rStyle w:val="Hyperlink"/>
            <w:b w:val="0"/>
            <w:bCs w:val="0"/>
            <w:noProof/>
          </w:rPr>
          <w:t>Chapter 9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_Toc135131510 \h </w:instrText>
        </w:r>
        <w:r w:rsidR="0006699D" w:rsidRPr="0006699D">
          <w:rPr>
            <w:noProof/>
            <w:webHidden/>
          </w:rPr>
        </w:r>
        <w:r w:rsidR="0006699D" w:rsidRPr="0006699D">
          <w:rPr>
            <w:noProof/>
            <w:webHidden/>
          </w:rPr>
          <w:fldChar w:fldCharType="separate"/>
        </w:r>
        <w:r w:rsidR="00B63F7B">
          <w:rPr>
            <w:noProof/>
            <w:webHidden/>
          </w:rPr>
          <w:t>222</w:t>
        </w:r>
        <w:r w:rsidR="0006699D" w:rsidRPr="0006699D">
          <w:rPr>
            <w:noProof/>
            <w:webHidden/>
          </w:rPr>
          <w:fldChar w:fldCharType="end"/>
        </w:r>
      </w:hyperlink>
    </w:p>
    <w:p w14:paraId="64EE089F" w14:textId="45588673" w:rsidR="0006699D" w:rsidRPr="0006699D" w:rsidRDefault="00000000" w:rsidP="00396452">
      <w:pPr>
        <w:pStyle w:val="TOC2"/>
        <w:rPr>
          <w:rFonts w:eastAsiaTheme="minorEastAsia" w:cstheme="minorBidi"/>
          <w:noProof/>
          <w:kern w:val="2"/>
          <w:sz w:val="24"/>
          <w:szCs w:val="24"/>
          <w14:ligatures w14:val="standardContextual"/>
        </w:rPr>
      </w:pPr>
      <w:hyperlink w:anchor="_Toc135131511" w:history="1">
        <w:r w:rsidR="0006699D" w:rsidRPr="0006699D">
          <w:rPr>
            <w:rStyle w:val="Hyperlink"/>
            <w:b w:val="0"/>
            <w:bCs w:val="0"/>
            <w:noProof/>
          </w:rPr>
          <w:t>Chapter 10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_Toc135131511 \h </w:instrText>
        </w:r>
        <w:r w:rsidR="0006699D" w:rsidRPr="0006699D">
          <w:rPr>
            <w:noProof/>
            <w:webHidden/>
          </w:rPr>
        </w:r>
        <w:r w:rsidR="0006699D" w:rsidRPr="0006699D">
          <w:rPr>
            <w:noProof/>
            <w:webHidden/>
          </w:rPr>
          <w:fldChar w:fldCharType="separate"/>
        </w:r>
        <w:r w:rsidR="00B63F7B">
          <w:rPr>
            <w:noProof/>
            <w:webHidden/>
          </w:rPr>
          <w:t>224</w:t>
        </w:r>
        <w:r w:rsidR="0006699D" w:rsidRPr="0006699D">
          <w:rPr>
            <w:noProof/>
            <w:webHidden/>
          </w:rPr>
          <w:fldChar w:fldCharType="end"/>
        </w:r>
      </w:hyperlink>
    </w:p>
    <w:p w14:paraId="1ACD971A" w14:textId="330CBCAB" w:rsidR="0006699D" w:rsidRPr="0006699D" w:rsidRDefault="00000000" w:rsidP="00396452">
      <w:pPr>
        <w:pStyle w:val="TOC2"/>
        <w:rPr>
          <w:rFonts w:eastAsiaTheme="minorEastAsia" w:cstheme="minorBidi"/>
          <w:noProof/>
          <w:kern w:val="2"/>
          <w:sz w:val="24"/>
          <w:szCs w:val="24"/>
          <w14:ligatures w14:val="standardContextual"/>
        </w:rPr>
      </w:pPr>
      <w:hyperlink w:anchor="_Toc135131512" w:history="1">
        <w:r w:rsidR="0006699D" w:rsidRPr="0006699D">
          <w:rPr>
            <w:rStyle w:val="Hyperlink"/>
            <w:b w:val="0"/>
            <w:bCs w:val="0"/>
            <w:noProof/>
          </w:rPr>
          <w:t>Chapter 11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_Toc135131512 \h </w:instrText>
        </w:r>
        <w:r w:rsidR="0006699D" w:rsidRPr="0006699D">
          <w:rPr>
            <w:noProof/>
            <w:webHidden/>
          </w:rPr>
        </w:r>
        <w:r w:rsidR="0006699D" w:rsidRPr="0006699D">
          <w:rPr>
            <w:noProof/>
            <w:webHidden/>
          </w:rPr>
          <w:fldChar w:fldCharType="separate"/>
        </w:r>
        <w:r w:rsidR="00B63F7B">
          <w:rPr>
            <w:noProof/>
            <w:webHidden/>
          </w:rPr>
          <w:t>224</w:t>
        </w:r>
        <w:r w:rsidR="0006699D" w:rsidRPr="0006699D">
          <w:rPr>
            <w:noProof/>
            <w:webHidden/>
          </w:rPr>
          <w:fldChar w:fldCharType="end"/>
        </w:r>
      </w:hyperlink>
    </w:p>
    <w:p w14:paraId="5C2A8407" w14:textId="6ADF6337" w:rsidR="0006699D" w:rsidRPr="0006699D" w:rsidRDefault="00000000" w:rsidP="00396452">
      <w:pPr>
        <w:pStyle w:val="TOC2"/>
        <w:rPr>
          <w:rFonts w:eastAsiaTheme="minorEastAsia" w:cstheme="minorBidi"/>
          <w:noProof/>
          <w:kern w:val="2"/>
          <w:sz w:val="24"/>
          <w:szCs w:val="24"/>
          <w14:ligatures w14:val="standardContextual"/>
        </w:rPr>
      </w:pPr>
      <w:hyperlink w:anchor="_Toc135131513" w:history="1">
        <w:r w:rsidR="0006699D" w:rsidRPr="0006699D">
          <w:rPr>
            <w:rStyle w:val="Hyperlink"/>
            <w:b w:val="0"/>
            <w:bCs w:val="0"/>
            <w:noProof/>
          </w:rPr>
          <w:t>Chapter 12 Resources</w:t>
        </w:r>
        <w:r w:rsidR="0006699D" w:rsidRPr="0006699D">
          <w:rPr>
            <w:noProof/>
            <w:webHidden/>
          </w:rPr>
          <w:tab/>
        </w:r>
        <w:r w:rsidR="0006699D" w:rsidRPr="0006699D">
          <w:rPr>
            <w:noProof/>
            <w:webHidden/>
          </w:rPr>
          <w:fldChar w:fldCharType="begin"/>
        </w:r>
        <w:r w:rsidR="0006699D" w:rsidRPr="0006699D">
          <w:rPr>
            <w:noProof/>
            <w:webHidden/>
          </w:rPr>
          <w:instrText xml:space="preserve"> PAGEREF _Toc135131513 \h </w:instrText>
        </w:r>
        <w:r w:rsidR="0006699D" w:rsidRPr="0006699D">
          <w:rPr>
            <w:noProof/>
            <w:webHidden/>
          </w:rPr>
        </w:r>
        <w:r w:rsidR="0006699D" w:rsidRPr="0006699D">
          <w:rPr>
            <w:noProof/>
            <w:webHidden/>
          </w:rPr>
          <w:fldChar w:fldCharType="separate"/>
        </w:r>
        <w:r w:rsidR="00B63F7B">
          <w:rPr>
            <w:noProof/>
            <w:webHidden/>
          </w:rPr>
          <w:t>225</w:t>
        </w:r>
        <w:r w:rsidR="0006699D" w:rsidRPr="0006699D">
          <w:rPr>
            <w:noProof/>
            <w:webHidden/>
          </w:rPr>
          <w:fldChar w:fldCharType="end"/>
        </w:r>
      </w:hyperlink>
    </w:p>
    <w:p w14:paraId="6617FA99" w14:textId="46EC1254" w:rsidR="0006699D" w:rsidRPr="0006699D" w:rsidRDefault="00000000" w:rsidP="007162C3">
      <w:pPr>
        <w:pStyle w:val="TOC1"/>
        <w:rPr>
          <w:rFonts w:eastAsiaTheme="minorEastAsia" w:cstheme="minorBidi"/>
          <w:kern w:val="2"/>
          <w14:ligatures w14:val="standardContextual"/>
        </w:rPr>
      </w:pPr>
      <w:hyperlink w:anchor="_Toc135131514" w:history="1">
        <w:r w:rsidR="0006699D" w:rsidRPr="0006699D">
          <w:rPr>
            <w:rStyle w:val="Hyperlink"/>
          </w:rPr>
          <w:t>Appendix 2: Development of the Ethical Guidelines for Donation and Transplantation in Australia</w:t>
        </w:r>
        <w:r w:rsidR="0006699D" w:rsidRPr="0006699D">
          <w:rPr>
            <w:webHidden/>
          </w:rPr>
          <w:tab/>
        </w:r>
        <w:r w:rsidR="0006699D" w:rsidRPr="0006699D">
          <w:rPr>
            <w:webHidden/>
          </w:rPr>
          <w:fldChar w:fldCharType="begin"/>
        </w:r>
        <w:r w:rsidR="0006699D" w:rsidRPr="0006699D">
          <w:rPr>
            <w:webHidden/>
          </w:rPr>
          <w:instrText xml:space="preserve"> PAGEREF _Toc135131514 \h </w:instrText>
        </w:r>
        <w:r w:rsidR="0006699D" w:rsidRPr="0006699D">
          <w:rPr>
            <w:webHidden/>
          </w:rPr>
        </w:r>
        <w:r w:rsidR="0006699D" w:rsidRPr="0006699D">
          <w:rPr>
            <w:webHidden/>
          </w:rPr>
          <w:fldChar w:fldCharType="separate"/>
        </w:r>
        <w:r w:rsidR="00B63F7B">
          <w:rPr>
            <w:webHidden/>
          </w:rPr>
          <w:t>227</w:t>
        </w:r>
        <w:r w:rsidR="0006699D" w:rsidRPr="0006699D">
          <w:rPr>
            <w:webHidden/>
          </w:rPr>
          <w:fldChar w:fldCharType="end"/>
        </w:r>
      </w:hyperlink>
    </w:p>
    <w:p w14:paraId="40F5BBAA" w14:textId="1F5D3517" w:rsidR="0006699D" w:rsidRPr="0006699D" w:rsidRDefault="00000000" w:rsidP="007162C3">
      <w:pPr>
        <w:pStyle w:val="TOC1"/>
        <w:rPr>
          <w:rFonts w:eastAsiaTheme="minorEastAsia" w:cstheme="minorBidi"/>
          <w:kern w:val="2"/>
          <w14:ligatures w14:val="standardContextual"/>
        </w:rPr>
      </w:pPr>
      <w:hyperlink w:anchor="_Toc135131515" w:history="1">
        <w:r w:rsidR="0006699D" w:rsidRPr="0006699D">
          <w:rPr>
            <w:rStyle w:val="Hyperlink"/>
          </w:rPr>
          <w:t>References</w:t>
        </w:r>
        <w:r w:rsidR="0006699D" w:rsidRPr="0006699D">
          <w:rPr>
            <w:webHidden/>
          </w:rPr>
          <w:tab/>
        </w:r>
        <w:r w:rsidR="0006699D" w:rsidRPr="0006699D">
          <w:rPr>
            <w:webHidden/>
          </w:rPr>
          <w:fldChar w:fldCharType="begin"/>
        </w:r>
        <w:r w:rsidR="0006699D" w:rsidRPr="0006699D">
          <w:rPr>
            <w:webHidden/>
          </w:rPr>
          <w:instrText xml:space="preserve"> PAGEREF _Toc135131515 \h </w:instrText>
        </w:r>
        <w:r w:rsidR="0006699D" w:rsidRPr="0006699D">
          <w:rPr>
            <w:webHidden/>
          </w:rPr>
        </w:r>
        <w:r w:rsidR="0006699D" w:rsidRPr="0006699D">
          <w:rPr>
            <w:webHidden/>
          </w:rPr>
          <w:fldChar w:fldCharType="separate"/>
        </w:r>
        <w:r w:rsidR="00B63F7B">
          <w:rPr>
            <w:webHidden/>
          </w:rPr>
          <w:t>231</w:t>
        </w:r>
        <w:r w:rsidR="0006699D" w:rsidRPr="0006699D">
          <w:rPr>
            <w:webHidden/>
          </w:rPr>
          <w:fldChar w:fldCharType="end"/>
        </w:r>
      </w:hyperlink>
    </w:p>
    <w:p w14:paraId="23181BFA" w14:textId="2E2D3ACE" w:rsidR="006C6EBA" w:rsidRPr="006720E4" w:rsidRDefault="0006699D" w:rsidP="00EA22AE">
      <w:pPr>
        <w:spacing w:after="120"/>
        <w:rPr>
          <w:rFonts w:ascii="Calibri" w:hAnsi="Calibri" w:cs="Calibri"/>
          <w:b/>
          <w:bCs/>
          <w:color w:val="4472C4" w:themeColor="accent1"/>
          <w:sz w:val="32"/>
          <w:szCs w:val="32"/>
          <w:u w:val="single"/>
        </w:rPr>
      </w:pPr>
      <w:r>
        <w:rPr>
          <w:rFonts w:ascii="Calibri" w:hAnsi="Calibri" w:cs="Calibri"/>
          <w:i/>
          <w:iCs/>
          <w:color w:val="4472C4" w:themeColor="accent1"/>
          <w:sz w:val="32"/>
          <w:szCs w:val="32"/>
          <w:u w:val="single"/>
        </w:rPr>
        <w:fldChar w:fldCharType="end"/>
      </w:r>
    </w:p>
    <w:p w14:paraId="0A7400D5" w14:textId="77777777" w:rsidR="00EB088B" w:rsidRDefault="00EB088B">
      <w:pPr>
        <w:rPr>
          <w:rFonts w:ascii="Calibri" w:hAnsi="Calibri" w:cs="Calibri"/>
          <w:b/>
          <w:bCs/>
          <w:color w:val="4472C4" w:themeColor="accent1"/>
          <w:sz w:val="32"/>
          <w:szCs w:val="32"/>
          <w:u w:val="single"/>
        </w:rPr>
      </w:pPr>
      <w:r>
        <w:br w:type="page"/>
      </w:r>
    </w:p>
    <w:p w14:paraId="6EF611DF" w14:textId="337AD617" w:rsidR="006C6EBA" w:rsidRPr="006720E4" w:rsidRDefault="006C6EBA" w:rsidP="00EA22AE">
      <w:pPr>
        <w:pStyle w:val="Heading1"/>
        <w:numPr>
          <w:ilvl w:val="0"/>
          <w:numId w:val="0"/>
        </w:numPr>
        <w:ind w:left="360" w:hanging="360"/>
      </w:pPr>
      <w:bookmarkStart w:id="84" w:name="_Toc135131414"/>
      <w:r w:rsidRPr="006720E4">
        <w:lastRenderedPageBreak/>
        <w:t>Acronyms and abbreviations</w:t>
      </w:r>
      <w:bookmarkEnd w:id="26"/>
      <w:bookmarkEnd w:id="27"/>
      <w:bookmarkEnd w:id="2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Style w:val="TableGrid"/>
        <w:tblW w:w="0" w:type="auto"/>
        <w:tblLook w:val="04A0" w:firstRow="1" w:lastRow="0" w:firstColumn="1" w:lastColumn="0" w:noHBand="0" w:noVBand="1"/>
      </w:tblPr>
      <w:tblGrid>
        <w:gridCol w:w="2263"/>
        <w:gridCol w:w="6747"/>
      </w:tblGrid>
      <w:tr w:rsidR="0006699D" w:rsidRPr="0077185F" w14:paraId="66A493EC" w14:textId="77777777">
        <w:tc>
          <w:tcPr>
            <w:tcW w:w="9010" w:type="dxa"/>
            <w:gridSpan w:val="2"/>
            <w:tcBorders>
              <w:top w:val="single" w:sz="4" w:space="0" w:color="auto"/>
              <w:left w:val="single" w:sz="4" w:space="0" w:color="auto"/>
              <w:bottom w:val="single" w:sz="4" w:space="0" w:color="auto"/>
              <w:right w:val="single" w:sz="4" w:space="0" w:color="auto"/>
            </w:tcBorders>
          </w:tcPr>
          <w:p w14:paraId="0BDE3504" w14:textId="77777777" w:rsidR="0006699D" w:rsidRPr="0077185F" w:rsidRDefault="0006699D">
            <w:pPr>
              <w:spacing w:after="80"/>
              <w:rPr>
                <w:rFonts w:ascii="Calibri" w:hAnsi="Calibri" w:cs="Calibri"/>
                <w:sz w:val="22"/>
                <w:szCs w:val="22"/>
              </w:rPr>
            </w:pPr>
          </w:p>
        </w:tc>
      </w:tr>
      <w:tr w:rsidR="0006699D" w:rsidRPr="0077185F" w14:paraId="11490179" w14:textId="77777777">
        <w:tc>
          <w:tcPr>
            <w:tcW w:w="2263" w:type="dxa"/>
            <w:tcBorders>
              <w:top w:val="single" w:sz="4" w:space="0" w:color="auto"/>
              <w:left w:val="single" w:sz="4" w:space="0" w:color="auto"/>
              <w:bottom w:val="single" w:sz="4" w:space="0" w:color="auto"/>
              <w:right w:val="single" w:sz="4" w:space="0" w:color="auto"/>
            </w:tcBorders>
          </w:tcPr>
          <w:p w14:paraId="52CBAAC9" w14:textId="6D7681E1" w:rsidR="0006699D" w:rsidRPr="0077185F" w:rsidRDefault="0006699D">
            <w:pPr>
              <w:spacing w:after="80"/>
              <w:rPr>
                <w:rFonts w:ascii="Calibri" w:hAnsi="Calibri" w:cs="Calibri"/>
                <w:sz w:val="22"/>
                <w:szCs w:val="22"/>
              </w:rPr>
            </w:pPr>
            <w:r w:rsidRPr="0077185F">
              <w:rPr>
                <w:rFonts w:ascii="Calibri" w:hAnsi="Calibri" w:cs="Calibri"/>
                <w:sz w:val="22"/>
                <w:szCs w:val="22"/>
              </w:rPr>
              <w:t>ABMDR</w:t>
            </w:r>
          </w:p>
        </w:tc>
        <w:tc>
          <w:tcPr>
            <w:tcW w:w="6747" w:type="dxa"/>
            <w:tcBorders>
              <w:top w:val="single" w:sz="4" w:space="0" w:color="auto"/>
              <w:left w:val="single" w:sz="4" w:space="0" w:color="auto"/>
              <w:bottom w:val="single" w:sz="4" w:space="0" w:color="auto"/>
              <w:right w:val="single" w:sz="4" w:space="0" w:color="auto"/>
            </w:tcBorders>
          </w:tcPr>
          <w:p w14:paraId="6A63C9FE"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Australian Bone Marrow Donor Registry</w:t>
            </w:r>
          </w:p>
        </w:tc>
      </w:tr>
      <w:tr w:rsidR="0006699D" w:rsidRPr="0077185F" w14:paraId="405850D8" w14:textId="77777777">
        <w:tc>
          <w:tcPr>
            <w:tcW w:w="2263" w:type="dxa"/>
            <w:tcBorders>
              <w:top w:val="single" w:sz="4" w:space="0" w:color="auto"/>
              <w:left w:val="single" w:sz="4" w:space="0" w:color="auto"/>
              <w:bottom w:val="single" w:sz="4" w:space="0" w:color="auto"/>
              <w:right w:val="single" w:sz="4" w:space="0" w:color="auto"/>
            </w:tcBorders>
          </w:tcPr>
          <w:p w14:paraId="38CA3D86"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ACGR</w:t>
            </w:r>
          </w:p>
        </w:tc>
        <w:tc>
          <w:tcPr>
            <w:tcW w:w="6747" w:type="dxa"/>
            <w:tcBorders>
              <w:top w:val="single" w:sz="4" w:space="0" w:color="auto"/>
              <w:left w:val="single" w:sz="4" w:space="0" w:color="auto"/>
              <w:bottom w:val="single" w:sz="4" w:space="0" w:color="auto"/>
              <w:right w:val="single" w:sz="4" w:space="0" w:color="auto"/>
            </w:tcBorders>
          </w:tcPr>
          <w:p w14:paraId="41A70ADB"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Australian Corneal Graft Registry</w:t>
            </w:r>
          </w:p>
        </w:tc>
      </w:tr>
      <w:tr w:rsidR="0006699D" w:rsidRPr="0077185F" w14:paraId="3F26D7EC" w14:textId="77777777">
        <w:tc>
          <w:tcPr>
            <w:tcW w:w="2263" w:type="dxa"/>
            <w:tcBorders>
              <w:top w:val="single" w:sz="4" w:space="0" w:color="auto"/>
              <w:left w:val="single" w:sz="4" w:space="0" w:color="auto"/>
              <w:bottom w:val="single" w:sz="4" w:space="0" w:color="auto"/>
              <w:right w:val="single" w:sz="4" w:space="0" w:color="auto"/>
            </w:tcBorders>
          </w:tcPr>
          <w:p w14:paraId="17224DC8"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AHPRA</w:t>
            </w:r>
          </w:p>
        </w:tc>
        <w:tc>
          <w:tcPr>
            <w:tcW w:w="6747" w:type="dxa"/>
            <w:tcBorders>
              <w:top w:val="single" w:sz="4" w:space="0" w:color="auto"/>
              <w:left w:val="single" w:sz="4" w:space="0" w:color="auto"/>
              <w:bottom w:val="single" w:sz="4" w:space="0" w:color="auto"/>
              <w:right w:val="single" w:sz="4" w:space="0" w:color="auto"/>
            </w:tcBorders>
          </w:tcPr>
          <w:p w14:paraId="1A0EA6EF"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Australian Health Practitioner Regulatory Agency</w:t>
            </w:r>
          </w:p>
        </w:tc>
      </w:tr>
      <w:tr w:rsidR="0006699D" w:rsidRPr="0077185F" w14:paraId="4F0DFE50" w14:textId="77777777">
        <w:tc>
          <w:tcPr>
            <w:tcW w:w="2263" w:type="dxa"/>
            <w:tcBorders>
              <w:top w:val="single" w:sz="4" w:space="0" w:color="auto"/>
              <w:left w:val="single" w:sz="4" w:space="0" w:color="auto"/>
              <w:bottom w:val="single" w:sz="4" w:space="0" w:color="auto"/>
              <w:right w:val="single" w:sz="4" w:space="0" w:color="auto"/>
            </w:tcBorders>
          </w:tcPr>
          <w:p w14:paraId="50363BF2"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ANZDATA</w:t>
            </w:r>
          </w:p>
        </w:tc>
        <w:tc>
          <w:tcPr>
            <w:tcW w:w="6747" w:type="dxa"/>
            <w:tcBorders>
              <w:top w:val="single" w:sz="4" w:space="0" w:color="auto"/>
              <w:left w:val="single" w:sz="4" w:space="0" w:color="auto"/>
              <w:bottom w:val="single" w:sz="4" w:space="0" w:color="auto"/>
              <w:right w:val="single" w:sz="4" w:space="0" w:color="auto"/>
            </w:tcBorders>
          </w:tcPr>
          <w:p w14:paraId="4BA68A21"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Australian and New Zealand Dialysis and Transplant Registry</w:t>
            </w:r>
          </w:p>
        </w:tc>
      </w:tr>
      <w:tr w:rsidR="0006699D" w:rsidRPr="0077185F" w14:paraId="0E916D5A" w14:textId="77777777">
        <w:tc>
          <w:tcPr>
            <w:tcW w:w="2263" w:type="dxa"/>
            <w:tcBorders>
              <w:top w:val="single" w:sz="4" w:space="0" w:color="auto"/>
              <w:left w:val="single" w:sz="4" w:space="0" w:color="auto"/>
              <w:bottom w:val="single" w:sz="4" w:space="0" w:color="auto"/>
              <w:right w:val="single" w:sz="4" w:space="0" w:color="auto"/>
            </w:tcBorders>
          </w:tcPr>
          <w:p w14:paraId="66E2133C"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ANZEDT</w:t>
            </w:r>
          </w:p>
        </w:tc>
        <w:tc>
          <w:tcPr>
            <w:tcW w:w="6747" w:type="dxa"/>
            <w:tcBorders>
              <w:top w:val="single" w:sz="4" w:space="0" w:color="auto"/>
              <w:left w:val="single" w:sz="4" w:space="0" w:color="auto"/>
              <w:bottom w:val="single" w:sz="4" w:space="0" w:color="auto"/>
              <w:right w:val="single" w:sz="4" w:space="0" w:color="auto"/>
            </w:tcBorders>
          </w:tcPr>
          <w:p w14:paraId="0A08CC47" w14:textId="77777777" w:rsidR="0006699D" w:rsidRPr="0077185F" w:rsidRDefault="0006699D">
            <w:pPr>
              <w:pStyle w:val="CommentText"/>
              <w:spacing w:after="80"/>
              <w:rPr>
                <w:rFonts w:cs="Calibri"/>
                <w:sz w:val="22"/>
                <w:szCs w:val="22"/>
              </w:rPr>
            </w:pPr>
            <w:r w:rsidRPr="0077185F">
              <w:rPr>
                <w:rFonts w:cs="Calibri"/>
                <w:sz w:val="22"/>
                <w:szCs w:val="22"/>
              </w:rPr>
              <w:t>Australian and New Zealand Eye and Tissue Donation Registry</w:t>
            </w:r>
          </w:p>
        </w:tc>
      </w:tr>
      <w:tr w:rsidR="0006699D" w:rsidRPr="0077185F" w14:paraId="7A64A413" w14:textId="77777777">
        <w:tc>
          <w:tcPr>
            <w:tcW w:w="2263" w:type="dxa"/>
            <w:tcBorders>
              <w:top w:val="single" w:sz="4" w:space="0" w:color="auto"/>
              <w:left w:val="single" w:sz="4" w:space="0" w:color="auto"/>
              <w:bottom w:val="single" w:sz="4" w:space="0" w:color="auto"/>
              <w:right w:val="single" w:sz="4" w:space="0" w:color="auto"/>
            </w:tcBorders>
          </w:tcPr>
          <w:p w14:paraId="7C1CD9F4"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ANZOD</w:t>
            </w:r>
          </w:p>
        </w:tc>
        <w:tc>
          <w:tcPr>
            <w:tcW w:w="6747" w:type="dxa"/>
            <w:tcBorders>
              <w:top w:val="single" w:sz="4" w:space="0" w:color="auto"/>
              <w:left w:val="single" w:sz="4" w:space="0" w:color="auto"/>
              <w:bottom w:val="single" w:sz="4" w:space="0" w:color="auto"/>
              <w:right w:val="single" w:sz="4" w:space="0" w:color="auto"/>
            </w:tcBorders>
          </w:tcPr>
          <w:p w14:paraId="79E251AF"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Australian and New Zealand Organ Donation Registry</w:t>
            </w:r>
          </w:p>
        </w:tc>
      </w:tr>
      <w:tr w:rsidR="0006699D" w:rsidRPr="0077185F" w14:paraId="1E02F7F4" w14:textId="77777777">
        <w:tc>
          <w:tcPr>
            <w:tcW w:w="2263" w:type="dxa"/>
            <w:tcBorders>
              <w:top w:val="single" w:sz="4" w:space="0" w:color="auto"/>
              <w:left w:val="single" w:sz="4" w:space="0" w:color="auto"/>
              <w:bottom w:val="single" w:sz="4" w:space="0" w:color="auto"/>
              <w:right w:val="single" w:sz="4" w:space="0" w:color="auto"/>
            </w:tcBorders>
            <w:hideMark/>
          </w:tcPr>
          <w:p w14:paraId="01F776B3"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ANZICS</w:t>
            </w:r>
          </w:p>
        </w:tc>
        <w:tc>
          <w:tcPr>
            <w:tcW w:w="6747" w:type="dxa"/>
            <w:tcBorders>
              <w:top w:val="single" w:sz="4" w:space="0" w:color="auto"/>
              <w:left w:val="single" w:sz="4" w:space="0" w:color="auto"/>
              <w:bottom w:val="single" w:sz="4" w:space="0" w:color="auto"/>
              <w:right w:val="single" w:sz="4" w:space="0" w:color="auto"/>
            </w:tcBorders>
            <w:hideMark/>
          </w:tcPr>
          <w:p w14:paraId="0D916601"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Australian and New Zealand Intensive Care Society</w:t>
            </w:r>
          </w:p>
        </w:tc>
      </w:tr>
      <w:tr w:rsidR="0006699D" w:rsidRPr="0077185F" w14:paraId="5F1912E7" w14:textId="77777777">
        <w:tc>
          <w:tcPr>
            <w:tcW w:w="2263" w:type="dxa"/>
            <w:tcBorders>
              <w:top w:val="single" w:sz="4" w:space="0" w:color="auto"/>
              <w:left w:val="single" w:sz="4" w:space="0" w:color="auto"/>
              <w:bottom w:val="single" w:sz="4" w:space="0" w:color="auto"/>
              <w:right w:val="single" w:sz="4" w:space="0" w:color="auto"/>
            </w:tcBorders>
            <w:hideMark/>
          </w:tcPr>
          <w:p w14:paraId="72EF0FF9"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AODR</w:t>
            </w:r>
          </w:p>
        </w:tc>
        <w:tc>
          <w:tcPr>
            <w:tcW w:w="6747" w:type="dxa"/>
            <w:tcBorders>
              <w:top w:val="single" w:sz="4" w:space="0" w:color="auto"/>
              <w:left w:val="single" w:sz="4" w:space="0" w:color="auto"/>
              <w:bottom w:val="single" w:sz="4" w:space="0" w:color="auto"/>
              <w:right w:val="single" w:sz="4" w:space="0" w:color="auto"/>
            </w:tcBorders>
            <w:hideMark/>
          </w:tcPr>
          <w:p w14:paraId="5844B679"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Australian Organ Donor Register</w:t>
            </w:r>
          </w:p>
        </w:tc>
      </w:tr>
      <w:tr w:rsidR="0006699D" w:rsidRPr="0077185F" w14:paraId="718949ED" w14:textId="77777777">
        <w:tc>
          <w:tcPr>
            <w:tcW w:w="2263" w:type="dxa"/>
            <w:tcBorders>
              <w:top w:val="single" w:sz="4" w:space="0" w:color="auto"/>
              <w:left w:val="single" w:sz="4" w:space="0" w:color="auto"/>
              <w:bottom w:val="single" w:sz="4" w:space="0" w:color="auto"/>
              <w:right w:val="single" w:sz="4" w:space="0" w:color="auto"/>
            </w:tcBorders>
          </w:tcPr>
          <w:p w14:paraId="5FF704AD"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ARTG</w:t>
            </w:r>
          </w:p>
        </w:tc>
        <w:tc>
          <w:tcPr>
            <w:tcW w:w="6747" w:type="dxa"/>
            <w:tcBorders>
              <w:top w:val="single" w:sz="4" w:space="0" w:color="auto"/>
              <w:left w:val="single" w:sz="4" w:space="0" w:color="auto"/>
              <w:bottom w:val="single" w:sz="4" w:space="0" w:color="auto"/>
              <w:right w:val="single" w:sz="4" w:space="0" w:color="auto"/>
            </w:tcBorders>
          </w:tcPr>
          <w:p w14:paraId="227B5C1B"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Australian Register of Therapeutic Goods</w:t>
            </w:r>
          </w:p>
        </w:tc>
      </w:tr>
      <w:tr w:rsidR="0006699D" w:rsidRPr="0077185F" w14:paraId="15C61ED5" w14:textId="77777777">
        <w:tc>
          <w:tcPr>
            <w:tcW w:w="2263" w:type="dxa"/>
            <w:tcBorders>
              <w:top w:val="single" w:sz="4" w:space="0" w:color="auto"/>
              <w:left w:val="single" w:sz="4" w:space="0" w:color="auto"/>
              <w:bottom w:val="single" w:sz="4" w:space="0" w:color="auto"/>
              <w:right w:val="single" w:sz="4" w:space="0" w:color="auto"/>
            </w:tcBorders>
          </w:tcPr>
          <w:p w14:paraId="3AE60C4C"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BMTSANZ</w:t>
            </w:r>
          </w:p>
        </w:tc>
        <w:tc>
          <w:tcPr>
            <w:tcW w:w="6747" w:type="dxa"/>
            <w:tcBorders>
              <w:top w:val="single" w:sz="4" w:space="0" w:color="auto"/>
              <w:left w:val="single" w:sz="4" w:space="0" w:color="auto"/>
              <w:bottom w:val="single" w:sz="4" w:space="0" w:color="auto"/>
              <w:right w:val="single" w:sz="4" w:space="0" w:color="auto"/>
            </w:tcBorders>
          </w:tcPr>
          <w:p w14:paraId="26729B8C"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Bone Marrow Transplantation Society of Australia and New Zealand</w:t>
            </w:r>
          </w:p>
        </w:tc>
      </w:tr>
      <w:tr w:rsidR="0006699D" w:rsidRPr="0077185F" w14:paraId="091868EC" w14:textId="77777777">
        <w:tc>
          <w:tcPr>
            <w:tcW w:w="2263" w:type="dxa"/>
            <w:tcBorders>
              <w:top w:val="single" w:sz="4" w:space="0" w:color="auto"/>
              <w:left w:val="single" w:sz="4" w:space="0" w:color="auto"/>
              <w:bottom w:val="single" w:sz="4" w:space="0" w:color="auto"/>
              <w:right w:val="single" w:sz="4" w:space="0" w:color="auto"/>
            </w:tcBorders>
          </w:tcPr>
          <w:p w14:paraId="6C99841A"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COVID-19</w:t>
            </w:r>
          </w:p>
        </w:tc>
        <w:tc>
          <w:tcPr>
            <w:tcW w:w="6747" w:type="dxa"/>
            <w:tcBorders>
              <w:top w:val="single" w:sz="4" w:space="0" w:color="auto"/>
              <w:left w:val="single" w:sz="4" w:space="0" w:color="auto"/>
              <w:bottom w:val="single" w:sz="4" w:space="0" w:color="auto"/>
              <w:right w:val="single" w:sz="4" w:space="0" w:color="auto"/>
            </w:tcBorders>
          </w:tcPr>
          <w:p w14:paraId="586DD886"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Coronavirus disease 2019</w:t>
            </w:r>
          </w:p>
        </w:tc>
      </w:tr>
      <w:tr w:rsidR="0006699D" w:rsidRPr="0077185F" w14:paraId="1329D79C" w14:textId="77777777">
        <w:tc>
          <w:tcPr>
            <w:tcW w:w="2263" w:type="dxa"/>
            <w:tcBorders>
              <w:top w:val="single" w:sz="4" w:space="0" w:color="auto"/>
              <w:left w:val="single" w:sz="4" w:space="0" w:color="auto"/>
              <w:bottom w:val="single" w:sz="4" w:space="0" w:color="auto"/>
              <w:right w:val="single" w:sz="4" w:space="0" w:color="auto"/>
            </w:tcBorders>
          </w:tcPr>
          <w:p w14:paraId="14075C14" w14:textId="6CF627B8" w:rsidR="0006699D" w:rsidRPr="0077185F" w:rsidRDefault="0006699D">
            <w:pPr>
              <w:spacing w:after="80"/>
              <w:rPr>
                <w:rFonts w:ascii="Calibri" w:hAnsi="Calibri" w:cs="Calibri"/>
                <w:sz w:val="22"/>
                <w:szCs w:val="22"/>
              </w:rPr>
            </w:pPr>
            <w:r>
              <w:rPr>
                <w:rFonts w:ascii="Calibri" w:hAnsi="Calibri" w:cs="Calibri"/>
                <w:sz w:val="22"/>
                <w:szCs w:val="22"/>
              </w:rPr>
              <w:t>DCDD</w:t>
            </w:r>
          </w:p>
        </w:tc>
        <w:tc>
          <w:tcPr>
            <w:tcW w:w="6747" w:type="dxa"/>
            <w:tcBorders>
              <w:top w:val="single" w:sz="4" w:space="0" w:color="auto"/>
              <w:left w:val="single" w:sz="4" w:space="0" w:color="auto"/>
              <w:bottom w:val="single" w:sz="4" w:space="0" w:color="auto"/>
              <w:right w:val="single" w:sz="4" w:space="0" w:color="auto"/>
            </w:tcBorders>
          </w:tcPr>
          <w:p w14:paraId="79642D46" w14:textId="1DE18206" w:rsidR="0006699D" w:rsidRPr="0077185F" w:rsidRDefault="0006699D">
            <w:pPr>
              <w:spacing w:after="80"/>
              <w:rPr>
                <w:rFonts w:ascii="Calibri" w:hAnsi="Calibri" w:cs="Calibri"/>
                <w:sz w:val="22"/>
                <w:szCs w:val="22"/>
              </w:rPr>
            </w:pPr>
            <w:r>
              <w:rPr>
                <w:rFonts w:ascii="Calibri" w:hAnsi="Calibri" w:cs="Calibri"/>
                <w:sz w:val="22"/>
                <w:szCs w:val="22"/>
              </w:rPr>
              <w:t>Donation after circulatory determination of death</w:t>
            </w:r>
          </w:p>
        </w:tc>
      </w:tr>
      <w:tr w:rsidR="0006699D" w:rsidRPr="0077185F" w14:paraId="295A1CFE" w14:textId="77777777">
        <w:tc>
          <w:tcPr>
            <w:tcW w:w="2263" w:type="dxa"/>
            <w:tcBorders>
              <w:top w:val="single" w:sz="4" w:space="0" w:color="auto"/>
              <w:left w:val="single" w:sz="4" w:space="0" w:color="auto"/>
              <w:bottom w:val="single" w:sz="4" w:space="0" w:color="auto"/>
              <w:right w:val="single" w:sz="4" w:space="0" w:color="auto"/>
            </w:tcBorders>
          </w:tcPr>
          <w:p w14:paraId="1696D2F8" w14:textId="4FF8FA12" w:rsidR="0006699D" w:rsidRDefault="0006699D">
            <w:pPr>
              <w:spacing w:after="80"/>
              <w:rPr>
                <w:rFonts w:ascii="Calibri" w:hAnsi="Calibri" w:cs="Calibri"/>
                <w:sz w:val="22"/>
                <w:szCs w:val="22"/>
              </w:rPr>
            </w:pPr>
            <w:r>
              <w:rPr>
                <w:rFonts w:ascii="Calibri" w:hAnsi="Calibri" w:cs="Calibri"/>
                <w:sz w:val="22"/>
                <w:szCs w:val="22"/>
              </w:rPr>
              <w:t>DNDD</w:t>
            </w:r>
          </w:p>
        </w:tc>
        <w:tc>
          <w:tcPr>
            <w:tcW w:w="6747" w:type="dxa"/>
            <w:tcBorders>
              <w:top w:val="single" w:sz="4" w:space="0" w:color="auto"/>
              <w:left w:val="single" w:sz="4" w:space="0" w:color="auto"/>
              <w:bottom w:val="single" w:sz="4" w:space="0" w:color="auto"/>
              <w:right w:val="single" w:sz="4" w:space="0" w:color="auto"/>
            </w:tcBorders>
          </w:tcPr>
          <w:p w14:paraId="33283A87" w14:textId="7BA01F3D" w:rsidR="0006699D" w:rsidRDefault="0006699D">
            <w:pPr>
              <w:spacing w:after="80"/>
              <w:rPr>
                <w:rFonts w:ascii="Calibri" w:hAnsi="Calibri" w:cs="Calibri"/>
                <w:sz w:val="22"/>
                <w:szCs w:val="22"/>
              </w:rPr>
            </w:pPr>
            <w:r>
              <w:rPr>
                <w:rFonts w:ascii="Calibri" w:hAnsi="Calibri" w:cs="Calibri"/>
                <w:sz w:val="22"/>
                <w:szCs w:val="22"/>
              </w:rPr>
              <w:t xml:space="preserve">Donation after </w:t>
            </w:r>
            <w:r w:rsidR="00DD6348">
              <w:rPr>
                <w:rFonts w:ascii="Calibri" w:hAnsi="Calibri" w:cs="Calibri"/>
                <w:sz w:val="22"/>
                <w:szCs w:val="22"/>
              </w:rPr>
              <w:t xml:space="preserve">neurological </w:t>
            </w:r>
            <w:r>
              <w:rPr>
                <w:rFonts w:ascii="Calibri" w:hAnsi="Calibri" w:cs="Calibri"/>
                <w:sz w:val="22"/>
                <w:szCs w:val="22"/>
              </w:rPr>
              <w:t>determination of death</w:t>
            </w:r>
          </w:p>
        </w:tc>
      </w:tr>
      <w:tr w:rsidR="0006699D" w:rsidRPr="0077185F" w14:paraId="38E82AB0" w14:textId="77777777">
        <w:tc>
          <w:tcPr>
            <w:tcW w:w="2263" w:type="dxa"/>
            <w:tcBorders>
              <w:top w:val="single" w:sz="4" w:space="0" w:color="auto"/>
              <w:left w:val="single" w:sz="4" w:space="0" w:color="auto"/>
              <w:bottom w:val="single" w:sz="4" w:space="0" w:color="auto"/>
              <w:right w:val="single" w:sz="4" w:space="0" w:color="auto"/>
            </w:tcBorders>
          </w:tcPr>
          <w:p w14:paraId="087DC9DB" w14:textId="7A8FF437" w:rsidR="0006699D" w:rsidRPr="0077185F" w:rsidRDefault="0006699D">
            <w:pPr>
              <w:spacing w:after="80"/>
              <w:rPr>
                <w:rFonts w:ascii="Calibri" w:hAnsi="Calibri" w:cs="Calibri"/>
                <w:sz w:val="22"/>
                <w:szCs w:val="22"/>
              </w:rPr>
            </w:pPr>
            <w:r w:rsidRPr="0077185F">
              <w:rPr>
                <w:rFonts w:ascii="Calibri" w:hAnsi="Calibri" w:cs="Calibri"/>
                <w:sz w:val="22"/>
                <w:szCs w:val="22"/>
              </w:rPr>
              <w:t>EBAANZ</w:t>
            </w:r>
          </w:p>
        </w:tc>
        <w:tc>
          <w:tcPr>
            <w:tcW w:w="6747" w:type="dxa"/>
            <w:tcBorders>
              <w:top w:val="single" w:sz="4" w:space="0" w:color="auto"/>
              <w:left w:val="single" w:sz="4" w:space="0" w:color="auto"/>
              <w:bottom w:val="single" w:sz="4" w:space="0" w:color="auto"/>
              <w:right w:val="single" w:sz="4" w:space="0" w:color="auto"/>
            </w:tcBorders>
          </w:tcPr>
          <w:p w14:paraId="5CB578CD"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Eye Bank Association of Australia and New Zealand</w:t>
            </w:r>
          </w:p>
        </w:tc>
      </w:tr>
      <w:tr w:rsidR="0006699D" w:rsidRPr="0077185F" w14:paraId="0432202E" w14:textId="77777777">
        <w:tc>
          <w:tcPr>
            <w:tcW w:w="2263" w:type="dxa"/>
            <w:tcBorders>
              <w:top w:val="single" w:sz="4" w:space="0" w:color="auto"/>
              <w:left w:val="single" w:sz="4" w:space="0" w:color="auto"/>
              <w:bottom w:val="single" w:sz="4" w:space="0" w:color="auto"/>
              <w:right w:val="single" w:sz="4" w:space="0" w:color="auto"/>
            </w:tcBorders>
          </w:tcPr>
          <w:p w14:paraId="3DBA7017"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ECD</w:t>
            </w:r>
          </w:p>
        </w:tc>
        <w:tc>
          <w:tcPr>
            <w:tcW w:w="6747" w:type="dxa"/>
            <w:tcBorders>
              <w:top w:val="single" w:sz="4" w:space="0" w:color="auto"/>
              <w:left w:val="single" w:sz="4" w:space="0" w:color="auto"/>
              <w:bottom w:val="single" w:sz="4" w:space="0" w:color="auto"/>
              <w:right w:val="single" w:sz="4" w:space="0" w:color="auto"/>
            </w:tcBorders>
          </w:tcPr>
          <w:p w14:paraId="346AE724" w14:textId="03C4CAA1" w:rsidR="0006699D" w:rsidRPr="0077185F" w:rsidRDefault="00000000">
            <w:pPr>
              <w:spacing w:after="80"/>
              <w:rPr>
                <w:rFonts w:ascii="Calibri" w:hAnsi="Calibri" w:cs="Calibri"/>
                <w:sz w:val="22"/>
                <w:szCs w:val="22"/>
              </w:rPr>
            </w:pPr>
            <w:hyperlink w:anchor="_Glossary_2" w:history="1">
              <w:r w:rsidR="0006699D" w:rsidRPr="0077185F">
                <w:rPr>
                  <w:rStyle w:val="Hyperlink"/>
                  <w:rFonts w:ascii="Calibri" w:hAnsi="Calibri" w:cs="Calibri"/>
                  <w:sz w:val="22"/>
                  <w:szCs w:val="22"/>
                </w:rPr>
                <w:t>Expanded criteria donor</w:t>
              </w:r>
            </w:hyperlink>
          </w:p>
        </w:tc>
      </w:tr>
      <w:tr w:rsidR="0006699D" w:rsidRPr="0077185F" w14:paraId="7FD7EAD4" w14:textId="77777777">
        <w:tc>
          <w:tcPr>
            <w:tcW w:w="2263" w:type="dxa"/>
            <w:tcBorders>
              <w:top w:val="single" w:sz="4" w:space="0" w:color="auto"/>
              <w:left w:val="single" w:sz="4" w:space="0" w:color="auto"/>
              <w:bottom w:val="single" w:sz="4" w:space="0" w:color="auto"/>
              <w:right w:val="single" w:sz="4" w:space="0" w:color="auto"/>
            </w:tcBorders>
          </w:tcPr>
          <w:p w14:paraId="12093EDC" w14:textId="0C9F3C80" w:rsidR="0006699D" w:rsidRPr="0077185F" w:rsidRDefault="0006699D">
            <w:pPr>
              <w:spacing w:after="80"/>
              <w:rPr>
                <w:rFonts w:ascii="Calibri" w:hAnsi="Calibri" w:cs="Calibri"/>
                <w:sz w:val="22"/>
                <w:szCs w:val="22"/>
              </w:rPr>
            </w:pPr>
            <w:r w:rsidRPr="0077185F">
              <w:rPr>
                <w:rFonts w:ascii="Calibri" w:hAnsi="Calibri" w:cs="Calibri"/>
                <w:sz w:val="22"/>
                <w:szCs w:val="22"/>
              </w:rPr>
              <w:t>GAEBA</w:t>
            </w:r>
          </w:p>
        </w:tc>
        <w:tc>
          <w:tcPr>
            <w:tcW w:w="6747" w:type="dxa"/>
            <w:tcBorders>
              <w:top w:val="single" w:sz="4" w:space="0" w:color="auto"/>
              <w:left w:val="single" w:sz="4" w:space="0" w:color="auto"/>
              <w:bottom w:val="single" w:sz="4" w:space="0" w:color="auto"/>
              <w:right w:val="single" w:sz="4" w:space="0" w:color="auto"/>
            </w:tcBorders>
          </w:tcPr>
          <w:p w14:paraId="07BD2F9A"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Global Alliance of Eye Banking Associations</w:t>
            </w:r>
          </w:p>
        </w:tc>
      </w:tr>
      <w:tr w:rsidR="0006699D" w:rsidRPr="0077185F" w14:paraId="61585BFC" w14:textId="77777777">
        <w:tc>
          <w:tcPr>
            <w:tcW w:w="2263" w:type="dxa"/>
            <w:tcBorders>
              <w:top w:val="single" w:sz="4" w:space="0" w:color="auto"/>
              <w:left w:val="single" w:sz="4" w:space="0" w:color="auto"/>
              <w:bottom w:val="single" w:sz="4" w:space="0" w:color="auto"/>
              <w:right w:val="single" w:sz="4" w:space="0" w:color="auto"/>
            </w:tcBorders>
          </w:tcPr>
          <w:p w14:paraId="1958B696" w14:textId="53E0ADC0" w:rsidR="0006699D" w:rsidRPr="0077185F" w:rsidRDefault="0006699D">
            <w:pPr>
              <w:spacing w:after="80"/>
              <w:rPr>
                <w:rFonts w:ascii="Calibri" w:hAnsi="Calibri" w:cs="Calibri"/>
                <w:sz w:val="22"/>
                <w:szCs w:val="22"/>
              </w:rPr>
            </w:pPr>
            <w:r w:rsidRPr="0077185F">
              <w:rPr>
                <w:rFonts w:ascii="Calibri" w:hAnsi="Calibri" w:cs="Calibri"/>
                <w:sz w:val="22"/>
                <w:szCs w:val="22"/>
              </w:rPr>
              <w:t>HSC</w:t>
            </w:r>
          </w:p>
        </w:tc>
        <w:tc>
          <w:tcPr>
            <w:tcW w:w="6747" w:type="dxa"/>
            <w:tcBorders>
              <w:top w:val="single" w:sz="4" w:space="0" w:color="auto"/>
              <w:left w:val="single" w:sz="4" w:space="0" w:color="auto"/>
              <w:bottom w:val="single" w:sz="4" w:space="0" w:color="auto"/>
              <w:right w:val="single" w:sz="4" w:space="0" w:color="auto"/>
            </w:tcBorders>
          </w:tcPr>
          <w:p w14:paraId="7B615DCC"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Haematopoietic stem cell</w:t>
            </w:r>
          </w:p>
        </w:tc>
      </w:tr>
      <w:tr w:rsidR="0006699D" w:rsidRPr="0077185F" w14:paraId="64DC55FC" w14:textId="77777777">
        <w:tc>
          <w:tcPr>
            <w:tcW w:w="2263" w:type="dxa"/>
            <w:tcBorders>
              <w:top w:val="single" w:sz="4" w:space="0" w:color="auto"/>
              <w:left w:val="single" w:sz="4" w:space="0" w:color="auto"/>
              <w:bottom w:val="single" w:sz="4" w:space="0" w:color="auto"/>
              <w:right w:val="single" w:sz="4" w:space="0" w:color="auto"/>
            </w:tcBorders>
          </w:tcPr>
          <w:p w14:paraId="15CDBC93"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HSANZ</w:t>
            </w:r>
          </w:p>
        </w:tc>
        <w:tc>
          <w:tcPr>
            <w:tcW w:w="6747" w:type="dxa"/>
            <w:tcBorders>
              <w:top w:val="single" w:sz="4" w:space="0" w:color="auto"/>
              <w:left w:val="single" w:sz="4" w:space="0" w:color="auto"/>
              <w:bottom w:val="single" w:sz="4" w:space="0" w:color="auto"/>
              <w:right w:val="single" w:sz="4" w:space="0" w:color="auto"/>
            </w:tcBorders>
          </w:tcPr>
          <w:p w14:paraId="10C807B5"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Haematology Society of Australia and New Zealand</w:t>
            </w:r>
          </w:p>
        </w:tc>
      </w:tr>
      <w:tr w:rsidR="0006699D" w:rsidRPr="0077185F" w14:paraId="7BEFB485" w14:textId="77777777">
        <w:tc>
          <w:tcPr>
            <w:tcW w:w="2263" w:type="dxa"/>
            <w:tcBorders>
              <w:top w:val="single" w:sz="4" w:space="0" w:color="auto"/>
              <w:left w:val="single" w:sz="4" w:space="0" w:color="auto"/>
              <w:bottom w:val="single" w:sz="4" w:space="0" w:color="auto"/>
              <w:right w:val="single" w:sz="4" w:space="0" w:color="auto"/>
            </w:tcBorders>
            <w:hideMark/>
          </w:tcPr>
          <w:p w14:paraId="73DB9D54" w14:textId="597CD1F9" w:rsidR="0006699D" w:rsidRPr="0077185F" w:rsidRDefault="0006699D">
            <w:pPr>
              <w:spacing w:after="80"/>
              <w:rPr>
                <w:rFonts w:ascii="Calibri" w:hAnsi="Calibri" w:cs="Calibri"/>
                <w:sz w:val="22"/>
                <w:szCs w:val="22"/>
              </w:rPr>
            </w:pPr>
            <w:r w:rsidRPr="0077185F">
              <w:rPr>
                <w:rFonts w:ascii="Calibri" w:hAnsi="Calibri" w:cs="Calibri"/>
                <w:sz w:val="22"/>
                <w:szCs w:val="22"/>
              </w:rPr>
              <w:t>NHMRC</w:t>
            </w:r>
          </w:p>
        </w:tc>
        <w:tc>
          <w:tcPr>
            <w:tcW w:w="6747" w:type="dxa"/>
            <w:tcBorders>
              <w:top w:val="single" w:sz="4" w:space="0" w:color="auto"/>
              <w:left w:val="single" w:sz="4" w:space="0" w:color="auto"/>
              <w:bottom w:val="single" w:sz="4" w:space="0" w:color="auto"/>
              <w:right w:val="single" w:sz="4" w:space="0" w:color="auto"/>
            </w:tcBorders>
            <w:hideMark/>
          </w:tcPr>
          <w:p w14:paraId="4B2F983A"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National Health and Medical Research Council</w:t>
            </w:r>
          </w:p>
        </w:tc>
      </w:tr>
      <w:tr w:rsidR="0006699D" w:rsidRPr="0077185F" w14:paraId="2AF6AAF6" w14:textId="77777777">
        <w:tc>
          <w:tcPr>
            <w:tcW w:w="2263" w:type="dxa"/>
            <w:tcBorders>
              <w:top w:val="single" w:sz="4" w:space="0" w:color="auto"/>
              <w:left w:val="single" w:sz="4" w:space="0" w:color="auto"/>
              <w:bottom w:val="single" w:sz="4" w:space="0" w:color="auto"/>
              <w:right w:val="single" w:sz="4" w:space="0" w:color="auto"/>
            </w:tcBorders>
            <w:hideMark/>
          </w:tcPr>
          <w:p w14:paraId="35ED4F26" w14:textId="112F2A77" w:rsidR="0006699D" w:rsidRPr="0077185F" w:rsidRDefault="0006699D">
            <w:pPr>
              <w:spacing w:after="80"/>
              <w:rPr>
                <w:rFonts w:ascii="Calibri" w:hAnsi="Calibri" w:cs="Calibri"/>
                <w:sz w:val="22"/>
                <w:szCs w:val="22"/>
              </w:rPr>
            </w:pPr>
            <w:r w:rsidRPr="0077185F">
              <w:rPr>
                <w:rFonts w:ascii="Calibri" w:hAnsi="Calibri" w:cs="Calibri"/>
                <w:sz w:val="22"/>
                <w:szCs w:val="22"/>
              </w:rPr>
              <w:t>OTA</w:t>
            </w:r>
          </w:p>
        </w:tc>
        <w:tc>
          <w:tcPr>
            <w:tcW w:w="6747" w:type="dxa"/>
            <w:tcBorders>
              <w:top w:val="single" w:sz="4" w:space="0" w:color="auto"/>
              <w:left w:val="single" w:sz="4" w:space="0" w:color="auto"/>
              <w:bottom w:val="single" w:sz="4" w:space="0" w:color="auto"/>
              <w:right w:val="single" w:sz="4" w:space="0" w:color="auto"/>
            </w:tcBorders>
            <w:hideMark/>
          </w:tcPr>
          <w:p w14:paraId="6C022FF5"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Organ and Tissue Authority</w:t>
            </w:r>
          </w:p>
        </w:tc>
      </w:tr>
      <w:tr w:rsidR="0006699D" w:rsidRPr="0077185F" w14:paraId="1DE5C5DE" w14:textId="77777777">
        <w:tc>
          <w:tcPr>
            <w:tcW w:w="2263" w:type="dxa"/>
            <w:tcBorders>
              <w:top w:val="single" w:sz="4" w:space="0" w:color="auto"/>
              <w:left w:val="single" w:sz="4" w:space="0" w:color="auto"/>
              <w:bottom w:val="single" w:sz="4" w:space="0" w:color="auto"/>
              <w:right w:val="single" w:sz="4" w:space="0" w:color="auto"/>
            </w:tcBorders>
          </w:tcPr>
          <w:p w14:paraId="54097B01"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SANOK</w:t>
            </w:r>
          </w:p>
        </w:tc>
        <w:tc>
          <w:tcPr>
            <w:tcW w:w="6747" w:type="dxa"/>
            <w:tcBorders>
              <w:top w:val="single" w:sz="4" w:space="0" w:color="auto"/>
              <w:left w:val="single" w:sz="4" w:space="0" w:color="auto"/>
              <w:bottom w:val="single" w:sz="4" w:space="0" w:color="auto"/>
              <w:right w:val="single" w:sz="4" w:space="0" w:color="auto"/>
            </w:tcBorders>
          </w:tcPr>
          <w:p w14:paraId="0AC0B4D3" w14:textId="62EF4B78" w:rsidR="0006699D" w:rsidRPr="0077185F" w:rsidRDefault="00000000">
            <w:pPr>
              <w:spacing w:after="80"/>
              <w:rPr>
                <w:rFonts w:ascii="Calibri" w:hAnsi="Calibri" w:cs="Calibri"/>
                <w:sz w:val="22"/>
                <w:szCs w:val="22"/>
              </w:rPr>
            </w:pPr>
            <w:hyperlink w:anchor="_Glossary_2" w:history="1">
              <w:r w:rsidR="0006699D" w:rsidRPr="0077185F">
                <w:rPr>
                  <w:rStyle w:val="Hyperlink"/>
                  <w:rFonts w:ascii="Calibri" w:hAnsi="Calibri" w:cs="Calibri"/>
                  <w:sz w:val="22"/>
                  <w:szCs w:val="22"/>
                </w:rPr>
                <w:t>Senior Available Next of Kin</w:t>
              </w:r>
            </w:hyperlink>
          </w:p>
        </w:tc>
      </w:tr>
      <w:tr w:rsidR="0006699D" w:rsidRPr="0077185F" w14:paraId="3FC05CD3" w14:textId="77777777">
        <w:tc>
          <w:tcPr>
            <w:tcW w:w="2263" w:type="dxa"/>
            <w:tcBorders>
              <w:top w:val="single" w:sz="4" w:space="0" w:color="auto"/>
              <w:left w:val="single" w:sz="4" w:space="0" w:color="auto"/>
              <w:bottom w:val="single" w:sz="4" w:space="0" w:color="auto"/>
              <w:right w:val="single" w:sz="4" w:space="0" w:color="auto"/>
            </w:tcBorders>
          </w:tcPr>
          <w:p w14:paraId="12E48681"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TGA</w:t>
            </w:r>
          </w:p>
        </w:tc>
        <w:tc>
          <w:tcPr>
            <w:tcW w:w="6747" w:type="dxa"/>
            <w:tcBorders>
              <w:top w:val="single" w:sz="4" w:space="0" w:color="auto"/>
              <w:left w:val="single" w:sz="4" w:space="0" w:color="auto"/>
              <w:bottom w:val="single" w:sz="4" w:space="0" w:color="auto"/>
              <w:right w:val="single" w:sz="4" w:space="0" w:color="auto"/>
            </w:tcBorders>
          </w:tcPr>
          <w:p w14:paraId="6408C6D2"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Therapeutic Goods Administration</w:t>
            </w:r>
          </w:p>
        </w:tc>
      </w:tr>
      <w:tr w:rsidR="0006699D" w:rsidRPr="0077185F" w14:paraId="1D6741E8" w14:textId="77777777">
        <w:tc>
          <w:tcPr>
            <w:tcW w:w="2263" w:type="dxa"/>
            <w:tcBorders>
              <w:top w:val="single" w:sz="4" w:space="0" w:color="auto"/>
              <w:left w:val="single" w:sz="4" w:space="0" w:color="auto"/>
              <w:bottom w:val="single" w:sz="4" w:space="0" w:color="auto"/>
              <w:right w:val="single" w:sz="4" w:space="0" w:color="auto"/>
            </w:tcBorders>
            <w:hideMark/>
          </w:tcPr>
          <w:p w14:paraId="51B5F221" w14:textId="249026E2" w:rsidR="0006699D" w:rsidRPr="0077185F" w:rsidRDefault="0006699D">
            <w:pPr>
              <w:spacing w:after="80"/>
              <w:rPr>
                <w:rFonts w:ascii="Calibri" w:hAnsi="Calibri" w:cs="Calibri"/>
                <w:sz w:val="22"/>
                <w:szCs w:val="22"/>
              </w:rPr>
            </w:pPr>
            <w:r w:rsidRPr="0077185F">
              <w:rPr>
                <w:rFonts w:ascii="Calibri" w:hAnsi="Calibri" w:cs="Calibri"/>
                <w:sz w:val="22"/>
                <w:szCs w:val="22"/>
              </w:rPr>
              <w:t>TSANZ</w:t>
            </w:r>
          </w:p>
        </w:tc>
        <w:tc>
          <w:tcPr>
            <w:tcW w:w="6747" w:type="dxa"/>
            <w:tcBorders>
              <w:top w:val="single" w:sz="4" w:space="0" w:color="auto"/>
              <w:left w:val="single" w:sz="4" w:space="0" w:color="auto"/>
              <w:bottom w:val="single" w:sz="4" w:space="0" w:color="auto"/>
              <w:right w:val="single" w:sz="4" w:space="0" w:color="auto"/>
            </w:tcBorders>
            <w:hideMark/>
          </w:tcPr>
          <w:p w14:paraId="4C16AFE8"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Transplantation Society of Australia and New Zealand</w:t>
            </w:r>
          </w:p>
        </w:tc>
      </w:tr>
      <w:tr w:rsidR="0006699D" w:rsidRPr="0077185F" w14:paraId="5AE496A0" w14:textId="77777777">
        <w:tc>
          <w:tcPr>
            <w:tcW w:w="2263" w:type="dxa"/>
            <w:tcBorders>
              <w:top w:val="single" w:sz="4" w:space="0" w:color="auto"/>
              <w:left w:val="single" w:sz="4" w:space="0" w:color="auto"/>
              <w:bottom w:val="single" w:sz="4" w:space="0" w:color="auto"/>
              <w:right w:val="single" w:sz="4" w:space="0" w:color="auto"/>
            </w:tcBorders>
          </w:tcPr>
          <w:p w14:paraId="1D5826F8"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VAD</w:t>
            </w:r>
          </w:p>
        </w:tc>
        <w:tc>
          <w:tcPr>
            <w:tcW w:w="6747" w:type="dxa"/>
            <w:tcBorders>
              <w:top w:val="single" w:sz="4" w:space="0" w:color="auto"/>
              <w:left w:val="single" w:sz="4" w:space="0" w:color="auto"/>
              <w:bottom w:val="single" w:sz="4" w:space="0" w:color="auto"/>
              <w:right w:val="single" w:sz="4" w:space="0" w:color="auto"/>
            </w:tcBorders>
          </w:tcPr>
          <w:p w14:paraId="59DBA8B9" w14:textId="0C72416F" w:rsidR="0006699D" w:rsidRPr="0077185F" w:rsidRDefault="00000000">
            <w:pPr>
              <w:spacing w:after="80"/>
              <w:rPr>
                <w:rFonts w:ascii="Calibri" w:hAnsi="Calibri" w:cs="Calibri"/>
                <w:sz w:val="22"/>
                <w:szCs w:val="22"/>
              </w:rPr>
            </w:pPr>
            <w:hyperlink w:anchor="_Glossary_2" w:history="1">
              <w:r w:rsidR="0006699D" w:rsidRPr="0077185F">
                <w:rPr>
                  <w:rStyle w:val="Hyperlink"/>
                  <w:rFonts w:ascii="Calibri" w:hAnsi="Calibri" w:cs="Calibri"/>
                  <w:sz w:val="22"/>
                  <w:szCs w:val="22"/>
                </w:rPr>
                <w:t>Voluntary assisted dying</w:t>
              </w:r>
            </w:hyperlink>
          </w:p>
        </w:tc>
      </w:tr>
      <w:tr w:rsidR="0006699D" w:rsidRPr="0077185F" w14:paraId="4E1326DF" w14:textId="77777777">
        <w:tc>
          <w:tcPr>
            <w:tcW w:w="2263" w:type="dxa"/>
            <w:tcBorders>
              <w:top w:val="single" w:sz="4" w:space="0" w:color="auto"/>
              <w:left w:val="single" w:sz="4" w:space="0" w:color="auto"/>
              <w:bottom w:val="single" w:sz="4" w:space="0" w:color="auto"/>
              <w:right w:val="single" w:sz="4" w:space="0" w:color="auto"/>
            </w:tcBorders>
            <w:hideMark/>
          </w:tcPr>
          <w:p w14:paraId="0E7354AA"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WHO</w:t>
            </w:r>
          </w:p>
        </w:tc>
        <w:tc>
          <w:tcPr>
            <w:tcW w:w="6747" w:type="dxa"/>
            <w:tcBorders>
              <w:top w:val="single" w:sz="4" w:space="0" w:color="auto"/>
              <w:left w:val="single" w:sz="4" w:space="0" w:color="auto"/>
              <w:bottom w:val="single" w:sz="4" w:space="0" w:color="auto"/>
              <w:right w:val="single" w:sz="4" w:space="0" w:color="auto"/>
            </w:tcBorders>
            <w:hideMark/>
          </w:tcPr>
          <w:p w14:paraId="7983BDBE"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World Health Organisation</w:t>
            </w:r>
          </w:p>
        </w:tc>
      </w:tr>
      <w:tr w:rsidR="0006699D" w:rsidRPr="0077185F" w14:paraId="77DA0D31" w14:textId="77777777">
        <w:tc>
          <w:tcPr>
            <w:tcW w:w="2263" w:type="dxa"/>
            <w:tcBorders>
              <w:top w:val="single" w:sz="4" w:space="0" w:color="auto"/>
              <w:left w:val="single" w:sz="4" w:space="0" w:color="auto"/>
              <w:bottom w:val="single" w:sz="4" w:space="0" w:color="auto"/>
              <w:right w:val="single" w:sz="4" w:space="0" w:color="auto"/>
            </w:tcBorders>
          </w:tcPr>
          <w:p w14:paraId="4FC714CC" w14:textId="16450862" w:rsidR="0006699D" w:rsidRPr="0077185F" w:rsidRDefault="0006699D">
            <w:pPr>
              <w:spacing w:after="80"/>
              <w:rPr>
                <w:rFonts w:ascii="Calibri" w:hAnsi="Calibri" w:cs="Calibri"/>
                <w:sz w:val="22"/>
                <w:szCs w:val="22"/>
              </w:rPr>
            </w:pPr>
            <w:r w:rsidRPr="0077185F">
              <w:rPr>
                <w:rFonts w:ascii="Calibri" w:hAnsi="Calibri" w:cs="Calibri"/>
                <w:sz w:val="22"/>
                <w:szCs w:val="22"/>
              </w:rPr>
              <w:t>WMA</w:t>
            </w:r>
          </w:p>
        </w:tc>
        <w:tc>
          <w:tcPr>
            <w:tcW w:w="6747" w:type="dxa"/>
            <w:tcBorders>
              <w:top w:val="single" w:sz="4" w:space="0" w:color="auto"/>
              <w:left w:val="single" w:sz="4" w:space="0" w:color="auto"/>
              <w:bottom w:val="single" w:sz="4" w:space="0" w:color="auto"/>
              <w:right w:val="single" w:sz="4" w:space="0" w:color="auto"/>
            </w:tcBorders>
          </w:tcPr>
          <w:p w14:paraId="2375C382"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World Medical Association</w:t>
            </w:r>
          </w:p>
        </w:tc>
      </w:tr>
      <w:tr w:rsidR="0006699D" w:rsidRPr="0077185F" w14:paraId="6F150C22" w14:textId="77777777">
        <w:tc>
          <w:tcPr>
            <w:tcW w:w="2263" w:type="dxa"/>
            <w:tcBorders>
              <w:top w:val="single" w:sz="4" w:space="0" w:color="auto"/>
              <w:left w:val="single" w:sz="4" w:space="0" w:color="auto"/>
              <w:bottom w:val="single" w:sz="4" w:space="0" w:color="auto"/>
              <w:right w:val="single" w:sz="4" w:space="0" w:color="auto"/>
            </w:tcBorders>
          </w:tcPr>
          <w:p w14:paraId="03390F22"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WMDA</w:t>
            </w:r>
          </w:p>
        </w:tc>
        <w:tc>
          <w:tcPr>
            <w:tcW w:w="6747" w:type="dxa"/>
            <w:tcBorders>
              <w:top w:val="single" w:sz="4" w:space="0" w:color="auto"/>
              <w:left w:val="single" w:sz="4" w:space="0" w:color="auto"/>
              <w:bottom w:val="single" w:sz="4" w:space="0" w:color="auto"/>
              <w:right w:val="single" w:sz="4" w:space="0" w:color="auto"/>
            </w:tcBorders>
          </w:tcPr>
          <w:p w14:paraId="3F06486B" w14:textId="77777777" w:rsidR="0006699D" w:rsidRPr="0077185F" w:rsidRDefault="0006699D">
            <w:pPr>
              <w:spacing w:after="80"/>
              <w:rPr>
                <w:rFonts w:ascii="Calibri" w:hAnsi="Calibri" w:cs="Calibri"/>
                <w:sz w:val="22"/>
                <w:szCs w:val="22"/>
              </w:rPr>
            </w:pPr>
            <w:r w:rsidRPr="0077185F">
              <w:rPr>
                <w:rFonts w:ascii="Calibri" w:hAnsi="Calibri" w:cs="Calibri"/>
                <w:sz w:val="22"/>
                <w:szCs w:val="22"/>
              </w:rPr>
              <w:t>World Marrow Donor Association</w:t>
            </w:r>
          </w:p>
        </w:tc>
      </w:tr>
    </w:tbl>
    <w:p w14:paraId="71187FDC" w14:textId="77777777" w:rsidR="006C6EBA" w:rsidRPr="006720E4" w:rsidRDefault="006C6EBA" w:rsidP="00EA22AE">
      <w:pPr>
        <w:spacing w:after="120"/>
        <w:rPr>
          <w:rFonts w:ascii="Calibri" w:hAnsi="Calibri" w:cs="Calibri"/>
          <w:sz w:val="22"/>
          <w:szCs w:val="22"/>
        </w:rPr>
      </w:pPr>
    </w:p>
    <w:p w14:paraId="4541A505" w14:textId="77777777" w:rsidR="006C6EBA" w:rsidRPr="006720E4" w:rsidRDefault="006C6EBA" w:rsidP="00EA22AE">
      <w:pPr>
        <w:spacing w:after="120"/>
        <w:rPr>
          <w:rFonts w:ascii="Calibri" w:hAnsi="Calibri" w:cs="Calibri"/>
          <w:sz w:val="22"/>
          <w:szCs w:val="22"/>
        </w:rPr>
      </w:pPr>
    </w:p>
    <w:p w14:paraId="02649A5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br w:type="page"/>
      </w:r>
    </w:p>
    <w:p w14:paraId="6880E5AC" w14:textId="77777777" w:rsidR="006C6EBA" w:rsidRPr="006720E4" w:rsidRDefault="006C6EBA" w:rsidP="00EA22AE">
      <w:pPr>
        <w:pStyle w:val="Heading1"/>
        <w:numPr>
          <w:ilvl w:val="0"/>
          <w:numId w:val="0"/>
        </w:numPr>
        <w:ind w:left="360" w:hanging="360"/>
      </w:pPr>
      <w:bookmarkStart w:id="85" w:name="_Toc70241701"/>
      <w:bookmarkStart w:id="86" w:name="_Toc70243335"/>
      <w:bookmarkStart w:id="87" w:name="_Toc70328714"/>
      <w:bookmarkStart w:id="88" w:name="_Toc70333942"/>
      <w:bookmarkStart w:id="89" w:name="_Toc70414779"/>
      <w:bookmarkStart w:id="90" w:name="_Toc70844108"/>
      <w:bookmarkStart w:id="91" w:name="_Toc70858970"/>
      <w:bookmarkStart w:id="92" w:name="_Toc70861071"/>
      <w:bookmarkStart w:id="93" w:name="_Toc70876554"/>
      <w:bookmarkStart w:id="94" w:name="_Toc72615038"/>
      <w:bookmarkStart w:id="95" w:name="_Toc73129757"/>
      <w:bookmarkStart w:id="96" w:name="_Toc73301626"/>
      <w:bookmarkStart w:id="97" w:name="_Toc73302132"/>
      <w:bookmarkStart w:id="98" w:name="_Toc73303265"/>
      <w:bookmarkStart w:id="99" w:name="_Toc73303526"/>
      <w:bookmarkStart w:id="100" w:name="_Toc74080643"/>
      <w:bookmarkStart w:id="101" w:name="_Toc74080951"/>
      <w:bookmarkStart w:id="102" w:name="_Toc74081181"/>
      <w:bookmarkStart w:id="103" w:name="_Toc74081410"/>
      <w:bookmarkStart w:id="104" w:name="_Toc74170981"/>
      <w:bookmarkStart w:id="105" w:name="_Toc74172130"/>
      <w:bookmarkStart w:id="106" w:name="_Toc74172666"/>
      <w:bookmarkStart w:id="107" w:name="_Toc74238655"/>
      <w:bookmarkStart w:id="108" w:name="_Toc78304745"/>
      <w:bookmarkStart w:id="109" w:name="_Toc79330833"/>
      <w:bookmarkStart w:id="110" w:name="_Toc79331213"/>
      <w:bookmarkStart w:id="111" w:name="_Toc79406301"/>
      <w:bookmarkStart w:id="112" w:name="_Toc82773464"/>
      <w:bookmarkStart w:id="113" w:name="_Toc82773817"/>
      <w:bookmarkStart w:id="114" w:name="_Toc128314159"/>
      <w:bookmarkStart w:id="115" w:name="_Toc135131415"/>
      <w:bookmarkStart w:id="116" w:name="_Toc61810277"/>
      <w:r w:rsidRPr="006720E4">
        <w:lastRenderedPageBreak/>
        <w:t>Acknowledgements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3F7E5EF"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We acknowledge the sovereignty of Aboriginal and Torres Strait Islander Peoples as the original custodians of Australia and acknowledge and pay respect to Elders past, present and future.</w:t>
      </w:r>
    </w:p>
    <w:p w14:paraId="483CC243" w14:textId="77777777" w:rsidR="006C6EBA" w:rsidRPr="006720E4" w:rsidRDefault="006C6EBA" w:rsidP="00EA22AE">
      <w:pPr>
        <w:spacing w:after="120"/>
        <w:rPr>
          <w:rFonts w:ascii="Calibri" w:hAnsi="Calibri" w:cs="Calibri"/>
          <w:sz w:val="22"/>
          <w:szCs w:val="22"/>
        </w:rPr>
      </w:pPr>
    </w:p>
    <w:p w14:paraId="5DF56645" w14:textId="77777777" w:rsidR="006C6EBA" w:rsidRPr="006720E4" w:rsidRDefault="006C6EBA" w:rsidP="00EA22AE">
      <w:pPr>
        <w:spacing w:after="120"/>
        <w:rPr>
          <w:rFonts w:ascii="Calibri" w:hAnsi="Calibri" w:cs="Calibri"/>
          <w:b/>
          <w:bCs/>
          <w:color w:val="4472C4" w:themeColor="accent1"/>
          <w:sz w:val="22"/>
          <w:szCs w:val="22"/>
          <w:u w:val="single"/>
        </w:rPr>
      </w:pPr>
      <w:bookmarkStart w:id="117" w:name="_Contributors"/>
      <w:bookmarkEnd w:id="117"/>
      <w:r w:rsidRPr="006720E4">
        <w:rPr>
          <w:rFonts w:ascii="Calibri" w:hAnsi="Calibri" w:cs="Calibri"/>
          <w:b/>
          <w:bCs/>
          <w:color w:val="4472C4" w:themeColor="accent1"/>
          <w:sz w:val="22"/>
          <w:szCs w:val="22"/>
          <w:u w:val="single"/>
        </w:rPr>
        <w:br w:type="page"/>
      </w:r>
    </w:p>
    <w:p w14:paraId="2A614E6B" w14:textId="77777777" w:rsidR="006C6EBA" w:rsidRPr="006720E4" w:rsidRDefault="006C6EBA" w:rsidP="00EA22AE">
      <w:pPr>
        <w:pStyle w:val="Heading1"/>
      </w:pPr>
      <w:bookmarkStart w:id="118" w:name="_Introduction_1"/>
      <w:bookmarkStart w:id="119" w:name="_Toc70241702"/>
      <w:bookmarkStart w:id="120" w:name="_Toc70243336"/>
      <w:bookmarkStart w:id="121" w:name="_Toc70328715"/>
      <w:bookmarkStart w:id="122" w:name="_Toc70333943"/>
      <w:bookmarkStart w:id="123" w:name="_Toc70414780"/>
      <w:bookmarkStart w:id="124" w:name="_Toc70844109"/>
      <w:bookmarkStart w:id="125" w:name="_Toc70858971"/>
      <w:bookmarkStart w:id="126" w:name="_Toc70861072"/>
      <w:bookmarkStart w:id="127" w:name="_Toc70876556"/>
      <w:bookmarkStart w:id="128" w:name="_Toc72615040"/>
      <w:bookmarkStart w:id="129" w:name="_Toc73129759"/>
      <w:bookmarkStart w:id="130" w:name="_Toc73301628"/>
      <w:bookmarkStart w:id="131" w:name="_Toc73302134"/>
      <w:bookmarkStart w:id="132" w:name="_Toc73303267"/>
      <w:bookmarkStart w:id="133" w:name="_Toc73303528"/>
      <w:bookmarkStart w:id="134" w:name="_Toc74080645"/>
      <w:bookmarkStart w:id="135" w:name="_Toc74080953"/>
      <w:bookmarkStart w:id="136" w:name="_Toc74081183"/>
      <w:bookmarkStart w:id="137" w:name="_Toc74081412"/>
      <w:bookmarkStart w:id="138" w:name="_Toc74170983"/>
      <w:bookmarkStart w:id="139" w:name="_Toc74172132"/>
      <w:bookmarkStart w:id="140" w:name="_Toc74172668"/>
      <w:bookmarkStart w:id="141" w:name="_Toc74238657"/>
      <w:bookmarkStart w:id="142" w:name="_Toc78304747"/>
      <w:bookmarkStart w:id="143" w:name="_Toc79330834"/>
      <w:bookmarkStart w:id="144" w:name="_Toc79331214"/>
      <w:bookmarkStart w:id="145" w:name="_Toc79406302"/>
      <w:bookmarkStart w:id="146" w:name="_Toc82773465"/>
      <w:bookmarkStart w:id="147" w:name="_Toc82773818"/>
      <w:bookmarkStart w:id="148" w:name="_Toc128314160"/>
      <w:bookmarkStart w:id="149" w:name="_Toc135131416"/>
      <w:bookmarkEnd w:id="118"/>
      <w:r w:rsidRPr="006720E4">
        <w:lastRenderedPageBreak/>
        <w:t>Introduction</w:t>
      </w:r>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20A212E" w14:textId="7A6469F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Transplantation is a highly effective treatment for advanced organ failure and other conditions associated with damaged or diseased cells and tissues, including blood and immune system disorders, burns, eye or musculoskeletal injuries, and disorders of genetic origin. Thousands of Australians benefit from transplants each year, however the need for donated cells, tissues and organs for transplantation often exceeds their availability. Many tissues and organs required for transplantation can only be donated after someone has died. Cells such as </w:t>
      </w:r>
      <w:hyperlink w:anchor="_Glossary_2" w:history="1">
        <w:r w:rsidRPr="009C2EF0">
          <w:rPr>
            <w:rStyle w:val="Hyperlink"/>
            <w:rFonts w:ascii="Calibri" w:hAnsi="Calibri" w:cs="Calibri"/>
            <w:sz w:val="22"/>
            <w:szCs w:val="22"/>
          </w:rPr>
          <w:t>haematopoietic stem cells</w:t>
        </w:r>
      </w:hyperlink>
      <w:r w:rsidRPr="006720E4">
        <w:rPr>
          <w:rFonts w:ascii="Calibri" w:hAnsi="Calibri" w:cs="Calibri"/>
          <w:sz w:val="22"/>
          <w:szCs w:val="22"/>
        </w:rPr>
        <w:t xml:space="preserve"> (HSCs) are generally renewable, and these and some non-renewable organs such as kidneys can be donated by individuals during life. People may also donate some tissues when these are removed as part of therapeutic surgery, such as bone from femoral heads removed during hip replacement </w:t>
      </w:r>
      <w:r w:rsidRPr="009C2EF0">
        <w:rPr>
          <w:rFonts w:ascii="Calibri" w:hAnsi="Calibri" w:cs="Calibri"/>
          <w:sz w:val="22"/>
          <w:szCs w:val="22"/>
        </w:rPr>
        <w:t xml:space="preserve">surgery. (See </w:t>
      </w:r>
      <w:hyperlink w:anchor="_Ethical_foundations_of_1" w:history="1">
        <w:r w:rsidRPr="009C2EF0">
          <w:rPr>
            <w:rStyle w:val="Hyperlink"/>
            <w:rFonts w:ascii="Calibri" w:hAnsi="Calibri" w:cs="Calibri"/>
            <w:sz w:val="22"/>
            <w:szCs w:val="22"/>
          </w:rPr>
          <w:t>Chapter 2</w:t>
        </w:r>
      </w:hyperlink>
      <w:r w:rsidRPr="009C2EF0">
        <w:rPr>
          <w:rFonts w:ascii="Calibri" w:hAnsi="Calibri" w:cs="Calibri"/>
          <w:sz w:val="22"/>
          <w:szCs w:val="22"/>
        </w:rPr>
        <w:t xml:space="preserve"> for a</w:t>
      </w:r>
      <w:r w:rsidRPr="006720E4">
        <w:rPr>
          <w:rFonts w:ascii="Calibri" w:hAnsi="Calibri" w:cs="Calibri"/>
          <w:sz w:val="22"/>
          <w:szCs w:val="22"/>
        </w:rPr>
        <w:t xml:space="preserve"> summary of the organs, tissues and cells that can be donated and transplanted in Australia). All donations depend on the willingness of individuals or their families to donate in order to help others. </w:t>
      </w:r>
      <w:hyperlink w:anchor="_Glossary_2" w:history="1">
        <w:r w:rsidRPr="009C2EF0">
          <w:rPr>
            <w:rStyle w:val="Hyperlink"/>
            <w:rFonts w:ascii="Calibri" w:hAnsi="Calibri" w:cs="Calibri"/>
            <w:sz w:val="22"/>
            <w:szCs w:val="22"/>
          </w:rPr>
          <w:t>Altruism</w:t>
        </w:r>
      </w:hyperlink>
      <w:r w:rsidRPr="006720E4">
        <w:rPr>
          <w:rFonts w:ascii="Calibri" w:hAnsi="Calibri" w:cs="Calibri"/>
          <w:color w:val="4472C4" w:themeColor="accent1"/>
          <w:sz w:val="22"/>
          <w:szCs w:val="22"/>
        </w:rPr>
        <w:t xml:space="preserve"> </w:t>
      </w:r>
      <w:r w:rsidRPr="006720E4">
        <w:rPr>
          <w:rFonts w:ascii="Calibri" w:hAnsi="Calibri" w:cs="Calibri"/>
          <w:sz w:val="22"/>
          <w:szCs w:val="22"/>
        </w:rPr>
        <w:t xml:space="preserve">and </w:t>
      </w:r>
      <w:hyperlink w:anchor="_Glossary_2" w:history="1">
        <w:r w:rsidRPr="006720E4">
          <w:rPr>
            <w:rStyle w:val="Hyperlink"/>
            <w:rFonts w:ascii="Calibri" w:hAnsi="Calibri" w:cs="Calibri"/>
            <w:sz w:val="22"/>
            <w:szCs w:val="22"/>
          </w:rPr>
          <w:t>solidarity</w:t>
        </w:r>
      </w:hyperlink>
      <w:r w:rsidRPr="006720E4">
        <w:rPr>
          <w:rFonts w:ascii="Calibri" w:hAnsi="Calibri" w:cs="Calibri"/>
          <w:sz w:val="22"/>
          <w:szCs w:val="22"/>
        </w:rPr>
        <w:t xml:space="preserve"> underpin Australia’s donation programs, meaning the willingness to act for the benefit of others and the commitment to working together to achieve common goals. Ensuring ethical policy and practice in donation and transplantation activities within Australia is essential to maintain public trust and willingness to participate in donation, thus enabling more Australians to benefit from transplantation.</w:t>
      </w:r>
    </w:p>
    <w:p w14:paraId="09A7D867" w14:textId="62A462F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w:t>
      </w:r>
      <w:r w:rsidRPr="009C2EF0">
        <w:rPr>
          <w:rFonts w:ascii="Calibri" w:hAnsi="Calibri" w:cs="Calibri"/>
          <w:sz w:val="22"/>
          <w:szCs w:val="22"/>
        </w:rPr>
        <w:t>discussed in</w:t>
      </w:r>
      <w:r w:rsidR="00485565" w:rsidRPr="009C2EF0">
        <w:rPr>
          <w:rFonts w:ascii="Calibri" w:hAnsi="Calibri" w:cs="Calibri"/>
          <w:sz w:val="22"/>
          <w:szCs w:val="22"/>
        </w:rPr>
        <w:t xml:space="preserve"> </w:t>
      </w:r>
      <w:hyperlink w:anchor="_Ethical_foundations_of_2" w:history="1">
        <w:r w:rsidR="00485565" w:rsidRPr="009C2EF0">
          <w:rPr>
            <w:rStyle w:val="Hyperlink"/>
            <w:rFonts w:ascii="Calibri" w:hAnsi="Calibri" w:cs="Calibri"/>
            <w:sz w:val="22"/>
            <w:szCs w:val="22"/>
          </w:rPr>
          <w:t>Chapter 3</w:t>
        </w:r>
      </w:hyperlink>
      <w:r w:rsidRPr="009C2EF0">
        <w:rPr>
          <w:rFonts w:ascii="Calibri" w:hAnsi="Calibri" w:cs="Calibri"/>
          <w:sz w:val="22"/>
          <w:szCs w:val="22"/>
        </w:rPr>
        <w:t>, human</w:t>
      </w:r>
      <w:r w:rsidRPr="006720E4">
        <w:rPr>
          <w:rFonts w:ascii="Calibri" w:hAnsi="Calibri" w:cs="Calibri"/>
          <w:sz w:val="22"/>
          <w:szCs w:val="22"/>
        </w:rPr>
        <w:t xml:space="preserve"> cells, tissues, and organs may hold special value, or have cultural, social, and ethical significance for individuals, their families, and communities. Human cells, tissues and organs that are used in transplantation have thus been described by the World Health Organi</w:t>
      </w:r>
      <w:r w:rsidR="00CC1B27">
        <w:rPr>
          <w:rFonts w:ascii="Calibri" w:hAnsi="Calibri" w:cs="Calibri"/>
          <w:sz w:val="22"/>
          <w:szCs w:val="22"/>
        </w:rPr>
        <w:t>s</w:t>
      </w:r>
      <w:r w:rsidRPr="006720E4">
        <w:rPr>
          <w:rFonts w:ascii="Calibri" w:hAnsi="Calibri" w:cs="Calibri"/>
          <w:sz w:val="22"/>
          <w:szCs w:val="22"/>
        </w:rPr>
        <w:t>ation (WHO) as “exceptional medical products”.</w:t>
      </w:r>
      <w:r w:rsidRPr="006720E4">
        <w:rPr>
          <w:rFonts w:ascii="Calibri" w:hAnsi="Calibri" w:cs="Calibri"/>
          <w:sz w:val="22"/>
          <w:szCs w:val="22"/>
        </w:rPr>
        <w:fldChar w:fldCharType="begin" w:fldLock="1"/>
      </w:r>
      <w:r w:rsidRPr="006720E4">
        <w:rPr>
          <w:rFonts w:ascii="Calibri" w:hAnsi="Calibri" w:cs="Calibri"/>
          <w:sz w:val="22"/>
          <w:szCs w:val="22"/>
        </w:rPr>
        <w:instrText>ADDIN CSL_CITATION {"citationItems":[{"id":"ITEM-1","itemData":{"DOI":"10.1097/TP.0b013e3181ec29f0","ISSN":"13899333","PMID":"20664493","abstract":"In May 2010, the Sixty-third World Health Assembly Resolution WHA63.22 endorsed the WHO Guiding Principles, updated in the light of changes in practices and attitudes regarding organ and tissue transplantation. The Guiding Principles are intended to provide an orderly, ethical and acceptable framework for the procurement and transplantation of human cells, tissues and organs for therapeutic purposes. Each jurisdiction will determine the means of implementing these WHO Guiding Principles. They preserve the essential points of the 1991 version while incorporating new provisions in response to current trends in transplantation, particularly the protection of the living donor, and the increasing use of human cells and tissues. The Guiding Principles stress the necessity of documentation and transparency, both for quality management purposes and to justify the confidence of patients, clinicians and the community at large in donation and transplantation services. © World Health Organisation 2010.","author":[{"dropping-particle":"","family":"World Health Organization (WHO)","given":"","non-dropping-particle":"","parse-names":false,"suffix":""}],"container-title":"Cell and Tissue Banking","id":"ITEM-1","issue":"4","issued":{"date-parts":[["2010"]]},"page":"229-233","title":"WHO guiding principles on human cell, tissue and organ transplantation: Sixty-Third World Health Assembly","type":"article-journal","volume":"11"},"uris":["http://www.mendeley.com/documents/?uuid=3d249cf2-01a1-4151-b88c-d3eb0f1edcdc"]}],"mendeley":{"formattedCitation":"(1)","plainTextFormattedCitation":"(1)","previouslyFormattedCitation":"(1)"},"properties":{"noteIndex":0},"schema":"https://github.com/citation-style-language/schema/raw/master/csl-citation.json"}</w:instrText>
      </w:r>
      <w:r w:rsidRPr="006720E4">
        <w:rPr>
          <w:rFonts w:ascii="Calibri" w:hAnsi="Calibri" w:cs="Calibri"/>
          <w:sz w:val="22"/>
          <w:szCs w:val="22"/>
        </w:rPr>
        <w:fldChar w:fldCharType="separate"/>
      </w:r>
      <w:r w:rsidRPr="006720E4">
        <w:rPr>
          <w:rFonts w:ascii="Calibri" w:hAnsi="Calibri" w:cs="Calibri"/>
          <w:noProof/>
          <w:sz w:val="22"/>
          <w:szCs w:val="22"/>
        </w:rPr>
        <w:t>(1)</w:t>
      </w:r>
      <w:r w:rsidRPr="006720E4">
        <w:rPr>
          <w:rFonts w:ascii="Calibri" w:hAnsi="Calibri" w:cs="Calibri"/>
          <w:sz w:val="22"/>
          <w:szCs w:val="22"/>
        </w:rPr>
        <w:fldChar w:fldCharType="end"/>
      </w:r>
      <w:r w:rsidRPr="006720E4">
        <w:rPr>
          <w:rFonts w:ascii="Calibri" w:hAnsi="Calibri" w:cs="Calibri"/>
          <w:sz w:val="22"/>
          <w:szCs w:val="22"/>
        </w:rPr>
        <w:t xml:space="preserve"> In addition to the customary ethical concerns and considerations associated with delivery of health care, clinical decision-making, and allocation of healthcare resources in Australia, </w:t>
      </w:r>
      <w:hyperlink w:anchor="_Glossary_2" w:history="1">
        <w:r w:rsidRPr="009C2EF0">
          <w:rPr>
            <w:rStyle w:val="Hyperlink"/>
            <w:rFonts w:ascii="Calibri" w:hAnsi="Calibri" w:cs="Calibri"/>
            <w:sz w:val="22"/>
            <w:szCs w:val="22"/>
          </w:rPr>
          <w:t>donation and transplantation activities</w:t>
        </w:r>
      </w:hyperlink>
      <w:r w:rsidRPr="006720E4">
        <w:rPr>
          <w:rFonts w:ascii="Calibri" w:hAnsi="Calibri" w:cs="Calibri"/>
          <w:sz w:val="22"/>
          <w:szCs w:val="22"/>
        </w:rPr>
        <w:t xml:space="preserve"> may therefore be associated with specific and complex ethical considerations.  </w:t>
      </w:r>
    </w:p>
    <w:p w14:paraId="0725901C" w14:textId="3F5A503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These guidelines aim to support understanding of ethical considerations and guide ethical decision-making in a range of donation and transplantation settings. </w:t>
      </w:r>
    </w:p>
    <w:p w14:paraId="4716277C" w14:textId="28582F80" w:rsidR="006C6EBA" w:rsidRPr="006720E4" w:rsidRDefault="006C6EBA" w:rsidP="00EA22AE">
      <w:pPr>
        <w:pStyle w:val="Heading2"/>
        <w:spacing w:after="120"/>
      </w:pPr>
      <w:bookmarkStart w:id="150" w:name="_Toc61810278"/>
      <w:bookmarkStart w:id="151" w:name="_Toc70241703"/>
      <w:bookmarkStart w:id="152" w:name="_Toc70243337"/>
      <w:bookmarkStart w:id="153" w:name="_Toc70328716"/>
      <w:bookmarkStart w:id="154" w:name="_Toc70333944"/>
      <w:bookmarkStart w:id="155" w:name="_Toc70414781"/>
      <w:bookmarkStart w:id="156" w:name="_Toc70844110"/>
      <w:bookmarkStart w:id="157" w:name="_Toc70858972"/>
      <w:bookmarkStart w:id="158" w:name="_Toc70861073"/>
      <w:bookmarkStart w:id="159" w:name="_Toc70876557"/>
      <w:bookmarkStart w:id="160" w:name="_Toc72615041"/>
      <w:bookmarkStart w:id="161" w:name="_Toc73129760"/>
      <w:bookmarkStart w:id="162" w:name="_Toc73301629"/>
      <w:bookmarkStart w:id="163" w:name="_Toc73302135"/>
      <w:bookmarkStart w:id="164" w:name="_Toc73303268"/>
      <w:bookmarkStart w:id="165" w:name="_Toc73303529"/>
      <w:bookmarkStart w:id="166" w:name="_Toc74080646"/>
      <w:bookmarkStart w:id="167" w:name="_Toc74080954"/>
      <w:bookmarkStart w:id="168" w:name="_Toc74081184"/>
      <w:bookmarkStart w:id="169" w:name="_Toc74081413"/>
      <w:bookmarkStart w:id="170" w:name="_Toc74170984"/>
      <w:bookmarkStart w:id="171" w:name="_Toc74172133"/>
      <w:bookmarkStart w:id="172" w:name="_Toc74172669"/>
      <w:bookmarkStart w:id="173" w:name="_Toc74238658"/>
      <w:bookmarkStart w:id="174" w:name="_Toc78304748"/>
      <w:bookmarkStart w:id="175" w:name="_Toc79330835"/>
      <w:bookmarkStart w:id="176" w:name="_Toc79331215"/>
      <w:bookmarkStart w:id="177" w:name="_Toc79406303"/>
      <w:bookmarkStart w:id="178" w:name="_Toc82773466"/>
      <w:bookmarkStart w:id="179" w:name="_Toc82773819"/>
      <w:bookmarkStart w:id="180" w:name="_Toc128314161"/>
      <w:bookmarkStart w:id="181" w:name="_Toc135131417"/>
      <w:r w:rsidRPr="006720E4">
        <w:t>Role and purpose of the ethical guidelines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7F5AB6C" w14:textId="132C4EB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These guidelines have been developed with advice from several experts working in cell, tissue and organ donation and transplantation </w:t>
      </w:r>
      <w:r w:rsidRPr="009C2EF0">
        <w:rPr>
          <w:rFonts w:ascii="Calibri" w:hAnsi="Calibri" w:cs="Calibri"/>
          <w:sz w:val="22"/>
          <w:szCs w:val="22"/>
        </w:rPr>
        <w:t xml:space="preserve">In Australia (see </w:t>
      </w:r>
      <w:hyperlink w:anchor="_Appendix_2:_Development" w:history="1">
        <w:r w:rsidRPr="009C2EF0">
          <w:rPr>
            <w:rStyle w:val="Hyperlink"/>
            <w:rFonts w:ascii="Calibri" w:hAnsi="Calibri" w:cs="Calibri"/>
            <w:sz w:val="22"/>
            <w:szCs w:val="22"/>
          </w:rPr>
          <w:t xml:space="preserve">Appendix </w:t>
        </w:r>
        <w:r w:rsidR="009C2EF0" w:rsidRPr="009C2EF0">
          <w:rPr>
            <w:rStyle w:val="Hyperlink"/>
            <w:rFonts w:ascii="Calibri" w:hAnsi="Calibri" w:cs="Calibri"/>
            <w:sz w:val="22"/>
            <w:szCs w:val="22"/>
          </w:rPr>
          <w:t>2</w:t>
        </w:r>
      </w:hyperlink>
      <w:r w:rsidRPr="009C2EF0">
        <w:rPr>
          <w:rFonts w:ascii="Calibri" w:hAnsi="Calibri" w:cs="Calibri"/>
          <w:sz w:val="22"/>
          <w:szCs w:val="22"/>
        </w:rPr>
        <w:t>). They</w:t>
      </w:r>
      <w:r w:rsidRPr="006720E4">
        <w:rPr>
          <w:rFonts w:ascii="Calibri" w:hAnsi="Calibri" w:cs="Calibri"/>
          <w:sz w:val="22"/>
          <w:szCs w:val="22"/>
        </w:rPr>
        <w:t xml:space="preserve"> are intended to provide an overarching framework to guide ethical practice and inform decision-making by everyone involved in donation, transplantation and </w:t>
      </w:r>
      <w:hyperlink w:anchor="_Glossary_2" w:history="1">
        <w:r w:rsidRPr="009C2EF0">
          <w:rPr>
            <w:rStyle w:val="Hyperlink"/>
            <w:rFonts w:ascii="Calibri" w:hAnsi="Calibri" w:cs="Calibri"/>
            <w:sz w:val="22"/>
            <w:szCs w:val="22"/>
          </w:rPr>
          <w:t>custodianship</w:t>
        </w:r>
      </w:hyperlink>
      <w:r w:rsidRPr="006720E4">
        <w:rPr>
          <w:rFonts w:ascii="Calibri" w:hAnsi="Calibri" w:cs="Calibri"/>
          <w:sz w:val="22"/>
          <w:szCs w:val="22"/>
        </w:rPr>
        <w:t xml:space="preserve"> of human cells, tissues, and organs in Australia. </w:t>
      </w:r>
    </w:p>
    <w:p w14:paraId="66BE0CDF" w14:textId="3E5A77C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ethical principles in this document are aligned with community expectations that altruistic donations of human cells, tissues and organs are treated respectfully, shared equitably, and used effectively for the benefit of all. They are consistent with established ethical and legal </w:t>
      </w:r>
      <w:hyperlink w:anchor="_Glossary_2" w:history="1">
        <w:r w:rsidRPr="009C2EF0">
          <w:rPr>
            <w:rStyle w:val="Hyperlink"/>
            <w:rFonts w:ascii="Calibri" w:hAnsi="Calibri" w:cs="Calibri"/>
            <w:sz w:val="22"/>
            <w:szCs w:val="22"/>
          </w:rPr>
          <w:t>norms</w:t>
        </w:r>
      </w:hyperlink>
      <w:r w:rsidRPr="006720E4">
        <w:rPr>
          <w:rFonts w:ascii="Calibri" w:hAnsi="Calibri" w:cs="Calibri"/>
          <w:color w:val="000000" w:themeColor="text1"/>
          <w:sz w:val="22"/>
          <w:szCs w:val="22"/>
        </w:rPr>
        <w:t xml:space="preserve"> </w:t>
      </w:r>
      <w:r w:rsidRPr="006720E4">
        <w:rPr>
          <w:rFonts w:ascii="Calibri" w:hAnsi="Calibri" w:cs="Calibri"/>
          <w:sz w:val="22"/>
          <w:szCs w:val="22"/>
        </w:rPr>
        <w:t>governing healthcare practice in Australia, and with respect for human rights and the rights of all individuals as patients receiving healthcare.</w:t>
      </w:r>
      <w:r w:rsidRPr="006720E4">
        <w:rPr>
          <w:rFonts w:ascii="Calibri" w:hAnsi="Calibri" w:cs="Calibri"/>
          <w:sz w:val="22"/>
          <w:szCs w:val="22"/>
        </w:rPr>
        <w:fldChar w:fldCharType="begin" w:fldLock="1"/>
      </w:r>
      <w:r w:rsidRPr="006720E4">
        <w:rPr>
          <w:rFonts w:ascii="Calibri" w:hAnsi="Calibri" w:cs="Calibri"/>
          <w:sz w:val="22"/>
          <w:szCs w:val="22"/>
        </w:rPr>
        <w:instrText>ADDIN CSL_CITATION {"citationItems":[{"id":"ITEM-1","itemData":{"DOI":"10.1163/15736512-90000006a","ISSN":"1385-1306","abstract":"The declaration is the most comprehensive international instrument on the rights of Indigenous peoples. It establishes a universal framework of minimum standards for the survival, dignity and well-being of the Indigenous peoples of the world and it elaborates on existing human rights standards and fundamental freedoms as they apply to the specific situation of Indigenous peoples.","author":[{"dropping-particle":"","family":"United Nations (UN)","given":"","non-dropping-particle":"","parse-names":false,"suffix":""}],"id":"ITEM-1","issued":{"date-parts":[["2007"]]},"title":"UN Declaration on the Rights of Indigenous Peoples","type":"legislation"},"uris":["http://www.mendeley.com/documents/?uuid=0d43399a-9666-4667-a6c8-e51f9cbf921c"]},{"id":"ITEM-2","itemData":{"DOI":"10.1111/j.1467-9515.1989.tb00500.x","ISSN":"14679515","author":[{"dropping-particle":"","family":"United Nations (UN)","given":"","non-dropping-particle":"","parse-names":false,"suffix":""}],"id":"ITEM-2","issued":{"date-parts":[["1989"]]},"title":"Convention on the Rights of the Child","type":"legislation"},"uris":["http://www.mendeley.com/documents/?uuid=e7abadfa-ba8f-43f1-8db3-411e4b9f2178"]},{"id":"ITEM-3","itemData":{"ISSN":"19410832","PMID":"5190453","abstract":"The Universal Declaration of Human Rights (UDHR) is a milestone document in the history of human rights. Drafted by representatives with different legal and cultural backgrounds from all regions of the world, the Declaration was proclaimed by the United Nations General Assembly in Paris on 10 December 1948 (General Assembly resolution 217 A) as a common standard of achievements for all peoples and all nations. It sets out, for the first time, fundamental human rights to be universally protected and it has been translated into over 500 languages.","author":[{"dropping-particle":"","family":"United Nations","given":"","non-dropping-particle":"","parse-names":false,"suffix":""}],"id":"ITEM-3","issued":{"date-parts":[["1948"]]},"page":"1","title":"Universal Declaration of Human Rights","type":"legislation"},"uris":["http://www.mendeley.com/documents/?uuid=4b932ec7-90e8-41d9-8a44-876d237e7dd4"]},{"id":"ITEM-4","itemData":{"DOI":"10.5463/DCID.v29i4.656","ISSN":"22115242","author":[{"dropping-particle":"","family":"United Nations (UN)","given":"","non-dropping-particle":"","parse-names":false,"suffix":""}],"container-title":"United Nations","id":"ITEM-4","issued":{"date-parts":[["2007"]]},"title":"Convention on the rights of persons with disabilities","type":"legislation"},"uris":["http://www.mendeley.com/documents/?uuid=0ed90bcf-91bd-45ac-b9f5-5a218b3467bc"]}],"mendeley":{"formattedCitation":"(2–5)","plainTextFormattedCitation":"(2–5)","previouslyFormattedCitation":"(2–5)"},"properties":{"noteIndex":0},"schema":"https://github.com/citation-style-language/schema/raw/master/csl-citation.json"}</w:instrText>
      </w:r>
      <w:r w:rsidRPr="006720E4">
        <w:rPr>
          <w:rFonts w:ascii="Calibri" w:hAnsi="Calibri" w:cs="Calibri"/>
          <w:sz w:val="22"/>
          <w:szCs w:val="22"/>
        </w:rPr>
        <w:fldChar w:fldCharType="separate"/>
      </w:r>
      <w:r w:rsidRPr="006720E4">
        <w:rPr>
          <w:rFonts w:ascii="Calibri" w:hAnsi="Calibri" w:cs="Calibri"/>
          <w:noProof/>
          <w:sz w:val="22"/>
          <w:szCs w:val="22"/>
        </w:rPr>
        <w:t>(2–5)</w:t>
      </w:r>
      <w:r w:rsidRPr="006720E4">
        <w:rPr>
          <w:rFonts w:ascii="Calibri" w:hAnsi="Calibri" w:cs="Calibri"/>
          <w:sz w:val="22"/>
          <w:szCs w:val="22"/>
        </w:rPr>
        <w:fldChar w:fldCharType="end"/>
      </w:r>
      <w:r w:rsidRPr="006720E4">
        <w:rPr>
          <w:rFonts w:ascii="Calibri" w:hAnsi="Calibri" w:cs="Calibri"/>
          <w:sz w:val="22"/>
          <w:szCs w:val="22"/>
        </w:rPr>
        <w:t xml:space="preserve"> </w:t>
      </w:r>
    </w:p>
    <w:p w14:paraId="2400C186" w14:textId="2C0C113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These guidelines are also consistent with the guidance provided by the WHO and by donation and transplantation professional organi</w:t>
      </w:r>
      <w:r w:rsidR="00CC1B27">
        <w:rPr>
          <w:rFonts w:ascii="Calibri" w:hAnsi="Calibri" w:cs="Calibri"/>
          <w:sz w:val="22"/>
          <w:szCs w:val="22"/>
        </w:rPr>
        <w:t>s</w:t>
      </w:r>
      <w:r w:rsidRPr="006720E4">
        <w:rPr>
          <w:rFonts w:ascii="Calibri" w:hAnsi="Calibri" w:cs="Calibri"/>
          <w:sz w:val="22"/>
          <w:szCs w:val="22"/>
        </w:rPr>
        <w:t xml:space="preserve">ations, such as: </w:t>
      </w:r>
    </w:p>
    <w:p w14:paraId="4C0CE47B" w14:textId="5CD7E700" w:rsidR="006C6EBA" w:rsidRPr="006720E4" w:rsidRDefault="006C6EBA" w:rsidP="00EA22AE">
      <w:pPr>
        <w:pStyle w:val="BulletList"/>
        <w:spacing w:after="120"/>
        <w:contextualSpacing w:val="0"/>
        <w:rPr>
          <w:rFonts w:cs="Calibri"/>
          <w:szCs w:val="22"/>
        </w:rPr>
      </w:pPr>
      <w:r w:rsidRPr="006720E4">
        <w:rPr>
          <w:rFonts w:cs="Calibri"/>
          <w:szCs w:val="22"/>
        </w:rPr>
        <w:t xml:space="preserve">The </w:t>
      </w:r>
      <w:r w:rsidRPr="006720E4">
        <w:rPr>
          <w:rFonts w:eastAsiaTheme="majorEastAsia" w:cs="Calibri"/>
          <w:szCs w:val="22"/>
        </w:rPr>
        <w:t>World Health Organization Guiding Principles on Human Cell, Tissue and Organ Transplantation</w:t>
      </w:r>
      <w:r w:rsidRPr="006720E4">
        <w:rPr>
          <w:rFonts w:cs="Calibri"/>
          <w:szCs w:val="22"/>
        </w:rPr>
        <w:t>,</w:t>
      </w:r>
      <w:r w:rsidRPr="006720E4">
        <w:rPr>
          <w:rFonts w:cs="Calibri"/>
          <w:szCs w:val="22"/>
        </w:rPr>
        <w:fldChar w:fldCharType="begin" w:fldLock="1"/>
      </w:r>
      <w:r w:rsidRPr="006720E4">
        <w:rPr>
          <w:rFonts w:cs="Calibri"/>
          <w:szCs w:val="22"/>
        </w:rPr>
        <w:instrText>ADDIN CSL_CITATION {"citationItems":[{"id":"ITEM-1","itemData":{"DOI":"10.1097/TP.0b013e3181ec29f0","ISSN":"13899333","PMID":"20664493","abstract":"In May 2010, the Sixty-third World Health Assembly Resolution WHA63.22 endorsed the WHO Guiding Principles, updated in the light of changes in practices and attitudes regarding organ and tissue transplantation. The Guiding Principles are intended to provide an orderly, ethical and acceptable framework for the procurement and transplantation of human cells, tissues and organs for therapeutic purposes. Each jurisdiction will determine the means of implementing these WHO Guiding Principles. They preserve the essential points of the 1991 version while incorporating new provisions in response to current trends in transplantation, particularly the protection of the living donor, and the increasing use of human cells and tissues. The Guiding Principles stress the necessity of documentation and transparency, both for quality management purposes and to justify the confidence of patients, clinicians and the community at large in donation and transplantation services. © World Health Organisation 2010.","author":[{"dropping-particle":"","family":"World Health Organization (WHO)","given":"","non-dropping-particle":"","parse-names":false,"suffix":""}],"container-title":"Cell and Tissue Banking","id":"ITEM-1","issue":"4","issued":{"date-parts":[["2010"]]},"page":"229-233","title":"WHO guiding principles on human cell, tissue and organ transplantation: Sixty-Third World Health Assembly","type":"article-journal","volume":"11"},"uris":["http://www.mendeley.com/documents/?uuid=3d249cf2-01a1-4151-b88c-d3eb0f1edcdc"]}],"mendeley":{"formattedCitation":"(1)","plainTextFormattedCitation":"(1)","previouslyFormattedCitation":"(1)"},"properties":{"noteIndex":0},"schema":"https://github.com/citation-style-language/schema/raw/master/csl-citation.json"}</w:instrText>
      </w:r>
      <w:r w:rsidRPr="006720E4">
        <w:rPr>
          <w:rFonts w:cs="Calibri"/>
          <w:szCs w:val="22"/>
        </w:rPr>
        <w:fldChar w:fldCharType="separate"/>
      </w:r>
      <w:r w:rsidRPr="006720E4">
        <w:rPr>
          <w:rFonts w:cs="Calibri"/>
          <w:noProof/>
          <w:szCs w:val="22"/>
        </w:rPr>
        <w:t>(1)</w:t>
      </w:r>
      <w:r w:rsidRPr="006720E4">
        <w:rPr>
          <w:rFonts w:cs="Calibri"/>
          <w:szCs w:val="22"/>
        </w:rPr>
        <w:fldChar w:fldCharType="end"/>
      </w:r>
      <w:r w:rsidRPr="006720E4">
        <w:rPr>
          <w:rFonts w:cs="Calibri"/>
          <w:position w:val="6"/>
          <w:szCs w:val="22"/>
        </w:rPr>
        <w:t xml:space="preserve"> </w:t>
      </w:r>
      <w:r w:rsidRPr="006720E4">
        <w:rPr>
          <w:rFonts w:cs="Calibri"/>
          <w:szCs w:val="22"/>
        </w:rPr>
        <w:t xml:space="preserve">endorsed by the Commonwealth of Australia. </w:t>
      </w:r>
    </w:p>
    <w:p w14:paraId="25A6225E" w14:textId="6FEB6C17" w:rsidR="006C6EBA" w:rsidRPr="006720E4" w:rsidRDefault="006C6EBA" w:rsidP="00EA22AE">
      <w:pPr>
        <w:pStyle w:val="BulletList"/>
        <w:spacing w:after="120"/>
        <w:contextualSpacing w:val="0"/>
        <w:rPr>
          <w:rFonts w:cs="Calibri"/>
          <w:szCs w:val="22"/>
        </w:rPr>
      </w:pPr>
      <w:r w:rsidRPr="006720E4">
        <w:rPr>
          <w:rFonts w:cs="Calibri"/>
          <w:szCs w:val="22"/>
        </w:rPr>
        <w:t xml:space="preserve">The </w:t>
      </w:r>
      <w:r w:rsidRPr="006720E4">
        <w:rPr>
          <w:rFonts w:eastAsiaTheme="majorEastAsia" w:cs="Calibri"/>
          <w:szCs w:val="22"/>
        </w:rPr>
        <w:t>Declaration of Istanbul on organ trafficking and transplant tourism,</w:t>
      </w:r>
      <w:r w:rsidRPr="006720E4">
        <w:rPr>
          <w:rFonts w:eastAsiaTheme="majorEastAsia" w:cs="Calibri"/>
          <w:szCs w:val="22"/>
        </w:rPr>
        <w:fldChar w:fldCharType="begin" w:fldLock="1"/>
      </w:r>
      <w:r w:rsidRPr="006720E4">
        <w:rPr>
          <w:rFonts w:eastAsiaTheme="majorEastAsia" w:cs="Calibri"/>
          <w:szCs w:val="22"/>
        </w:rPr>
        <w:instrText>ADDIN CSL_CITATION {"citationItems":[{"id":"ITEM-1","itemData":{"DOI":"10.1097/TP.0000000000002540","ISBN":"0000000000","ISSN":"00411337","PMID":"30681644","container-title":"Transplantation","id":"ITEM-1","issue":"2","issued":{"date-parts":[["2019"]]},"page":"218-219","title":"The Declaration of Istanbul on Organ Trafficking and Transplant Tourism (2018 Edition)","type":"article-journal","volume":"103"},"uris":["http://www.mendeley.com/documents/?uuid=e520d0fc-ecc1-41b1-9a6f-2597ba9aafc1"]}],"mendeley":{"formattedCitation":"(6)","plainTextFormattedCitation":"(6)","previouslyFormattedCitation":"(6)"},"properties":{"noteIndex":0},"schema":"https://github.com/citation-style-language/schema/raw/master/csl-citation.json"}</w:instrText>
      </w:r>
      <w:r w:rsidRPr="006720E4">
        <w:rPr>
          <w:rFonts w:eastAsiaTheme="majorEastAsia" w:cs="Calibri"/>
          <w:szCs w:val="22"/>
        </w:rPr>
        <w:fldChar w:fldCharType="separate"/>
      </w:r>
      <w:r w:rsidRPr="006720E4">
        <w:rPr>
          <w:rFonts w:eastAsiaTheme="majorEastAsia" w:cs="Calibri"/>
          <w:noProof/>
          <w:szCs w:val="22"/>
        </w:rPr>
        <w:t>(6)</w:t>
      </w:r>
      <w:r w:rsidRPr="006720E4">
        <w:rPr>
          <w:rFonts w:eastAsiaTheme="majorEastAsia" w:cs="Calibri"/>
          <w:szCs w:val="22"/>
        </w:rPr>
        <w:fldChar w:fldCharType="end"/>
      </w:r>
      <w:r w:rsidRPr="006720E4">
        <w:rPr>
          <w:rFonts w:eastAsiaTheme="majorEastAsia" w:cs="Calibri"/>
          <w:szCs w:val="22"/>
        </w:rPr>
        <w:t xml:space="preserve"> </w:t>
      </w:r>
      <w:r w:rsidRPr="006720E4">
        <w:rPr>
          <w:rFonts w:cs="Calibri"/>
          <w:szCs w:val="22"/>
        </w:rPr>
        <w:t xml:space="preserve">supported by the National Health and Medical Research Council (NHMRC) and the Transplantation Society of Australia and New Zealand (TSANZ). </w:t>
      </w:r>
    </w:p>
    <w:p w14:paraId="71814843" w14:textId="1F7F6508" w:rsidR="006C6EBA" w:rsidRPr="006720E4" w:rsidRDefault="006C6EBA" w:rsidP="00EA22AE">
      <w:pPr>
        <w:pStyle w:val="BulletList"/>
        <w:spacing w:after="120"/>
        <w:contextualSpacing w:val="0"/>
        <w:rPr>
          <w:rFonts w:cs="Calibri"/>
          <w:szCs w:val="22"/>
        </w:rPr>
      </w:pPr>
      <w:r w:rsidRPr="006720E4">
        <w:rPr>
          <w:rFonts w:cs="Calibri"/>
          <w:szCs w:val="22"/>
        </w:rPr>
        <w:t xml:space="preserve">The </w:t>
      </w:r>
      <w:r w:rsidRPr="006720E4">
        <w:rPr>
          <w:rFonts w:eastAsiaTheme="majorEastAsia" w:cs="Calibri"/>
          <w:szCs w:val="22"/>
        </w:rPr>
        <w:t>Global Alliance of Eye Bank Associations (GAEBA) Barcelona Principles on eye banking</w:t>
      </w:r>
      <w:r w:rsidRPr="006720E4">
        <w:rPr>
          <w:rFonts w:cs="Calibri"/>
          <w:szCs w:val="22"/>
        </w:rPr>
        <w:t>,</w:t>
      </w:r>
      <w:r w:rsidRPr="006720E4">
        <w:rPr>
          <w:rFonts w:cs="Calibri"/>
          <w:szCs w:val="22"/>
        </w:rPr>
        <w:fldChar w:fldCharType="begin" w:fldLock="1"/>
      </w:r>
      <w:r w:rsidRPr="006720E4">
        <w:rPr>
          <w:rFonts w:cs="Calibri"/>
          <w:szCs w:val="22"/>
        </w:rPr>
        <w:instrText>ADDIN CSL_CITATION {"citationItems":[{"id":"ITEM-1","itemData":{"author":[{"dropping-particle":"","family":"Global Alliance of Eye Banking Associations (GAEBA)","given":"","non-dropping-particle":"","parse-names":false,"suffix":""}],"container-title":"International Journal of Eye Banking","id":"ITEM-1","issue":"3","issued":{"date-parts":[["2020"]]},"title":"The Barcelona Principles: A Global Bioethical Framework","type":"article-journal","volume":"8"},"uris":["http://www.mendeley.com/documents/?uuid=207746ec-411f-4b26-b4dd-453ffd2209b6"]}],"mendeley":{"formattedCitation":"(7)","plainTextFormattedCitation":"(7)","previouslyFormattedCitation":"(7)"},"properties":{"noteIndex":0},"schema":"https://github.com/citation-style-language/schema/raw/master/csl-citation.json"}</w:instrText>
      </w:r>
      <w:r w:rsidRPr="006720E4">
        <w:rPr>
          <w:rFonts w:cs="Calibri"/>
          <w:szCs w:val="22"/>
        </w:rPr>
        <w:fldChar w:fldCharType="separate"/>
      </w:r>
      <w:r w:rsidRPr="006720E4">
        <w:rPr>
          <w:rFonts w:cs="Calibri"/>
          <w:noProof/>
          <w:szCs w:val="22"/>
        </w:rPr>
        <w:t>(7)</w:t>
      </w:r>
      <w:r w:rsidRPr="006720E4">
        <w:rPr>
          <w:rFonts w:cs="Calibri"/>
          <w:szCs w:val="22"/>
        </w:rPr>
        <w:fldChar w:fldCharType="end"/>
      </w:r>
      <w:r w:rsidRPr="006720E4">
        <w:rPr>
          <w:rFonts w:cs="Calibri"/>
          <w:szCs w:val="22"/>
        </w:rPr>
        <w:t xml:space="preserve"> endorsed by the Eye Bank Association of Australia and New Zealand (EBAANZ).</w:t>
      </w:r>
    </w:p>
    <w:p w14:paraId="07BE238F" w14:textId="2D1BDCCC" w:rsidR="006C6EBA" w:rsidRPr="006720E4" w:rsidRDefault="006C6EBA" w:rsidP="00EA22AE">
      <w:pPr>
        <w:pStyle w:val="BulletList"/>
        <w:spacing w:after="120"/>
        <w:contextualSpacing w:val="0"/>
        <w:rPr>
          <w:rFonts w:cs="Calibri"/>
          <w:szCs w:val="22"/>
        </w:rPr>
      </w:pPr>
      <w:r w:rsidRPr="006720E4">
        <w:rPr>
          <w:rFonts w:cs="Calibri"/>
          <w:szCs w:val="22"/>
        </w:rPr>
        <w:lastRenderedPageBreak/>
        <w:t xml:space="preserve">The World Marrow Donor Association (WMDA) International standards for </w:t>
      </w:r>
      <w:hyperlink w:anchor="_Glossary_2" w:history="1">
        <w:r w:rsidRPr="006720E4">
          <w:rPr>
            <w:rStyle w:val="Hyperlink"/>
            <w:rFonts w:cs="Calibri"/>
            <w:szCs w:val="22"/>
          </w:rPr>
          <w:t>non-directed</w:t>
        </w:r>
      </w:hyperlink>
      <w:r w:rsidRPr="006720E4">
        <w:rPr>
          <w:rFonts w:cs="Calibri"/>
          <w:szCs w:val="22"/>
        </w:rPr>
        <w:t xml:space="preserve"> </w:t>
      </w:r>
      <w:r w:rsidRPr="006720E4">
        <w:rPr>
          <w:rFonts w:cs="Calibri"/>
        </w:rPr>
        <w:t xml:space="preserve">HSC </w:t>
      </w:r>
      <w:r w:rsidRPr="006720E4">
        <w:rPr>
          <w:rFonts w:cs="Calibri"/>
          <w:szCs w:val="22"/>
        </w:rPr>
        <w:t>donor registries,</w:t>
      </w:r>
      <w:r w:rsidRPr="006720E4">
        <w:rPr>
          <w:rFonts w:cs="Calibri"/>
          <w:szCs w:val="22"/>
        </w:rPr>
        <w:fldChar w:fldCharType="begin" w:fldLock="1"/>
      </w:r>
      <w:r w:rsidRPr="006720E4">
        <w:rPr>
          <w:rFonts w:cs="Calibri"/>
          <w:szCs w:val="22"/>
        </w:rPr>
        <w:instrText>ADDIN CSL_CITATION {"citationItems":[{"id":"ITEM-1","itemData":{"author":[{"dropping-particle":"","family":"(WMDA)","given":"World Marrow Donor Association","non-dropping-particle":"","parse-names":false,"suffix":""}],"id":"ITEM-1","issued":{"date-parts":[["2021"]]},"number-of-pages":"1-26","title":"International standards for unrelated hematopoietic stem cell donor registries","type":"report"},"uris":["http://www.mendeley.com/documents/?uuid=428b5ae6-3337-4d0f-a536-deeb2b15cc1d"]}],"mendeley":{"formattedCitation":"(8)","plainTextFormattedCitation":"(8)","previouslyFormattedCitation":"(8)"},"properties":{"noteIndex":0},"schema":"https://github.com/citation-style-language/schema/raw/master/csl-citation.json"}</w:instrText>
      </w:r>
      <w:r w:rsidRPr="006720E4">
        <w:rPr>
          <w:rFonts w:cs="Calibri"/>
          <w:szCs w:val="22"/>
        </w:rPr>
        <w:fldChar w:fldCharType="separate"/>
      </w:r>
      <w:r w:rsidRPr="006720E4">
        <w:rPr>
          <w:rFonts w:cs="Calibri"/>
          <w:noProof/>
          <w:szCs w:val="22"/>
        </w:rPr>
        <w:t>(8)</w:t>
      </w:r>
      <w:r w:rsidRPr="006720E4">
        <w:rPr>
          <w:rFonts w:cs="Calibri"/>
          <w:szCs w:val="22"/>
        </w:rPr>
        <w:fldChar w:fldCharType="end"/>
      </w:r>
      <w:r w:rsidRPr="006720E4">
        <w:rPr>
          <w:rFonts w:cs="Calibri"/>
          <w:szCs w:val="22"/>
        </w:rPr>
        <w:t xml:space="preserve"> endorsed by the Australian Bone Marrow Donor Registry (ABMDR), and the WMDA ethical recommendations concerning “donor commitment and patient needs”.</w:t>
      </w:r>
      <w:r w:rsidRPr="006720E4">
        <w:rPr>
          <w:rFonts w:cs="Calibri"/>
          <w:szCs w:val="22"/>
        </w:rPr>
        <w:fldChar w:fldCharType="begin" w:fldLock="1"/>
      </w:r>
      <w:r w:rsidRPr="006720E4">
        <w:rPr>
          <w:rFonts w:cs="Calibri"/>
          <w:szCs w:val="22"/>
        </w:rPr>
        <w:instrText>ADDIN CSL_CITATION {"citationItems":[{"id":"ITEM-1","itemData":{"DOI":"10.1038/sj.bmt.1704323","ISSN":"02683369","PMID":"14628078","abstract":"The article discusses views and recommendations of the norld Marrow Donor Association concerning ethical issues related to the donation of hematopoietic stem cell products with respect to recruitment, evaluation, workup, and follow-up of unrelated donors. Particular emphasis is placed upon commitment of individual donors, in particular with respect to the needs of patients to find HLA-matched donors, who may be asked to donate stem cell and other cell products more than once for given patients.","author":[{"dropping-particle":"","family":"Bakken","given":"R.","non-dropping-particle":"","parse-names":false,"suffix":""},{"dropping-particle":"","family":"Walraven","given":"A. M.","non-dropping-particle":"van","parse-names":false,"suffix":""},{"dropping-particle":"","family":"Egeland","given":"Torstein","non-dropping-particle":"","parse-names":false,"suffix":""}],"container-title":"Bone Marrow Transplantation","id":"ITEM-1","issue":"2","issued":{"date-parts":[["2004"]]},"page":"225-230","title":"Donor commitment and patient needs","type":"article-journal","volume":"33"},"uris":["http://www.mendeley.com/documents/?uuid=c37cb02f-d817-44a1-a307-8b806e0e34e6"]}],"mendeley":{"formattedCitation":"(9)","plainTextFormattedCitation":"(9)","previouslyFormattedCitation":"(9)"},"properties":{"noteIndex":0},"schema":"https://github.com/citation-style-language/schema/raw/master/csl-citation.json"}</w:instrText>
      </w:r>
      <w:r w:rsidRPr="006720E4">
        <w:rPr>
          <w:rFonts w:cs="Calibri"/>
          <w:szCs w:val="22"/>
        </w:rPr>
        <w:fldChar w:fldCharType="separate"/>
      </w:r>
      <w:r w:rsidRPr="006720E4">
        <w:rPr>
          <w:rFonts w:cs="Calibri"/>
          <w:noProof/>
          <w:szCs w:val="22"/>
        </w:rPr>
        <w:t>(9)</w:t>
      </w:r>
      <w:r w:rsidRPr="006720E4">
        <w:rPr>
          <w:rFonts w:cs="Calibri"/>
          <w:szCs w:val="22"/>
        </w:rPr>
        <w:fldChar w:fldCharType="end"/>
      </w:r>
    </w:p>
    <w:p w14:paraId="2466EA1C" w14:textId="0216A2E1" w:rsidR="006C6EBA" w:rsidRPr="006720E4" w:rsidRDefault="006C6EBA" w:rsidP="00EA22AE">
      <w:pPr>
        <w:pStyle w:val="BulletList"/>
        <w:spacing w:after="120"/>
        <w:contextualSpacing w:val="0"/>
        <w:rPr>
          <w:rFonts w:cs="Calibri"/>
          <w:szCs w:val="22"/>
        </w:rPr>
      </w:pPr>
      <w:r w:rsidRPr="006720E4">
        <w:rPr>
          <w:rFonts w:cs="Calibri"/>
          <w:szCs w:val="22"/>
        </w:rPr>
        <w:t>The World Medical Association (WMA) statement on organ and tissue donation.</w:t>
      </w:r>
      <w:r w:rsidRPr="006720E4">
        <w:rPr>
          <w:rFonts w:cs="Calibri"/>
          <w:szCs w:val="22"/>
        </w:rPr>
        <w:fldChar w:fldCharType="begin" w:fldLock="1"/>
      </w:r>
      <w:r w:rsidRPr="006720E4">
        <w:rPr>
          <w:rFonts w:cs="Calibri"/>
          <w:szCs w:val="22"/>
        </w:rPr>
        <w:instrText>ADDIN CSL_CITATION {"citationItems":[{"id":"ITEM-1","itemData":{"author":[{"dropping-particle":"","family":"World Medical Association (WMA)","given":"","non-dropping-particle":"","parse-names":false,"suffix":""}],"id":"ITEM-1","issued":{"date-parts":[["2017"]]},"title":"WMA Statement on organ and tissue donation","type":"report"},"uris":["http://www.mendeley.com/documents/?uuid=bc042657-adaa-4cdd-b4fa-d45a2563149d"]}],"mendeley":{"formattedCitation":"(10)","plainTextFormattedCitation":"(10)","previouslyFormattedCitation":"(10)"},"properties":{"noteIndex":0},"schema":"https://github.com/citation-style-language/schema/raw/master/csl-citation.json"}</w:instrText>
      </w:r>
      <w:r w:rsidRPr="006720E4">
        <w:rPr>
          <w:rFonts w:cs="Calibri"/>
          <w:szCs w:val="22"/>
        </w:rPr>
        <w:fldChar w:fldCharType="separate"/>
      </w:r>
      <w:r w:rsidRPr="006720E4">
        <w:rPr>
          <w:rFonts w:cs="Calibri"/>
          <w:noProof/>
          <w:szCs w:val="22"/>
        </w:rPr>
        <w:t>(10)</w:t>
      </w:r>
      <w:r w:rsidRPr="006720E4">
        <w:rPr>
          <w:rFonts w:cs="Calibri"/>
          <w:szCs w:val="22"/>
        </w:rPr>
        <w:fldChar w:fldCharType="end"/>
      </w:r>
      <w:r w:rsidRPr="006720E4">
        <w:rPr>
          <w:rFonts w:cs="Calibri"/>
          <w:szCs w:val="22"/>
        </w:rPr>
        <w:t xml:space="preserve"> </w:t>
      </w:r>
    </w:p>
    <w:p w14:paraId="1B3000C0" w14:textId="63F01FA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Other documents also provide guidance on donation and transplantation practice, including several ethical guidelines used within Australia as outlined in</w:t>
      </w:r>
      <w:r w:rsidRPr="006720E4">
        <w:rPr>
          <w:rFonts w:ascii="Calibri" w:hAnsi="Calibri" w:cs="Calibri"/>
        </w:rPr>
        <w:t xml:space="preserve"> </w:t>
      </w:r>
      <w:hyperlink w:anchor="_Ethical_foundations_of_2" w:history="1">
        <w:r w:rsidR="009C2EF0" w:rsidRPr="009C2EF0">
          <w:rPr>
            <w:rStyle w:val="Hyperlink"/>
            <w:rFonts w:ascii="Calibri" w:hAnsi="Calibri" w:cs="Calibri"/>
            <w:sz w:val="22"/>
            <w:szCs w:val="22"/>
          </w:rPr>
          <w:t>Chapter 3</w:t>
        </w:r>
      </w:hyperlink>
      <w:r w:rsidRPr="006720E4">
        <w:rPr>
          <w:rFonts w:ascii="Calibri" w:hAnsi="Calibri" w:cs="Calibri"/>
          <w:sz w:val="22"/>
          <w:szCs w:val="22"/>
        </w:rPr>
        <w:t xml:space="preserve">, and resources such as: </w:t>
      </w:r>
    </w:p>
    <w:p w14:paraId="1B9991A8" w14:textId="210C4BFB" w:rsidR="006C6EBA" w:rsidRPr="006720E4" w:rsidRDefault="006C6EBA" w:rsidP="00EA22AE">
      <w:pPr>
        <w:pStyle w:val="BulletList"/>
        <w:spacing w:after="120"/>
        <w:contextualSpacing w:val="0"/>
        <w:rPr>
          <w:rFonts w:cs="Calibri"/>
          <w:szCs w:val="22"/>
        </w:rPr>
      </w:pPr>
      <w:r w:rsidRPr="006720E4">
        <w:rPr>
          <w:rFonts w:cs="Calibri"/>
          <w:i/>
          <w:iCs/>
          <w:szCs w:val="22"/>
        </w:rPr>
        <w:t>Clinical guidelines</w:t>
      </w:r>
      <w:r w:rsidRPr="006720E4">
        <w:rPr>
          <w:rFonts w:cs="Calibri"/>
          <w:szCs w:val="22"/>
        </w:rPr>
        <w:t>, e.g., those developed by members of professional societies including the Haematology Society of Australia and New Zealand (HSANZ) and the Bone Marrow Transplantation Society of Australia and New Zealand (BMTSANZ) to provide guidance on management of haematology and oncology patients during the coronavirus disease 2019 (COVID-19) pandemic;</w:t>
      </w:r>
      <w:r w:rsidRPr="006720E4">
        <w:rPr>
          <w:rFonts w:cs="Calibri"/>
          <w:szCs w:val="22"/>
        </w:rPr>
        <w:fldChar w:fldCharType="begin" w:fldLock="1"/>
      </w:r>
      <w:r w:rsidRPr="006720E4">
        <w:rPr>
          <w:rFonts w:cs="Calibri"/>
          <w:szCs w:val="22"/>
        </w:rPr>
        <w:instrText>ADDIN CSL_CITATION {"citationItems":[{"id":"ITEM-1","itemData":{"DOI":"10.5694/mja2.50607","ISSN":"13265377","PMID":"32401360","abstract":"Introduction: A pandemic coronavirus, SARS-CoV-2, causes COVID-19, a potentially life-threatening respiratory disease. Patients with cancer may have compromised immunity due to their malignancy and/or treatment, and may be at elevated risk of severe COVID-19. Community transmission of COVID-19 could overwhelm health care services, compromising delivery of cancer care. This interim consensus guidance provides advice for clinicians managing patients with cancer during the pandemic. Main recommendations: During the COVID-19 pandemic:. In patients with cancer with fever and/or respiratory symptoms, consider causes in addition to COVID-19, including other infections and therapy-related pneumonitis. For suspected or confirmed COVID-19, discuss temporary cessation of cancer therapy with a relevant specialist. Provide information on COVID-19 for patients and carers. Adopt measures within cancer centres to reduce risk of nosocomial SARS-CoV-2 acquisition; support population-wide social distancing; reduce demand on acute services; ensure adequate staffing; and provide culturally safe care. Measures should be equitable, transparent and proportionate to the COVID-19 threat. Consider the risks and benefits of modifying cancer therapies due to COVID-19. Communicate treatment modifications, and review once health service capacity allows. Consider potential impacts of COVID-19 on the blood supply and availability of stem cell donors. Discuss and document goals of care, and involve palliative care services in contingency planning. Changes in management as a result of this statement: This interim consensus guidance provides a framework for clinicians managing patients with cancer during the COVID-19 pandemic. In view of the rapidly changing situation, clinicians must also monitor national, state, local and institutional policies, which will take precedence. Endorsed by: Australasian Leukaemia and Lymphoma Group; Australasian Lung Cancer Trials Group; Australian and New Zealand Children's Haematology/Oncology Group; Australia and New Zealand Society of Palliative Medicine; Australasian Society for Infectious Diseases; Bone Marrow Transplantation Society of Australia and New Zealand; Cancer Council Australia; Cancer Nurses Society of Australia; Cancer Society of New Zealand; Clinical Oncology Society of Australia; Haematology Society of Australia and New Zealand; National Centre for Infections in Cancer; New Zealand Cancer Control Agency; New Zealand Society for Oncology; …","author":[{"dropping-particle":"","family":"Weinkove","given":"Robert","non-dropping-particle":"","parse-names":false,"suffix":""},{"dropping-particle":"","family":"McQuilten","given":"Zoe K.","non-dropping-particle":"","parse-names":false,"suffix":""},{"dropping-particle":"","family":"Adler","given":"Jonathan","non-dropping-particle":"","parse-names":false,"suffix":""},{"dropping-particle":"","family":"Agar","given":"Meera R.","non-dropping-particle":"","parse-names":false,"suffix":""},{"dropping-particle":"","family":"Blyth","given":"Emily","non-dropping-particle":"","parse-names":false,"suffix":""},{"dropping-particle":"","family":"Cheng","given":"Allen C.","non-dropping-particle":"","parse-names":false,"suffix":""},{"dropping-particle":"","family":"Conyers","given":"Rachel","non-dropping-particle":"","parse-names":false,"suffix":""},{"dropping-particle":"","family":"Haeusler","given":"Gabrielle M.","non-dropping-particle":"","parse-names":false,"suffix":""},{"dropping-particle":"","family":"Hardie","given":"Claire","non-dropping-particle":"","parse-names":false,"suffix":""},{"dropping-particle":"","family":"Jackson","given":"Christopher","non-dropping-particle":"","parse-names":false,"suffix":""},{"dropping-particle":"","family":"Lane","given":"Steven W.","non-dropping-particle":"","parse-names":false,"suffix":""},{"dropping-particle":"","family":"Middlemiss","given":"Tom","non-dropping-particle":"","parse-names":false,"suffix":""},{"dropping-particle":"","family":"Mollee","given":"Peter","non-dropping-particle":"","parse-names":false,"suffix":""},{"dropping-particle":"","family":"Mulligan","given":"Stephen P.","non-dropping-particle":"","parse-names":false,"suffix":""},{"dropping-particle":"","family":"Ritchie","given":"David","non-dropping-particle":"","parse-names":false,"suffix":""},{"dropping-particle":"","family":"Ruka","given":"Myra","non-dropping-particle":"","parse-names":false,"suffix":""},{"dropping-particle":"","family":"Solomon","given":"Benjamin","non-dropping-particle":"","parse-names":false,"suffix":""},{"dropping-particle":"","family":"Szer","given":"Jeffrey","non-dropping-particle":"","parse-names":false,"suffix":""},{"dropping-particle":"","family":"Thursky","given":"Karin A.","non-dropping-particle":"","parse-names":false,"suffix":""},{"dropping-particle":"","family":"Wood","given":"Erica M.","non-dropping-particle":"","parse-names":false,"suffix":""},{"dropping-particle":"","family":"Worth","given":"Leon J.","non-dropping-particle":"","parse-names":false,"suffix":""},{"dropping-particle":"","family":"Yong","given":"Michelle K.","non-dropping-particle":"","parse-names":false,"suffix":""},{"dropping-particle":"","family":"Slavin","given":"Monica A.","non-dropping-particle":"","parse-names":false,"suffix":""},{"dropping-particle":"","family":"Teh","given":"Benjamin W.","non-dropping-particle":"","parse-names":false,"suffix":""}],"container-title":"Medical Journal of Australia","id":"ITEM-1","issue":"10","issued":{"date-parts":[["2020"]]},"page":"481-489","title":"Managing haematology and oncology patients during the COVID-19 pandemic: interim consensus guidance","type":"article-journal","volume":"212"},"uris":["http://www.mendeley.com/documents/?uuid=641f07f4-c5ae-48f6-901e-a15f89efcaad"]}],"mendeley":{"formattedCitation":"(11)","plainTextFormattedCitation":"(11)","previouslyFormattedCitation":"(11)"},"properties":{"noteIndex":0},"schema":"https://github.com/citation-style-language/schema/raw/master/csl-citation.json"}</w:instrText>
      </w:r>
      <w:r w:rsidRPr="006720E4">
        <w:rPr>
          <w:rFonts w:cs="Calibri"/>
          <w:szCs w:val="22"/>
        </w:rPr>
        <w:fldChar w:fldCharType="separate"/>
      </w:r>
      <w:r w:rsidRPr="006720E4">
        <w:rPr>
          <w:rFonts w:cs="Calibri"/>
          <w:noProof/>
          <w:szCs w:val="22"/>
        </w:rPr>
        <w:t>(11)</w:t>
      </w:r>
      <w:r w:rsidRPr="006720E4">
        <w:rPr>
          <w:rFonts w:cs="Calibri"/>
          <w:szCs w:val="22"/>
        </w:rPr>
        <w:fldChar w:fldCharType="end"/>
      </w:r>
      <w:r w:rsidRPr="006720E4">
        <w:rPr>
          <w:rFonts w:cs="Calibri"/>
          <w:szCs w:val="22"/>
        </w:rPr>
        <w:t xml:space="preserve"> those developed by TSANZ</w:t>
      </w:r>
      <w:r w:rsidRPr="006720E4">
        <w:rPr>
          <w:rFonts w:cs="Calibri"/>
          <w:i/>
          <w:iCs/>
          <w:szCs w:val="22"/>
        </w:rPr>
        <w:t xml:space="preserve">, </w:t>
      </w:r>
      <w:r w:rsidRPr="006720E4">
        <w:rPr>
          <w:rFonts w:cs="Calibri"/>
          <w:szCs w:val="22"/>
        </w:rPr>
        <w:t>to provide guidance for decision-making in organ transplantation based on clinical criteria and predicted transplantation outcomes;</w:t>
      </w:r>
      <w:r w:rsidR="00485565" w:rsidRPr="006720E4">
        <w:rPr>
          <w:rFonts w:cs="Calibri"/>
          <w:szCs w:val="22"/>
        </w:rPr>
        <w:fldChar w:fldCharType="begin" w:fldLock="1"/>
      </w:r>
      <w:r w:rsidR="00485565" w:rsidRPr="006720E4">
        <w:rPr>
          <w:rFonts w:cs="Calibri"/>
          <w:szCs w:val="22"/>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00485565" w:rsidRPr="006720E4">
        <w:rPr>
          <w:rFonts w:cs="Calibri"/>
          <w:szCs w:val="22"/>
        </w:rPr>
        <w:fldChar w:fldCharType="separate"/>
      </w:r>
      <w:r w:rsidR="00485565" w:rsidRPr="006720E4">
        <w:rPr>
          <w:rFonts w:cs="Calibri"/>
          <w:noProof/>
          <w:szCs w:val="22"/>
        </w:rPr>
        <w:t>(12)</w:t>
      </w:r>
      <w:r w:rsidR="00485565" w:rsidRPr="006720E4">
        <w:rPr>
          <w:rFonts w:cs="Calibri"/>
          <w:szCs w:val="22"/>
        </w:rPr>
        <w:fldChar w:fldCharType="end"/>
      </w:r>
      <w:r w:rsidRPr="006720E4">
        <w:rPr>
          <w:rFonts w:cs="Calibri"/>
          <w:szCs w:val="22"/>
        </w:rPr>
        <w:t xml:space="preserve"> and those developed by EBAANZ, which articulate standards for quality and safety in eye banking.</w:t>
      </w:r>
      <w:r w:rsidRPr="006720E4">
        <w:rPr>
          <w:rFonts w:cs="Calibri"/>
          <w:szCs w:val="22"/>
        </w:rPr>
        <w:fldChar w:fldCharType="begin" w:fldLock="1"/>
      </w:r>
      <w:r w:rsidR="002B5DD4">
        <w:rPr>
          <w:rFonts w:cs="Calibri"/>
          <w:szCs w:val="22"/>
        </w:rPr>
        <w:instrText>ADDIN CSL_CITATION {"citationItems":[{"id":"ITEM-1","itemData":{"author":[{"dropping-particle":"","family":"Eye Bank Association of Australia New Zealand (EBAANZ)","given":"","non-dropping-particle":"","parse-names":false,"suffix":""}],"id":"ITEM-1","issue":"April","issued":{"date-parts":[["2009"]]},"number-of-pages":"1-49","title":"Medical and Quality Standards for Eye Donation and Eye Tissue Banking (2nd Ed)","type":"report"},"uris":["http://www.mendeley.com/documents/?uuid=d4e1b1fc-b3e8-4b1e-a8d3-7d321ce4f049"]}],"mendeley":{"formattedCitation":"(13)","plainTextFormattedCitation":"(13)","previouslyFormattedCitation":"(13)"},"properties":{"noteIndex":0},"schema":"https://github.com/citation-style-language/schema/raw/master/csl-citation.json"}</w:instrText>
      </w:r>
      <w:r w:rsidRPr="006720E4">
        <w:rPr>
          <w:rFonts w:cs="Calibri"/>
          <w:szCs w:val="22"/>
        </w:rPr>
        <w:fldChar w:fldCharType="separate"/>
      </w:r>
      <w:r w:rsidR="00485565" w:rsidRPr="006720E4">
        <w:rPr>
          <w:rFonts w:cs="Calibri"/>
          <w:noProof/>
          <w:szCs w:val="22"/>
        </w:rPr>
        <w:t>(13)</w:t>
      </w:r>
      <w:r w:rsidRPr="006720E4">
        <w:rPr>
          <w:rFonts w:cs="Calibri"/>
          <w:szCs w:val="22"/>
        </w:rPr>
        <w:fldChar w:fldCharType="end"/>
      </w:r>
    </w:p>
    <w:p w14:paraId="6D758D94" w14:textId="77777777" w:rsidR="006C6EBA" w:rsidRPr="006720E4" w:rsidRDefault="006C6EBA" w:rsidP="00EA22AE">
      <w:pPr>
        <w:pStyle w:val="BulletList"/>
        <w:spacing w:after="120"/>
        <w:contextualSpacing w:val="0"/>
        <w:rPr>
          <w:rFonts w:cs="Calibri"/>
          <w:szCs w:val="22"/>
        </w:rPr>
      </w:pPr>
      <w:r w:rsidRPr="006720E4">
        <w:rPr>
          <w:rFonts w:cs="Calibri"/>
          <w:i/>
          <w:iCs/>
          <w:szCs w:val="22"/>
        </w:rPr>
        <w:t xml:space="preserve">Implementation guidelines, </w:t>
      </w:r>
      <w:r w:rsidRPr="006720E4">
        <w:rPr>
          <w:rFonts w:cs="Calibri"/>
          <w:szCs w:val="22"/>
        </w:rPr>
        <w:t xml:space="preserve">which describe detailed procedures and protocols at the local level, e.g., concerning tissue typing to allow matching of donor cells, tissues, or organs with potential recipients. </w:t>
      </w:r>
    </w:p>
    <w:p w14:paraId="51C565C5" w14:textId="31575272" w:rsidR="006C6EBA" w:rsidRPr="006720E4" w:rsidRDefault="006C6EBA" w:rsidP="00EA22AE">
      <w:pPr>
        <w:pStyle w:val="BulletList"/>
        <w:spacing w:after="120"/>
        <w:contextualSpacing w:val="0"/>
        <w:rPr>
          <w:rFonts w:cs="Calibri"/>
          <w:szCs w:val="22"/>
        </w:rPr>
      </w:pPr>
      <w:r w:rsidRPr="006720E4">
        <w:rPr>
          <w:rFonts w:cs="Calibri"/>
          <w:i/>
          <w:iCs/>
          <w:szCs w:val="22"/>
        </w:rPr>
        <w:t>Information guidelines</w:t>
      </w:r>
      <w:r w:rsidRPr="006720E4">
        <w:rPr>
          <w:rFonts w:cs="Calibri"/>
          <w:szCs w:val="22"/>
        </w:rPr>
        <w:t>, which provide information for potential donors, recipients and their families, carers and friends, e.g., those developed by transplantation units and hospitals, by the Australian Organ and Tissue Authority (OTA) and state and territory bodies, by various eye and tissue banking organi</w:t>
      </w:r>
      <w:r w:rsidR="000208BF">
        <w:rPr>
          <w:rFonts w:cs="Calibri"/>
          <w:szCs w:val="22"/>
        </w:rPr>
        <w:t>s</w:t>
      </w:r>
      <w:r w:rsidRPr="006720E4">
        <w:rPr>
          <w:rFonts w:cs="Calibri"/>
          <w:szCs w:val="22"/>
        </w:rPr>
        <w:t>ations,</w:t>
      </w:r>
      <w:r w:rsidRPr="006720E4">
        <w:rPr>
          <w:rFonts w:cs="Calibri"/>
          <w:szCs w:val="22"/>
        </w:rPr>
        <w:fldChar w:fldCharType="begin" w:fldLock="1"/>
      </w:r>
      <w:r w:rsidR="002B5DD4">
        <w:rPr>
          <w:rFonts w:cs="Calibri"/>
          <w:szCs w:val="22"/>
        </w:rPr>
        <w:instrText>ADDIN CSL_CITATION {"citationItems":[{"id":"ITEM-1","itemData":{"URL":"https://www.cera.org.au/lions-eye-donation-service/how-to-register-as-an-eye-donor/","accessed":{"date-parts":[["2021","7","28"]]},"author":[{"dropping-particle":"","family":"Centre for Eye Research Australia","given":"(CERA)","non-dropping-particle":"","parse-names":false,"suffix":""}],"id":"ITEM-1","issued":{"date-parts":[["2021"]]},"title":"How to register as an eye donor","type":"webpage"},"uris":["http://www.mendeley.com/documents/?uuid=707b7bdd-97c4-4c81-b226-afefe98a5c95"]}],"mendeley":{"formattedCitation":"(14)","plainTextFormattedCitation":"(14)","previouslyFormattedCitation":"(14)"},"properties":{"noteIndex":0},"schema":"https://github.com/citation-style-language/schema/raw/master/csl-citation.json"}</w:instrText>
      </w:r>
      <w:r w:rsidRPr="006720E4">
        <w:rPr>
          <w:rFonts w:cs="Calibri"/>
          <w:szCs w:val="22"/>
        </w:rPr>
        <w:fldChar w:fldCharType="separate"/>
      </w:r>
      <w:r w:rsidR="00485565" w:rsidRPr="006720E4">
        <w:rPr>
          <w:rFonts w:cs="Calibri"/>
          <w:noProof/>
          <w:szCs w:val="22"/>
        </w:rPr>
        <w:t>(14)</w:t>
      </w:r>
      <w:r w:rsidRPr="006720E4">
        <w:rPr>
          <w:rFonts w:cs="Calibri"/>
          <w:szCs w:val="22"/>
        </w:rPr>
        <w:fldChar w:fldCharType="end"/>
      </w:r>
      <w:r w:rsidRPr="006720E4">
        <w:rPr>
          <w:rFonts w:cs="Calibri"/>
          <w:szCs w:val="22"/>
        </w:rPr>
        <w:t xml:space="preserve"> and by the</w:t>
      </w:r>
      <w:r w:rsidRPr="006720E4">
        <w:rPr>
          <w:rFonts w:cs="Calibri"/>
        </w:rPr>
        <w:t xml:space="preserve"> ABMDR</w:t>
      </w:r>
      <w:r w:rsidRPr="006720E4">
        <w:rPr>
          <w:rFonts w:cs="Calibri"/>
          <w:szCs w:val="22"/>
        </w:rPr>
        <w:t>.</w:t>
      </w:r>
      <w:r w:rsidRPr="006720E4">
        <w:rPr>
          <w:rFonts w:cs="Calibri"/>
          <w:szCs w:val="22"/>
        </w:rPr>
        <w:fldChar w:fldCharType="begin" w:fldLock="1"/>
      </w:r>
      <w:r w:rsidR="002B5DD4">
        <w:rPr>
          <w:rFonts w:cs="Calibri"/>
          <w:szCs w:val="22"/>
        </w:rPr>
        <w:instrText>ADDIN CSL_CITATION {"citationItems":[{"id":"ITEM-1","itemData":{"URL":"https://www.abmdr.org.au/downloads/donor-brochure-english/","author":[{"dropping-particle":"","family":"Australian Bone Marrow Donor Registry (ABMDR)","given":"","non-dropping-particle":"","parse-names":false,"suffix":""}],"id":"ITEM-1","issue":"October","issued":{"date-parts":[["2020"]]},"page":"2020","title":"Are you someone’ s perfect match?","type":"webpage"},"uris":["http://www.mendeley.com/documents/?uuid=328c113c-fcda-468d-9c48-4faca36d7dc1"]}],"mendeley":{"formattedCitation":"(15)","plainTextFormattedCitation":"(15)","previouslyFormattedCitation":"(15)"},"properties":{"noteIndex":0},"schema":"https://github.com/citation-style-language/schema/raw/master/csl-citation.json"}</w:instrText>
      </w:r>
      <w:r w:rsidRPr="006720E4">
        <w:rPr>
          <w:rFonts w:cs="Calibri"/>
          <w:szCs w:val="22"/>
        </w:rPr>
        <w:fldChar w:fldCharType="separate"/>
      </w:r>
      <w:r w:rsidR="00485565" w:rsidRPr="006720E4">
        <w:rPr>
          <w:rFonts w:cs="Calibri"/>
          <w:noProof/>
          <w:szCs w:val="22"/>
        </w:rPr>
        <w:t>(15)</w:t>
      </w:r>
      <w:r w:rsidRPr="006720E4">
        <w:rPr>
          <w:rFonts w:cs="Calibri"/>
          <w:szCs w:val="22"/>
        </w:rPr>
        <w:fldChar w:fldCharType="end"/>
      </w:r>
      <w:r w:rsidRPr="006720E4">
        <w:rPr>
          <w:rFonts w:cs="Calibri"/>
          <w:szCs w:val="22"/>
        </w:rPr>
        <w:t xml:space="preserve"> </w:t>
      </w:r>
    </w:p>
    <w:p w14:paraId="1CDE0BEA" w14:textId="7777777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sz w:val="22"/>
          <w:szCs w:val="22"/>
        </w:rPr>
        <w:t xml:space="preserve">These ethical guidelines provide a framework to support ethical practice and inform decision-making by all those involved in Australia’s donation and transplantation system, </w:t>
      </w:r>
      <w:r w:rsidRPr="006720E4">
        <w:rPr>
          <w:rFonts w:ascii="Calibri" w:hAnsi="Calibri" w:cs="Calibri"/>
          <w:color w:val="000000" w:themeColor="text1"/>
          <w:sz w:val="22"/>
          <w:szCs w:val="22"/>
        </w:rPr>
        <w:t xml:space="preserve">including: </w:t>
      </w:r>
    </w:p>
    <w:bookmarkStart w:id="182" w:name="_Acronyms"/>
    <w:bookmarkStart w:id="183" w:name="_Introduction"/>
    <w:bookmarkStart w:id="184" w:name="_Overview"/>
    <w:bookmarkStart w:id="185" w:name="_types_transplantation"/>
    <w:bookmarkStart w:id="186" w:name="_organ_transplantation"/>
    <w:bookmarkStart w:id="187" w:name="_Substitute"/>
    <w:bookmarkEnd w:id="182"/>
    <w:bookmarkEnd w:id="183"/>
    <w:bookmarkEnd w:id="184"/>
    <w:bookmarkEnd w:id="185"/>
    <w:bookmarkEnd w:id="186"/>
    <w:bookmarkEnd w:id="187"/>
    <w:p w14:paraId="0D7BBF37" w14:textId="69C2480E" w:rsidR="006C6EBA" w:rsidRPr="006720E4" w:rsidRDefault="006C6EBA" w:rsidP="00EA22AE">
      <w:pPr>
        <w:pStyle w:val="BulletList"/>
        <w:spacing w:after="120"/>
        <w:contextualSpacing w:val="0"/>
        <w:rPr>
          <w:rFonts w:cs="Calibri"/>
          <w:szCs w:val="22"/>
        </w:rPr>
      </w:pPr>
      <w:r w:rsidRPr="006720E4">
        <w:rPr>
          <w:rFonts w:cs="Calibri"/>
          <w:szCs w:val="22"/>
        </w:rPr>
        <w:fldChar w:fldCharType="begin"/>
      </w:r>
      <w:r w:rsidR="009C2EF0">
        <w:rPr>
          <w:rFonts w:cs="Calibri"/>
          <w:szCs w:val="22"/>
        </w:rPr>
        <w:instrText>HYPERLINK  \l "_Glossary_2"</w:instrText>
      </w:r>
      <w:r w:rsidRPr="006720E4">
        <w:rPr>
          <w:rFonts w:cs="Calibri"/>
          <w:szCs w:val="22"/>
        </w:rPr>
      </w:r>
      <w:r w:rsidRPr="006720E4">
        <w:rPr>
          <w:rFonts w:cs="Calibri"/>
          <w:szCs w:val="22"/>
        </w:rPr>
        <w:fldChar w:fldCharType="separate"/>
      </w:r>
      <w:r w:rsidRPr="006720E4">
        <w:rPr>
          <w:rStyle w:val="Hyperlink"/>
          <w:rFonts w:cs="Calibri"/>
          <w:szCs w:val="22"/>
        </w:rPr>
        <w:t>health professionals</w:t>
      </w:r>
      <w:r w:rsidRPr="006720E4">
        <w:rPr>
          <w:rFonts w:cs="Calibri"/>
          <w:szCs w:val="22"/>
        </w:rPr>
        <w:fldChar w:fldCharType="end"/>
      </w:r>
      <w:r w:rsidRPr="006720E4">
        <w:rPr>
          <w:rFonts w:cs="Calibri"/>
          <w:szCs w:val="22"/>
        </w:rPr>
        <w:t xml:space="preserve"> and others involved in the donation, transplantation, manufacture, allocation, distribution, and custodianship of human cells, tissues and organs; </w:t>
      </w:r>
    </w:p>
    <w:p w14:paraId="5F636517"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potential donors and recipients of transplanted cells, tissues and organs, and their families, carers, and communities; </w:t>
      </w:r>
    </w:p>
    <w:p w14:paraId="032A0178" w14:textId="2DF16AF3" w:rsidR="006C6EBA" w:rsidRPr="006720E4" w:rsidRDefault="006C6EBA" w:rsidP="00EA22AE">
      <w:pPr>
        <w:pStyle w:val="BulletList"/>
        <w:spacing w:after="120"/>
        <w:contextualSpacing w:val="0"/>
        <w:rPr>
          <w:rFonts w:cs="Calibri"/>
          <w:szCs w:val="22"/>
        </w:rPr>
      </w:pPr>
      <w:r w:rsidRPr="006720E4">
        <w:rPr>
          <w:rFonts w:cs="Calibri"/>
          <w:szCs w:val="22"/>
        </w:rPr>
        <w:t xml:space="preserve">public and private institutions, such as hospitals, donation services, eye banks, umbilical cord blood banks, tissue banks, and donor or transplant recipient </w:t>
      </w:r>
      <w:hyperlink w:anchor="_Glossary_2" w:history="1">
        <w:r w:rsidRPr="009C2EF0">
          <w:rPr>
            <w:rStyle w:val="Hyperlink"/>
            <w:rFonts w:cs="Calibri"/>
            <w:szCs w:val="22"/>
          </w:rPr>
          <w:t>registries;</w:t>
        </w:r>
      </w:hyperlink>
    </w:p>
    <w:p w14:paraId="7D871176" w14:textId="77777777" w:rsidR="006C6EBA" w:rsidRPr="006720E4" w:rsidRDefault="006C6EBA" w:rsidP="00EA22AE">
      <w:pPr>
        <w:pStyle w:val="BulletList"/>
        <w:spacing w:after="120"/>
        <w:contextualSpacing w:val="0"/>
        <w:rPr>
          <w:rFonts w:cs="Calibri"/>
          <w:szCs w:val="22"/>
        </w:rPr>
      </w:pPr>
      <w:r w:rsidRPr="006720E4">
        <w:rPr>
          <w:rFonts w:cs="Calibri"/>
          <w:szCs w:val="22"/>
        </w:rPr>
        <w:t>governments and regulatory bodies.</w:t>
      </w:r>
    </w:p>
    <w:p w14:paraId="41B5D6E7" w14:textId="463F6955" w:rsidR="006C6EBA" w:rsidRPr="006720E4" w:rsidRDefault="006C6EBA" w:rsidP="00EA22AE">
      <w:pPr>
        <w:pStyle w:val="Heading2"/>
        <w:spacing w:after="120"/>
      </w:pPr>
      <w:bookmarkStart w:id="188" w:name="_Toc70333945"/>
      <w:bookmarkStart w:id="189" w:name="_Toc70414782"/>
      <w:bookmarkStart w:id="190" w:name="_Toc70844111"/>
      <w:bookmarkStart w:id="191" w:name="_Toc70858973"/>
      <w:bookmarkStart w:id="192" w:name="_Toc70861074"/>
      <w:bookmarkStart w:id="193" w:name="_Toc70876558"/>
      <w:bookmarkStart w:id="194" w:name="_Toc72615042"/>
      <w:bookmarkStart w:id="195" w:name="_Toc73129761"/>
      <w:bookmarkStart w:id="196" w:name="_Toc73301630"/>
      <w:bookmarkStart w:id="197" w:name="_Toc73302136"/>
      <w:bookmarkStart w:id="198" w:name="_Toc73303269"/>
      <w:bookmarkStart w:id="199" w:name="_Toc73303530"/>
      <w:bookmarkStart w:id="200" w:name="_Toc74080647"/>
      <w:bookmarkStart w:id="201" w:name="_Toc74080955"/>
      <w:bookmarkStart w:id="202" w:name="_Toc74081185"/>
      <w:bookmarkStart w:id="203" w:name="_Toc74081414"/>
      <w:bookmarkStart w:id="204" w:name="_Toc74170985"/>
      <w:bookmarkStart w:id="205" w:name="_Toc74172134"/>
      <w:bookmarkStart w:id="206" w:name="_Toc74172670"/>
      <w:bookmarkStart w:id="207" w:name="_Toc74238659"/>
      <w:bookmarkStart w:id="208" w:name="_Toc78304749"/>
      <w:bookmarkStart w:id="209" w:name="_Toc79330836"/>
      <w:bookmarkStart w:id="210" w:name="_Toc79331216"/>
      <w:bookmarkStart w:id="211" w:name="_Toc79406304"/>
      <w:bookmarkStart w:id="212" w:name="_Toc82773467"/>
      <w:bookmarkStart w:id="213" w:name="_Toc82773820"/>
      <w:bookmarkStart w:id="214" w:name="_Toc128314162"/>
      <w:bookmarkStart w:id="215" w:name="_Toc135131418"/>
      <w:r w:rsidRPr="006720E4">
        <w:t>Scope of the guidelines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8023036" w14:textId="6B80B34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various types of cells, tissues and organs that are covered by these guidelines are described in </w:t>
      </w:r>
      <w:r w:rsidRPr="009C2EF0">
        <w:rPr>
          <w:rFonts w:ascii="Calibri" w:hAnsi="Calibri" w:cs="Calibri"/>
          <w:sz w:val="22"/>
          <w:szCs w:val="22"/>
        </w:rPr>
        <w:t xml:space="preserve">detail in </w:t>
      </w:r>
      <w:hyperlink w:anchor="_Ethical_foundations_of_1" w:history="1">
        <w:r w:rsidR="009C2EF0" w:rsidRPr="009C2EF0">
          <w:rPr>
            <w:rStyle w:val="Hyperlink"/>
            <w:rFonts w:ascii="Calibri" w:hAnsi="Calibri" w:cs="Calibri"/>
            <w:sz w:val="22"/>
            <w:szCs w:val="22"/>
          </w:rPr>
          <w:t>Chapter 2</w:t>
        </w:r>
      </w:hyperlink>
      <w:r w:rsidRPr="009C2EF0">
        <w:rPr>
          <w:rFonts w:ascii="Calibri" w:hAnsi="Calibri" w:cs="Calibri"/>
        </w:rPr>
        <w:t xml:space="preserve">. </w:t>
      </w:r>
      <w:r w:rsidRPr="009C2EF0">
        <w:rPr>
          <w:rFonts w:ascii="Calibri" w:hAnsi="Calibri" w:cs="Calibri"/>
          <w:sz w:val="22"/>
          <w:szCs w:val="22"/>
        </w:rPr>
        <w:t>They include</w:t>
      </w:r>
      <w:r w:rsidRPr="006720E4">
        <w:rPr>
          <w:rFonts w:ascii="Calibri" w:hAnsi="Calibri" w:cs="Calibri"/>
          <w:sz w:val="22"/>
          <w:szCs w:val="22"/>
        </w:rPr>
        <w:t xml:space="preserve"> HSCs obtained from bone marrow, peripheral or umbilical cord blood; tissues such as corneas, heart valves, skin and bones; and solid organs such as kidneys, hearts, and livers. </w:t>
      </w:r>
    </w:p>
    <w:p w14:paraId="07006EB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It is not always possible to clearly and consistently distinguish between donated and transplanted human biological materials that are cells, tissues, or organs; some tissues may be described as cells, and some tissues may be considered organs. In these guidelines, we refer simply to “donation and transplantation” wherever ethical guidance may be considered generalizable to the broad categories of cells, tissues, and organs. In some instances, specific categories or types of materials are identified where these may be associated with specific ethical considerations.</w:t>
      </w:r>
    </w:p>
    <w:p w14:paraId="36A46049" w14:textId="166395D5"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sz w:val="22"/>
          <w:szCs w:val="22"/>
        </w:rPr>
        <w:t xml:space="preserve">The guidelines are focused on donation of cells, tissues, and organs for </w:t>
      </w:r>
      <w:hyperlink w:anchor="_Glossary_2" w:history="1">
        <w:r w:rsidRPr="006720E4">
          <w:rPr>
            <w:rStyle w:val="Hyperlink"/>
            <w:rFonts w:ascii="Calibri" w:hAnsi="Calibri" w:cs="Calibri"/>
            <w:sz w:val="22"/>
            <w:szCs w:val="22"/>
          </w:rPr>
          <w:t>allogeneic</w:t>
        </w:r>
      </w:hyperlink>
      <w:r w:rsidRPr="006720E4">
        <w:rPr>
          <w:rFonts w:ascii="Calibri" w:hAnsi="Calibri" w:cs="Calibri"/>
          <w:sz w:val="22"/>
          <w:szCs w:val="22"/>
        </w:rPr>
        <w:t xml:space="preserve"> transplantation, which means a donation from one individual that is transplanted in another individual(s). </w:t>
      </w:r>
    </w:p>
    <w:p w14:paraId="5B0EA962" w14:textId="77777777" w:rsidR="006C6EBA" w:rsidRPr="006720E4" w:rsidRDefault="006C6EBA" w:rsidP="00EA22AE">
      <w:pPr>
        <w:spacing w:after="120"/>
        <w:rPr>
          <w:rFonts w:ascii="Calibri" w:hAnsi="Calibri" w:cs="Calibri"/>
          <w:sz w:val="22"/>
          <w:szCs w:val="22"/>
        </w:rPr>
      </w:pPr>
      <w:r w:rsidRPr="006720E4">
        <w:rPr>
          <w:rFonts w:ascii="Calibri" w:hAnsi="Calibri" w:cs="Calibri"/>
          <w:color w:val="000000" w:themeColor="text1"/>
          <w:sz w:val="22"/>
          <w:szCs w:val="22"/>
        </w:rPr>
        <w:lastRenderedPageBreak/>
        <w:t xml:space="preserve">These ethical guidelines are </w:t>
      </w:r>
      <w:r w:rsidRPr="006720E4">
        <w:rPr>
          <w:rFonts w:ascii="Calibri" w:hAnsi="Calibri" w:cs="Calibri"/>
          <w:b/>
          <w:bCs/>
          <w:color w:val="000000" w:themeColor="text1"/>
          <w:sz w:val="22"/>
          <w:szCs w:val="22"/>
        </w:rPr>
        <w:t>not intended</w:t>
      </w:r>
      <w:r w:rsidRPr="006720E4">
        <w:rPr>
          <w:rFonts w:ascii="Calibri" w:hAnsi="Calibri" w:cs="Calibri"/>
          <w:color w:val="000000" w:themeColor="text1"/>
          <w:sz w:val="22"/>
          <w:szCs w:val="22"/>
        </w:rPr>
        <w:t xml:space="preserve"> to </w:t>
      </w:r>
      <w:r w:rsidRPr="006720E4">
        <w:rPr>
          <w:rFonts w:ascii="Calibri" w:hAnsi="Calibri" w:cs="Calibri"/>
          <w:sz w:val="22"/>
          <w:szCs w:val="22"/>
        </w:rPr>
        <w:t xml:space="preserve">provide </w:t>
      </w:r>
      <w:r w:rsidRPr="006720E4">
        <w:rPr>
          <w:rFonts w:ascii="Calibri" w:hAnsi="Calibri" w:cs="Calibri"/>
          <w:i/>
          <w:iCs/>
          <w:sz w:val="22"/>
          <w:szCs w:val="22"/>
        </w:rPr>
        <w:t>clinical</w:t>
      </w:r>
      <w:r w:rsidRPr="006720E4">
        <w:rPr>
          <w:rFonts w:ascii="Calibri" w:hAnsi="Calibri" w:cs="Calibri"/>
          <w:sz w:val="22"/>
          <w:szCs w:val="22"/>
        </w:rPr>
        <w:t xml:space="preserve"> advice for cell, tissue or organ donation or transplantation, nor do they apply to:</w:t>
      </w:r>
    </w:p>
    <w:p w14:paraId="5C84FEC6" w14:textId="77777777" w:rsidR="006C6EBA" w:rsidRPr="006720E4" w:rsidRDefault="006C6EBA" w:rsidP="00EA22AE">
      <w:pPr>
        <w:pStyle w:val="BulletList"/>
        <w:spacing w:after="120"/>
        <w:contextualSpacing w:val="0"/>
        <w:rPr>
          <w:rFonts w:cs="Calibri"/>
          <w:szCs w:val="22"/>
        </w:rPr>
      </w:pPr>
      <w:r w:rsidRPr="006720E4">
        <w:rPr>
          <w:rFonts w:cs="Calibri"/>
          <w:szCs w:val="22"/>
        </w:rPr>
        <w:t>blood donation or transfusion,</w:t>
      </w:r>
    </w:p>
    <w:p w14:paraId="752EDA87"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gametes, ovarian or testicular tissue, or embryos, </w:t>
      </w:r>
    </w:p>
    <w:p w14:paraId="21825CC3" w14:textId="77777777" w:rsidR="006C6EBA" w:rsidRPr="006720E4" w:rsidRDefault="006C6EBA" w:rsidP="00EA22AE">
      <w:pPr>
        <w:pStyle w:val="BulletList"/>
        <w:spacing w:after="120"/>
        <w:contextualSpacing w:val="0"/>
        <w:rPr>
          <w:rFonts w:cs="Calibri"/>
          <w:szCs w:val="22"/>
        </w:rPr>
      </w:pPr>
      <w:r w:rsidRPr="006720E4">
        <w:rPr>
          <w:rFonts w:cs="Calibri"/>
          <w:szCs w:val="22"/>
        </w:rPr>
        <w:t>faecal donation or transplantation,</w:t>
      </w:r>
    </w:p>
    <w:p w14:paraId="212D7816" w14:textId="56949938" w:rsidR="006C6EBA" w:rsidRPr="006720E4" w:rsidRDefault="00000000" w:rsidP="00EA22AE">
      <w:pPr>
        <w:pStyle w:val="BulletList"/>
        <w:spacing w:after="120"/>
        <w:contextualSpacing w:val="0"/>
        <w:rPr>
          <w:rFonts w:cs="Calibri"/>
          <w:szCs w:val="22"/>
        </w:rPr>
      </w:pPr>
      <w:hyperlink w:anchor="_Glossary_2" w:history="1">
        <w:r w:rsidR="006C6EBA" w:rsidRPr="006720E4">
          <w:rPr>
            <w:rStyle w:val="Hyperlink"/>
            <w:rFonts w:cs="Calibri"/>
            <w:szCs w:val="22"/>
          </w:rPr>
          <w:t>autologous</w:t>
        </w:r>
      </w:hyperlink>
      <w:r w:rsidR="006C6EBA" w:rsidRPr="006720E4">
        <w:rPr>
          <w:rFonts w:cs="Calibri"/>
          <w:szCs w:val="22"/>
        </w:rPr>
        <w:t xml:space="preserve"> transplantation of cells or tissues;</w:t>
      </w:r>
    </w:p>
    <w:p w14:paraId="6864B643" w14:textId="77777777" w:rsidR="006C6EBA" w:rsidRPr="006720E4" w:rsidRDefault="006C6EBA" w:rsidP="00EA22AE">
      <w:pPr>
        <w:pStyle w:val="BulletList"/>
        <w:spacing w:after="120"/>
        <w:contextualSpacing w:val="0"/>
        <w:rPr>
          <w:rFonts w:cs="Calibri"/>
          <w:szCs w:val="22"/>
        </w:rPr>
      </w:pPr>
      <w:r w:rsidRPr="006720E4">
        <w:rPr>
          <w:rFonts w:cs="Calibri"/>
          <w:szCs w:val="22"/>
        </w:rPr>
        <w:t>xenotransplantation, or</w:t>
      </w:r>
    </w:p>
    <w:p w14:paraId="7AB1131C" w14:textId="1B89440B" w:rsidR="006C6EBA" w:rsidRPr="006720E4" w:rsidRDefault="006C6EBA" w:rsidP="00EA22AE">
      <w:pPr>
        <w:pStyle w:val="BulletList"/>
        <w:spacing w:after="120"/>
        <w:contextualSpacing w:val="0"/>
        <w:rPr>
          <w:rFonts w:cs="Calibri"/>
          <w:i/>
          <w:iCs/>
          <w:szCs w:val="22"/>
        </w:rPr>
      </w:pPr>
      <w:r w:rsidRPr="006720E4">
        <w:rPr>
          <w:rFonts w:cs="Calibri"/>
          <w:szCs w:val="22"/>
        </w:rPr>
        <w:t>research activities involving human cells, tissues, organs; information collected from donors or transplant recipients; or cell lines derived from these sources, except where specified (see</w:t>
      </w:r>
      <w:r w:rsidRPr="006720E4">
        <w:rPr>
          <w:rFonts w:cs="Calibri"/>
        </w:rPr>
        <w:t xml:space="preserve"> </w:t>
      </w:r>
      <w:hyperlink w:anchor="_Intersections_between_donation_2" w:history="1">
        <w:r w:rsidRPr="009C2EF0">
          <w:rPr>
            <w:rStyle w:val="Hyperlink"/>
            <w:rFonts w:cs="Calibri"/>
          </w:rPr>
          <w:t>Chapter 1</w:t>
        </w:r>
        <w:r w:rsidR="009C2EF0" w:rsidRPr="009C2EF0">
          <w:rPr>
            <w:rStyle w:val="Hyperlink"/>
            <w:rFonts w:cs="Calibri"/>
          </w:rPr>
          <w:t>2</w:t>
        </w:r>
        <w:r w:rsidRPr="009C2EF0">
          <w:rPr>
            <w:rStyle w:val="Hyperlink"/>
            <w:rFonts w:cs="Calibri"/>
          </w:rPr>
          <w:t>.7</w:t>
        </w:r>
      </w:hyperlink>
      <w:r w:rsidRPr="009C2EF0">
        <w:rPr>
          <w:rFonts w:cs="Calibri"/>
          <w:szCs w:val="22"/>
        </w:rPr>
        <w:t>).</w:t>
      </w:r>
      <w:r w:rsidRPr="006720E4">
        <w:rPr>
          <w:rFonts w:cs="Calibri"/>
          <w:i/>
          <w:iCs/>
          <w:szCs w:val="22"/>
        </w:rPr>
        <w:t xml:space="preserve"> </w:t>
      </w:r>
    </w:p>
    <w:p w14:paraId="76371327" w14:textId="5DDC2550" w:rsidR="006C6EBA" w:rsidRPr="006720E4" w:rsidRDefault="006C6EBA" w:rsidP="00EA22AE">
      <w:pPr>
        <w:pStyle w:val="BulletList"/>
        <w:numPr>
          <w:ilvl w:val="0"/>
          <w:numId w:val="0"/>
        </w:numPr>
        <w:spacing w:after="120"/>
        <w:contextualSpacing w:val="0"/>
        <w:rPr>
          <w:rFonts w:cs="Calibri"/>
          <w:szCs w:val="22"/>
        </w:rPr>
      </w:pPr>
      <w:r w:rsidRPr="006720E4">
        <w:rPr>
          <w:rFonts w:cs="Calibri"/>
          <w:szCs w:val="22"/>
        </w:rPr>
        <w:t>For information on these issues, readers are referred to specific guidelines, e.g., those developed by the NHMRC,</w:t>
      </w:r>
      <w:r w:rsidRPr="006720E4">
        <w:rPr>
          <w:rFonts w:cs="Calibri"/>
          <w:szCs w:val="22"/>
        </w:rPr>
        <w:fldChar w:fldCharType="begin" w:fldLock="1"/>
      </w:r>
      <w:r w:rsidR="002B5DD4">
        <w:rPr>
          <w:rFonts w:cs="Calibri"/>
          <w:szCs w:val="22"/>
        </w:rPr>
        <w:instrText>ADDIN CSL_CITATION {"citationItems":[{"id":"ITEM-1","itemData":{"ISBN":"9781864960136","ISSN":"0164-7989","abstract":"This document updates the 2003 guidelines 'Values and ethics: guidelines on ethical conduct in Aboriginal and Torres Strait Islander health research.' They provide a set of principles to ensure research is safe, respectful, responsible, high quality and of benefit to Aboriginal and Torres Strait Islander people and communities. They work with the National Statement on Ethical Conduct in Human Research and the Australian Code for the Responsible Conduct of Research by providing more specific information. A companion document has been produced, 'Keeping research on track II', which provides advice on how these values and principles can be put into practice in research.","author":[{"dropping-particle":"","family":"National Health and Medical Research Council (NHMRC)","given":"","non-dropping-particle":"","parse-names":false,"suffix":""}],"id":"ITEM-1","issued":{"date-parts":[["2018"]]},"title":"Ethical conduct in research with Aboriginal and Torres Strait Islander Peoples and communities: Guidelines for researchers and stakeholders","type":"report"},"uris":["http://www.mendeley.com/documents/?uuid=bb1b71ff-10f9-4c82-bd6f-ef9944f31fc3"]},{"id":"ITEM-2","itemData":{"ISBN":"1864962690","abstract":"(Chapter 4.7 adresses Aboriginal and Torres Islander poeples specifically. Pages 77 - 80). Its content reflects the outcome of wide consultation with Australian communities who participate in, design, conduct, fund, manage and publish human research. Research governance The National Statement should be seen in the broader context of overall governance of research. It not only provides guidelines for researchers, Human Research Ethics Committees (HRECs) and others conducting ethical review of research, but also emphasises institutions’ responsibilities for the quality, safety and ethical acceptability of research that they sponsor or permit to be carried out under their auspices. Responsibility for the ethical design, review and conduct of human research is in fact exercised at many levels, by: researchers (and where relevant their supervisors); HRECs and others conducting","author":[{"dropping-particle":"","family":"National Health and Medical Research Council (NHMRC)","given":"","non-dropping-particle":"","parse-names":false,"suffix":""}],"id":"ITEM-2","issued":{"date-parts":[["0"]]},"title":"Conduct in human research national statement on ethical conduct in human research","type":"report"},"uris":["http://www.mendeley.com/documents/?uuid=75db90a3-b445-477e-9a4e-65a9f9f71f9d"]}],"mendeley":{"formattedCitation":"(16,17)","plainTextFormattedCitation":"(16,17)","previouslyFormattedCitation":"(16,17)"},"properties":{"noteIndex":0},"schema":"https://github.com/citation-style-language/schema/raw/master/csl-citation.json"}</w:instrText>
      </w:r>
      <w:r w:rsidRPr="006720E4">
        <w:rPr>
          <w:rFonts w:cs="Calibri"/>
          <w:szCs w:val="22"/>
        </w:rPr>
        <w:fldChar w:fldCharType="separate"/>
      </w:r>
      <w:r w:rsidR="00485565" w:rsidRPr="006720E4">
        <w:rPr>
          <w:rFonts w:cs="Calibri"/>
          <w:noProof/>
          <w:szCs w:val="22"/>
        </w:rPr>
        <w:t>(16,17)</w:t>
      </w:r>
      <w:r w:rsidRPr="006720E4">
        <w:rPr>
          <w:rFonts w:cs="Calibri"/>
          <w:szCs w:val="22"/>
        </w:rPr>
        <w:fldChar w:fldCharType="end"/>
      </w:r>
      <w:r w:rsidRPr="006720E4">
        <w:rPr>
          <w:rFonts w:cs="Calibri"/>
          <w:szCs w:val="22"/>
        </w:rPr>
        <w:t xml:space="preserve"> TSANZ, the ABMDR, the OTA, state or territory departments, or relevant professional or healthcare organi</w:t>
      </w:r>
      <w:r w:rsidR="000208BF">
        <w:rPr>
          <w:rFonts w:cs="Calibri"/>
          <w:szCs w:val="22"/>
        </w:rPr>
        <w:t>s</w:t>
      </w:r>
      <w:r w:rsidRPr="006720E4">
        <w:rPr>
          <w:rFonts w:cs="Calibri"/>
          <w:szCs w:val="22"/>
        </w:rPr>
        <w:t>ations and institutions.</w:t>
      </w:r>
      <w:r w:rsidRPr="006720E4" w:rsidDel="00BD5394">
        <w:rPr>
          <w:rFonts w:cs="Calibri"/>
          <w:szCs w:val="22"/>
        </w:rPr>
        <w:t xml:space="preserve"> </w:t>
      </w:r>
    </w:p>
    <w:p w14:paraId="39E6B448" w14:textId="3729BEB4" w:rsidR="006C6EBA" w:rsidRPr="006720E4" w:rsidRDefault="006C6EBA" w:rsidP="00EA22AE">
      <w:pPr>
        <w:pStyle w:val="NormalWeb"/>
        <w:spacing w:before="0" w:beforeAutospacing="0" w:after="120" w:afterAutospacing="0"/>
        <w:rPr>
          <w:rFonts w:cs="Calibri"/>
          <w:szCs w:val="22"/>
        </w:rPr>
      </w:pPr>
      <w:r w:rsidRPr="006720E4">
        <w:rPr>
          <w:rFonts w:cs="Calibri"/>
          <w:szCs w:val="22"/>
        </w:rPr>
        <w:t>All activities referred to in these guidelines must be carried out in compliance with existing law, legislation, and regulatory frameworks (see</w:t>
      </w:r>
      <w:r w:rsidR="009C2EF0">
        <w:rPr>
          <w:rFonts w:cs="Calibri"/>
          <w:szCs w:val="22"/>
        </w:rPr>
        <w:t xml:space="preserve"> </w:t>
      </w:r>
      <w:hyperlink w:anchor="_Laws_1" w:history="1">
        <w:r w:rsidR="009C2EF0" w:rsidRPr="009C2EF0">
          <w:rPr>
            <w:rStyle w:val="Hyperlink"/>
            <w:rFonts w:cs="Calibri"/>
            <w:szCs w:val="22"/>
          </w:rPr>
          <w:t>Chapter 3.5</w:t>
        </w:r>
      </w:hyperlink>
      <w:r w:rsidR="009C2EF0">
        <w:rPr>
          <w:rFonts w:cs="Calibri"/>
          <w:szCs w:val="22"/>
        </w:rPr>
        <w:t>).</w:t>
      </w:r>
      <w:r w:rsidRPr="006720E4">
        <w:rPr>
          <w:rFonts w:cs="Calibri"/>
          <w:szCs w:val="22"/>
        </w:rPr>
        <w:t xml:space="preserve"> The activities must also comply with relevant professional and accreditation standards and the maintenance of appropriate quality management systems. </w:t>
      </w:r>
    </w:p>
    <w:p w14:paraId="49990D2B" w14:textId="4D59CCF9" w:rsidR="006C6EBA" w:rsidRPr="006720E4" w:rsidRDefault="006C6EBA" w:rsidP="00EA22AE">
      <w:pPr>
        <w:pStyle w:val="Heading2"/>
        <w:spacing w:after="120"/>
      </w:pPr>
      <w:bookmarkStart w:id="216" w:name="_Toc79330838"/>
      <w:bookmarkStart w:id="217" w:name="_Toc79331218"/>
      <w:bookmarkStart w:id="218" w:name="_Toc79406306"/>
      <w:bookmarkStart w:id="219" w:name="_Toc82773469"/>
      <w:bookmarkStart w:id="220" w:name="_Toc82773822"/>
      <w:bookmarkStart w:id="221" w:name="_Toc128314164"/>
      <w:bookmarkStart w:id="222" w:name="_Toc135131419"/>
      <w:bookmarkStart w:id="223" w:name="_Toc61810279"/>
      <w:bookmarkStart w:id="224" w:name="_Toc70241704"/>
      <w:bookmarkStart w:id="225" w:name="_Toc70243338"/>
      <w:bookmarkStart w:id="226" w:name="_Toc70333946"/>
      <w:bookmarkStart w:id="227" w:name="_Toc70414783"/>
      <w:bookmarkStart w:id="228" w:name="_Toc70844112"/>
      <w:bookmarkStart w:id="229" w:name="_Toc70858974"/>
      <w:bookmarkStart w:id="230" w:name="_Toc70861075"/>
      <w:bookmarkStart w:id="231" w:name="_Toc70876559"/>
      <w:bookmarkStart w:id="232" w:name="_Toc72615044"/>
      <w:bookmarkStart w:id="233" w:name="_Toc73129763"/>
      <w:bookmarkStart w:id="234" w:name="_Toc73301632"/>
      <w:bookmarkStart w:id="235" w:name="_Toc73302138"/>
      <w:bookmarkStart w:id="236" w:name="_Toc73303271"/>
      <w:bookmarkStart w:id="237" w:name="_Toc73303532"/>
      <w:bookmarkStart w:id="238" w:name="_Toc74080649"/>
      <w:bookmarkStart w:id="239" w:name="_Toc74080957"/>
      <w:bookmarkStart w:id="240" w:name="_Toc74081187"/>
      <w:bookmarkStart w:id="241" w:name="_Toc74081416"/>
      <w:bookmarkStart w:id="242" w:name="_Toc74170987"/>
      <w:bookmarkStart w:id="243" w:name="_Toc74172136"/>
      <w:bookmarkStart w:id="244" w:name="_Toc74172672"/>
      <w:bookmarkStart w:id="245" w:name="_Toc74238661"/>
      <w:bookmarkStart w:id="246" w:name="_Toc78304751"/>
      <w:r w:rsidRPr="006720E4">
        <w:t>Development of the guidelines</w:t>
      </w:r>
      <w:bookmarkEnd w:id="216"/>
      <w:bookmarkEnd w:id="217"/>
      <w:bookmarkEnd w:id="218"/>
      <w:bookmarkEnd w:id="219"/>
      <w:bookmarkEnd w:id="220"/>
      <w:bookmarkEnd w:id="221"/>
      <w:bookmarkEnd w:id="222"/>
    </w:p>
    <w:p w14:paraId="0F9B14A6" w14:textId="0F9A8FD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process by which these guidelines were developed is outlined in detail in </w:t>
      </w:r>
      <w:hyperlink w:anchor="_Appendix_2:_Development" w:history="1">
        <w:r w:rsidR="009C2EF0" w:rsidRPr="009C2EF0">
          <w:rPr>
            <w:rStyle w:val="Hyperlink"/>
            <w:rFonts w:ascii="Calibri" w:hAnsi="Calibri" w:cs="Calibri"/>
            <w:sz w:val="22"/>
            <w:szCs w:val="22"/>
          </w:rPr>
          <w:t>Appendix 2</w:t>
        </w:r>
      </w:hyperlink>
      <w:r w:rsidR="009C2EF0">
        <w:rPr>
          <w:rFonts w:ascii="Calibri" w:hAnsi="Calibri" w:cs="Calibri"/>
          <w:sz w:val="22"/>
          <w:szCs w:val="22"/>
        </w:rPr>
        <w:t xml:space="preserve">. </w:t>
      </w:r>
      <w:r w:rsidRPr="006720E4">
        <w:rPr>
          <w:rFonts w:ascii="Calibri" w:hAnsi="Calibri" w:cs="Calibri"/>
          <w:sz w:val="22"/>
          <w:szCs w:val="22"/>
        </w:rPr>
        <w:t>Individuals and organi</w:t>
      </w:r>
      <w:r w:rsidR="000208BF">
        <w:rPr>
          <w:rFonts w:ascii="Calibri" w:hAnsi="Calibri" w:cs="Calibri"/>
          <w:sz w:val="22"/>
          <w:szCs w:val="22"/>
        </w:rPr>
        <w:t>s</w:t>
      </w:r>
      <w:r w:rsidRPr="006720E4">
        <w:rPr>
          <w:rFonts w:ascii="Calibri" w:hAnsi="Calibri" w:cs="Calibri"/>
          <w:sz w:val="22"/>
          <w:szCs w:val="22"/>
        </w:rPr>
        <w:t xml:space="preserve">ations that have contributed in a range of ways to the guidelines are also identified in </w:t>
      </w:r>
      <w:hyperlink w:anchor="_Appendix_2:_Development" w:history="1">
        <w:r w:rsidR="009C2EF0" w:rsidRPr="009C2EF0">
          <w:rPr>
            <w:rStyle w:val="Hyperlink"/>
            <w:rFonts w:ascii="Calibri" w:hAnsi="Calibri" w:cs="Calibri"/>
            <w:sz w:val="22"/>
            <w:szCs w:val="22"/>
          </w:rPr>
          <w:t>Appendix 2</w:t>
        </w:r>
      </w:hyperlink>
      <w:r w:rsidR="009C2EF0">
        <w:rPr>
          <w:rFonts w:ascii="Calibri" w:hAnsi="Calibri" w:cs="Calibri"/>
          <w:sz w:val="22"/>
          <w:szCs w:val="22"/>
        </w:rPr>
        <w:t>.</w:t>
      </w:r>
    </w:p>
    <w:p w14:paraId="3C5BCA1B" w14:textId="56038B41" w:rsidR="00E70D68" w:rsidRPr="006720E4" w:rsidRDefault="00E70D68" w:rsidP="00EA22AE">
      <w:pPr>
        <w:pStyle w:val="Guidelinesnormalparagraph"/>
        <w:rPr>
          <w:rFonts w:ascii="Calibri" w:hAnsi="Calibri" w:cs="Calibri"/>
          <w:kern w:val="0"/>
          <w:szCs w:val="22"/>
          <w:lang w:val="en-GB"/>
        </w:rPr>
      </w:pPr>
      <w:bookmarkStart w:id="247" w:name="_Relationship_to_the"/>
      <w:bookmarkEnd w:id="247"/>
      <w:r w:rsidRPr="006720E4">
        <w:rPr>
          <w:rFonts w:ascii="Calibri" w:hAnsi="Calibri" w:cs="Calibri"/>
          <w:kern w:val="0"/>
          <w:szCs w:val="22"/>
          <w:lang w:val="en-GB"/>
        </w:rPr>
        <w:t xml:space="preserve">These </w:t>
      </w:r>
      <w:r w:rsidR="00A34343">
        <w:rPr>
          <w:rFonts w:ascii="Calibri" w:hAnsi="Calibri" w:cs="Calibri"/>
          <w:kern w:val="0"/>
          <w:szCs w:val="22"/>
          <w:lang w:val="en-GB"/>
        </w:rPr>
        <w:t>g</w:t>
      </w:r>
      <w:r w:rsidRPr="006720E4">
        <w:rPr>
          <w:rFonts w:ascii="Calibri" w:hAnsi="Calibri" w:cs="Calibri"/>
          <w:kern w:val="0"/>
          <w:szCs w:val="22"/>
          <w:lang w:val="en-GB"/>
        </w:rPr>
        <w:t xml:space="preserve">uidelines provide detailed explanations of ethical considerations and recommendations for those requiring nuanced guidance on a particular topic. Some may choose to read the entire </w:t>
      </w:r>
      <w:r w:rsidR="00A34343" w:rsidRPr="00A34343">
        <w:rPr>
          <w:rFonts w:ascii="Calibri" w:hAnsi="Calibri" w:cs="Calibri"/>
          <w:kern w:val="0"/>
          <w:szCs w:val="22"/>
          <w:lang w:val="en-GB"/>
        </w:rPr>
        <w:t>guidelines</w:t>
      </w:r>
      <w:r w:rsidRPr="006720E4">
        <w:rPr>
          <w:rFonts w:ascii="Calibri" w:hAnsi="Calibri" w:cs="Calibri"/>
          <w:kern w:val="0"/>
          <w:szCs w:val="22"/>
          <w:lang w:val="en-GB"/>
        </w:rPr>
        <w:t>; however, others may prefer to read specific chapters to deepen their understanding of certain aspects of ethical practice in donation and transplantation or specific issues.</w:t>
      </w:r>
    </w:p>
    <w:p w14:paraId="4B73D89B" w14:textId="15647E01" w:rsidR="006C6EBA" w:rsidRPr="006720E4" w:rsidRDefault="006C6EBA" w:rsidP="00EA22AE">
      <w:pPr>
        <w:pStyle w:val="Heading2"/>
        <w:spacing w:after="120"/>
      </w:pPr>
      <w:bookmarkStart w:id="248" w:name="_Toc79330839"/>
      <w:bookmarkStart w:id="249" w:name="_Toc79331219"/>
      <w:bookmarkStart w:id="250" w:name="_Toc79406307"/>
      <w:bookmarkStart w:id="251" w:name="_Toc82773470"/>
      <w:bookmarkStart w:id="252" w:name="_Toc82773823"/>
      <w:bookmarkStart w:id="253" w:name="_Toc128314165"/>
      <w:bookmarkStart w:id="254" w:name="_Toc135131420"/>
      <w:r w:rsidRPr="006720E4">
        <w:t>Structure</w:t>
      </w:r>
      <w:bookmarkEnd w:id="223"/>
      <w:bookmarkEnd w:id="224"/>
      <w:bookmarkEnd w:id="225"/>
      <w:r w:rsidRPr="006720E4">
        <w:t>, use</w:t>
      </w:r>
      <w:r w:rsidR="00E70D68" w:rsidRPr="006720E4">
        <w:t>, limitations</w:t>
      </w:r>
      <w:r w:rsidRPr="006720E4">
        <w:t xml:space="preserve"> </w:t>
      </w:r>
      <w:r w:rsidR="00E70D68" w:rsidRPr="006720E4">
        <w:t xml:space="preserve">and content </w:t>
      </w:r>
      <w:r w:rsidRPr="006720E4">
        <w:t>of the guidelines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8"/>
      <w:bookmarkEnd w:id="249"/>
      <w:bookmarkEnd w:id="250"/>
      <w:bookmarkEnd w:id="251"/>
      <w:bookmarkEnd w:id="252"/>
      <w:bookmarkEnd w:id="253"/>
      <w:bookmarkEnd w:id="254"/>
    </w:p>
    <w:p w14:paraId="364983E8" w14:textId="0A34925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w:t>
      </w:r>
      <w:r w:rsidR="00D47A54">
        <w:rPr>
          <w:rFonts w:ascii="Calibri" w:hAnsi="Calibri" w:cs="Calibri"/>
          <w:sz w:val="22"/>
          <w:szCs w:val="22"/>
        </w:rPr>
        <w:t>e</w:t>
      </w:r>
      <w:r w:rsidRPr="006720E4">
        <w:rPr>
          <w:rFonts w:ascii="Calibri" w:hAnsi="Calibri" w:cs="Calibri"/>
          <w:sz w:val="22"/>
          <w:szCs w:val="22"/>
        </w:rPr>
        <w:t xml:space="preserve">thical </w:t>
      </w:r>
      <w:r w:rsidR="00D47A54">
        <w:rPr>
          <w:rFonts w:ascii="Calibri" w:hAnsi="Calibri" w:cs="Calibri"/>
          <w:sz w:val="22"/>
          <w:szCs w:val="22"/>
        </w:rPr>
        <w:t>g</w:t>
      </w:r>
      <w:r w:rsidRPr="006720E4">
        <w:rPr>
          <w:rFonts w:ascii="Calibri" w:hAnsi="Calibri" w:cs="Calibri"/>
          <w:sz w:val="22"/>
          <w:szCs w:val="22"/>
        </w:rPr>
        <w:t xml:space="preserve">uidelines provide explanation and discussion of a range of potential ethical considerations in donation and transplantation of cells, tissues, and organs. </w:t>
      </w:r>
    </w:p>
    <w:p w14:paraId="2A94AF03" w14:textId="6DC3E88A" w:rsidR="00E70D68"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Chapters </w:t>
      </w:r>
      <w:r w:rsidR="00E70D68" w:rsidRPr="006720E4">
        <w:rPr>
          <w:rFonts w:ascii="Calibri" w:hAnsi="Calibri" w:cs="Calibri"/>
          <w:sz w:val="22"/>
          <w:szCs w:val="22"/>
        </w:rPr>
        <w:t>3</w:t>
      </w:r>
      <w:r w:rsidRPr="006720E4">
        <w:rPr>
          <w:rFonts w:ascii="Calibri" w:hAnsi="Calibri" w:cs="Calibri"/>
          <w:sz w:val="22"/>
          <w:szCs w:val="22"/>
        </w:rPr>
        <w:t xml:space="preserve">-12 are arranged to focus on specific ethical considerations or sets of related ethical issues in donation or transplantation. They include links to further readings and resources curated in </w:t>
      </w:r>
      <w:hyperlink w:anchor="_Appendix_3_–" w:history="1">
        <w:r w:rsidRPr="009C2EF0">
          <w:rPr>
            <w:rStyle w:val="Hyperlink"/>
            <w:rFonts w:ascii="Calibri" w:hAnsi="Calibri" w:cs="Calibri"/>
            <w:sz w:val="22"/>
            <w:szCs w:val="22"/>
          </w:rPr>
          <w:t xml:space="preserve">Appendix </w:t>
        </w:r>
        <w:r w:rsidR="009C2EF0" w:rsidRPr="009C2EF0">
          <w:rPr>
            <w:rStyle w:val="Hyperlink"/>
            <w:rFonts w:ascii="Calibri" w:hAnsi="Calibri" w:cs="Calibri"/>
            <w:sz w:val="22"/>
            <w:szCs w:val="22"/>
          </w:rPr>
          <w:t>1</w:t>
        </w:r>
      </w:hyperlink>
      <w:r w:rsidR="00E70D68" w:rsidRPr="009C2EF0">
        <w:rPr>
          <w:rStyle w:val="Hyperlink"/>
          <w:rFonts w:ascii="Calibri" w:hAnsi="Calibri" w:cs="Calibri"/>
          <w:sz w:val="22"/>
          <w:szCs w:val="22"/>
        </w:rPr>
        <w:t>.</w:t>
      </w:r>
      <w:r w:rsidRPr="009C2EF0">
        <w:rPr>
          <w:rFonts w:ascii="Calibri" w:hAnsi="Calibri" w:cs="Calibri"/>
          <w:sz w:val="22"/>
          <w:szCs w:val="22"/>
        </w:rPr>
        <w:t xml:space="preserve"> In some chapters</w:t>
      </w:r>
      <w:r w:rsidRPr="006720E4">
        <w:rPr>
          <w:rFonts w:ascii="Calibri" w:hAnsi="Calibri" w:cs="Calibri"/>
          <w:sz w:val="22"/>
          <w:szCs w:val="22"/>
        </w:rPr>
        <w:t>, examples illustrating particular points</w:t>
      </w:r>
      <w:r w:rsidR="009C2EF0">
        <w:rPr>
          <w:rFonts w:ascii="Calibri" w:hAnsi="Calibri" w:cs="Calibri"/>
          <w:sz w:val="22"/>
          <w:szCs w:val="22"/>
        </w:rPr>
        <w:t xml:space="preserve"> </w:t>
      </w:r>
      <w:r w:rsidR="009C2EF0" w:rsidRPr="006720E4">
        <w:rPr>
          <w:rFonts w:ascii="Calibri" w:hAnsi="Calibri" w:cs="Calibri"/>
          <w:sz w:val="22"/>
          <w:szCs w:val="22"/>
        </w:rPr>
        <w:t>and summarised recommendations for ethical practice</w:t>
      </w:r>
      <w:r w:rsidRPr="006720E4">
        <w:rPr>
          <w:rFonts w:ascii="Calibri" w:hAnsi="Calibri" w:cs="Calibri"/>
          <w:sz w:val="22"/>
          <w:szCs w:val="22"/>
        </w:rPr>
        <w:t xml:space="preserve"> are </w:t>
      </w:r>
      <w:r w:rsidRPr="009C2EF0">
        <w:rPr>
          <w:rFonts w:ascii="Calibri" w:hAnsi="Calibri" w:cs="Calibri"/>
          <w:sz w:val="22"/>
          <w:szCs w:val="22"/>
        </w:rPr>
        <w:t>presented in boxed text.</w:t>
      </w:r>
      <w:r w:rsidRPr="006720E4">
        <w:rPr>
          <w:rFonts w:ascii="Calibri" w:hAnsi="Calibri" w:cs="Calibri"/>
          <w:sz w:val="22"/>
          <w:szCs w:val="22"/>
        </w:rPr>
        <w:t xml:space="preserve"> </w:t>
      </w:r>
    </w:p>
    <w:p w14:paraId="2C26ABAE" w14:textId="68BC6546" w:rsidR="00E70D68" w:rsidRPr="006720E4" w:rsidRDefault="009C2EF0" w:rsidP="00EA22AE">
      <w:pPr>
        <w:pStyle w:val="Guidelinesnormalparagraph"/>
        <w:rPr>
          <w:rFonts w:ascii="Calibri" w:hAnsi="Calibri" w:cs="Calibri"/>
          <w:kern w:val="0"/>
          <w:szCs w:val="22"/>
          <w:lang w:val="en-GB"/>
        </w:rPr>
      </w:pPr>
      <w:r>
        <w:rPr>
          <w:rFonts w:ascii="Calibri" w:hAnsi="Calibri" w:cs="Calibri"/>
          <w:kern w:val="0"/>
          <w:szCs w:val="22"/>
          <w:lang w:val="en-GB"/>
        </w:rPr>
        <w:t>Some c</w:t>
      </w:r>
      <w:r w:rsidR="00E70D68" w:rsidRPr="006720E4">
        <w:rPr>
          <w:rFonts w:ascii="Calibri" w:hAnsi="Calibri" w:cs="Calibri"/>
          <w:kern w:val="0"/>
          <w:szCs w:val="22"/>
          <w:lang w:val="en-GB"/>
        </w:rPr>
        <w:t>ase studies are included to help readers reflect on ethical considerations in the context of hypothetical scenarios and consider how to apply the principles outlined in the guidelines. The case studies highlight the complex ethical issues involved in decision-making about transplantation and the way in which the ethical principles and guidance can assist decision-making. In some instances, the case studies illustrate how ethical issues may be resolved.</w:t>
      </w:r>
    </w:p>
    <w:p w14:paraId="3D562DB4" w14:textId="606885C0"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sz w:val="22"/>
          <w:szCs w:val="22"/>
        </w:rPr>
        <w:t xml:space="preserve">Each chapter and the various Appendices are briefly described </w:t>
      </w:r>
      <w:r w:rsidRPr="006720E4">
        <w:rPr>
          <w:rFonts w:ascii="Calibri" w:hAnsi="Calibri" w:cs="Calibri"/>
          <w:color w:val="000000" w:themeColor="text1"/>
          <w:sz w:val="22"/>
          <w:szCs w:val="22"/>
        </w:rPr>
        <w:t>below</w:t>
      </w:r>
      <w:r w:rsidRPr="006720E4">
        <w:rPr>
          <w:rStyle w:val="Hyperlink"/>
          <w:rFonts w:ascii="Calibri" w:hAnsi="Calibri" w:cs="Calibri"/>
          <w:color w:val="000000" w:themeColor="text1"/>
          <w:sz w:val="22"/>
          <w:szCs w:val="22"/>
          <w:u w:val="none"/>
        </w:rPr>
        <w:t xml:space="preserve"> in </w:t>
      </w:r>
      <w:hyperlink w:anchor="_Summary_of_Chapters" w:history="1">
        <w:r w:rsidRPr="006720E4">
          <w:rPr>
            <w:rStyle w:val="Hyperlink"/>
            <w:rFonts w:ascii="Calibri" w:hAnsi="Calibri" w:cs="Calibri"/>
            <w:sz w:val="22"/>
            <w:szCs w:val="22"/>
          </w:rPr>
          <w:t>Chapter 1.</w:t>
        </w:r>
        <w:r w:rsidR="00E70D68" w:rsidRPr="006720E4">
          <w:rPr>
            <w:rStyle w:val="Hyperlink"/>
            <w:rFonts w:ascii="Calibri" w:hAnsi="Calibri" w:cs="Calibri"/>
            <w:sz w:val="22"/>
            <w:szCs w:val="22"/>
          </w:rPr>
          <w:t>4.3</w:t>
        </w:r>
        <w:r w:rsidRPr="006720E4">
          <w:rPr>
            <w:rStyle w:val="Hyperlink"/>
            <w:rFonts w:ascii="Calibri" w:hAnsi="Calibri" w:cs="Calibri"/>
            <w:sz w:val="22"/>
            <w:szCs w:val="22"/>
          </w:rPr>
          <w:t>.</w:t>
        </w:r>
      </w:hyperlink>
      <w:r w:rsidRPr="006720E4">
        <w:rPr>
          <w:rFonts w:ascii="Calibri" w:hAnsi="Calibri" w:cs="Calibri"/>
          <w:color w:val="000000" w:themeColor="text1"/>
          <w:sz w:val="22"/>
          <w:szCs w:val="22"/>
        </w:rPr>
        <w:t xml:space="preserve"> </w:t>
      </w:r>
    </w:p>
    <w:p w14:paraId="3BA2320A" w14:textId="0763FB3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addition, a </w:t>
      </w:r>
      <w:hyperlink w:anchor="_Glossary_2" w:history="1">
        <w:r w:rsidRPr="006720E4">
          <w:rPr>
            <w:rStyle w:val="Hyperlink"/>
            <w:rFonts w:ascii="Calibri" w:hAnsi="Calibri" w:cs="Calibri"/>
            <w:sz w:val="22"/>
            <w:szCs w:val="22"/>
          </w:rPr>
          <w:t>Glossary</w:t>
        </w:r>
      </w:hyperlink>
      <w:r w:rsidRPr="006720E4">
        <w:rPr>
          <w:rFonts w:ascii="Calibri" w:hAnsi="Calibri" w:cs="Calibri"/>
          <w:sz w:val="22"/>
          <w:szCs w:val="22"/>
        </w:rPr>
        <w:t xml:space="preserve"> comprises a list of key terms used in these Ethical Guidelines with brief explanations of their meaning, a </w:t>
      </w:r>
      <w:hyperlink w:anchor="_References" w:history="1">
        <w:r w:rsidRPr="009C2EF0">
          <w:rPr>
            <w:rStyle w:val="Hyperlink"/>
            <w:rFonts w:ascii="Calibri" w:hAnsi="Calibri" w:cs="Calibri"/>
            <w:sz w:val="22"/>
            <w:szCs w:val="22"/>
          </w:rPr>
          <w:t>Reference</w:t>
        </w:r>
      </w:hyperlink>
      <w:r w:rsidRPr="006720E4">
        <w:rPr>
          <w:rFonts w:ascii="Calibri" w:hAnsi="Calibri" w:cs="Calibri"/>
          <w:sz w:val="22"/>
          <w:szCs w:val="22"/>
        </w:rPr>
        <w:t xml:space="preserve"> list provides details of all the sources cited throughout the Guidelines, and an </w:t>
      </w:r>
      <w:hyperlink w:anchor="_Index" w:history="1">
        <w:r w:rsidRPr="009C2EF0">
          <w:rPr>
            <w:rStyle w:val="Hyperlink"/>
            <w:rFonts w:ascii="Calibri" w:hAnsi="Calibri" w:cs="Calibri"/>
            <w:sz w:val="22"/>
            <w:szCs w:val="22"/>
          </w:rPr>
          <w:t>Index</w:t>
        </w:r>
      </w:hyperlink>
      <w:r w:rsidRPr="006720E4">
        <w:rPr>
          <w:rFonts w:ascii="Calibri" w:hAnsi="Calibri" w:cs="Calibri"/>
          <w:sz w:val="22"/>
          <w:szCs w:val="22"/>
        </w:rPr>
        <w:t xml:space="preserve"> allows navigation to specific information. </w:t>
      </w:r>
    </w:p>
    <w:p w14:paraId="58667921" w14:textId="1C61746C" w:rsidR="006C6EBA" w:rsidRPr="006720E4" w:rsidRDefault="006C6EBA" w:rsidP="00EA22AE">
      <w:pPr>
        <w:pStyle w:val="Heading3"/>
        <w:spacing w:after="120"/>
      </w:pPr>
      <w:bookmarkStart w:id="255" w:name="_Using_the_guidelines"/>
      <w:bookmarkStart w:id="256" w:name="_Toc79406308"/>
      <w:bookmarkStart w:id="257" w:name="_Toc82773471"/>
      <w:bookmarkStart w:id="258" w:name="_Toc82773824"/>
      <w:bookmarkEnd w:id="255"/>
      <w:r w:rsidRPr="006720E4">
        <w:lastRenderedPageBreak/>
        <w:t>Using the guidelines</w:t>
      </w:r>
      <w:bookmarkEnd w:id="256"/>
      <w:bookmarkEnd w:id="257"/>
      <w:bookmarkEnd w:id="258"/>
      <w:r w:rsidRPr="006720E4">
        <w:t xml:space="preserve"> </w:t>
      </w:r>
    </w:p>
    <w:p w14:paraId="6E41DC79" w14:textId="6FA7C36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guidelines are designed for use in a range of ways according to the needs and preferences of individuals. Some may choose to read the entire text, such as health professionals seeking to become familiar with a broad range of ethical issues in donation and transplantation. Others may prefer to read specific chapters to deepen their understanding of specific aspects of ethical practice in donation and transplantation or specific issues. </w:t>
      </w:r>
    </w:p>
    <w:p w14:paraId="6FB406F7" w14:textId="10A4F35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Individuals with experience in donation and transplantation may simply refer to relevant ethical recommendations at the end of each chapter </w:t>
      </w:r>
      <w:r w:rsidR="00E62858" w:rsidRPr="006720E4">
        <w:rPr>
          <w:rFonts w:ascii="Calibri" w:hAnsi="Calibri" w:cs="Calibri"/>
          <w:sz w:val="22"/>
          <w:szCs w:val="22"/>
        </w:rPr>
        <w:t>w</w:t>
      </w:r>
      <w:r w:rsidRPr="006720E4">
        <w:rPr>
          <w:rFonts w:ascii="Calibri" w:hAnsi="Calibri" w:cs="Calibri"/>
          <w:sz w:val="22"/>
          <w:szCs w:val="22"/>
        </w:rPr>
        <w:t>hen needed, for example if they encounter an ethical dilemma that is rare or new to them. Consultation of the main text will help readers to understand the considerations underpinning specific ethical recommendations and thus assist them in interpreting and applying recommendations in the context of specific clinical situations.</w:t>
      </w:r>
    </w:p>
    <w:p w14:paraId="687C190E" w14:textId="778F770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cases included in the guidelines are intended to help readers to reflect on ethical considerations in the context of hypothetical scenarios. Reviewing relevant cases will assist readers in understanding the potential significance of specific ethical considerations or issues and allow them to practice applying their knowledge and understanding of the relevant ethical recommendations. Some analysis of the cases is provided to support learning and reflection.</w:t>
      </w:r>
    </w:p>
    <w:p w14:paraId="7BDA1A81"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many ethical considerations discussed in these guidelines are relevant in several chapters, hyperlinks are used to facilitate cross-referencing within the document. Readers can identify and access relevant sections of the guidelines by using </w:t>
      </w:r>
      <w:r w:rsidRPr="00B81031">
        <w:rPr>
          <w:rFonts w:ascii="Calibri" w:hAnsi="Calibri" w:cs="Calibri"/>
          <w:sz w:val="22"/>
          <w:szCs w:val="22"/>
        </w:rPr>
        <w:t xml:space="preserve">the </w:t>
      </w:r>
      <w:hyperlink w:anchor="_Table_of_contents_1" w:history="1">
        <w:r w:rsidRPr="00B81031">
          <w:rPr>
            <w:rStyle w:val="Hyperlink"/>
            <w:rFonts w:ascii="Calibri" w:hAnsi="Calibri" w:cs="Calibri"/>
            <w:sz w:val="22"/>
            <w:szCs w:val="22"/>
          </w:rPr>
          <w:t>Table of Contents</w:t>
        </w:r>
      </w:hyperlink>
      <w:r w:rsidRPr="00B81031">
        <w:rPr>
          <w:rFonts w:ascii="Calibri" w:hAnsi="Calibri" w:cs="Calibri"/>
          <w:sz w:val="22"/>
          <w:szCs w:val="22"/>
        </w:rPr>
        <w:t xml:space="preserve">, the </w:t>
      </w:r>
      <w:hyperlink w:anchor="_Index" w:history="1">
        <w:r w:rsidRPr="00B81031">
          <w:rPr>
            <w:rStyle w:val="Hyperlink"/>
            <w:rFonts w:ascii="Calibri" w:hAnsi="Calibri" w:cs="Calibri"/>
            <w:sz w:val="22"/>
            <w:szCs w:val="22"/>
          </w:rPr>
          <w:t>Ind</w:t>
        </w:r>
        <w:r w:rsidRPr="00B81031">
          <w:rPr>
            <w:rStyle w:val="Hyperlink"/>
            <w:rFonts w:ascii="Calibri" w:hAnsi="Calibri" w:cs="Calibri"/>
            <w:sz w:val="22"/>
            <w:szCs w:val="22"/>
          </w:rPr>
          <w:t>e</w:t>
        </w:r>
        <w:r w:rsidRPr="00B81031">
          <w:rPr>
            <w:rStyle w:val="Hyperlink"/>
            <w:rFonts w:ascii="Calibri" w:hAnsi="Calibri" w:cs="Calibri"/>
            <w:sz w:val="22"/>
            <w:szCs w:val="22"/>
          </w:rPr>
          <w:t>x</w:t>
        </w:r>
      </w:hyperlink>
      <w:r w:rsidRPr="00B81031">
        <w:rPr>
          <w:rFonts w:ascii="Calibri" w:hAnsi="Calibri" w:cs="Calibri"/>
          <w:sz w:val="22"/>
          <w:szCs w:val="22"/>
        </w:rPr>
        <w:t>,</w:t>
      </w:r>
      <w:r w:rsidRPr="006720E4">
        <w:rPr>
          <w:rFonts w:ascii="Calibri" w:hAnsi="Calibri" w:cs="Calibri"/>
          <w:sz w:val="22"/>
          <w:szCs w:val="22"/>
        </w:rPr>
        <w:t xml:space="preserve"> or by searching for specific words within the document.</w:t>
      </w:r>
    </w:p>
    <w:p w14:paraId="79407D2E" w14:textId="31A41F4D" w:rsidR="00E70D68" w:rsidRPr="006720E4" w:rsidRDefault="00E70D68" w:rsidP="00EA22AE">
      <w:pPr>
        <w:pStyle w:val="Heading3"/>
        <w:spacing w:after="120"/>
      </w:pPr>
      <w:bookmarkStart w:id="259" w:name="_Summary_of_Chapters"/>
      <w:bookmarkStart w:id="260" w:name="_Toc72615043"/>
      <w:bookmarkStart w:id="261" w:name="_Toc73129762"/>
      <w:bookmarkStart w:id="262" w:name="_Toc73301631"/>
      <w:bookmarkStart w:id="263" w:name="_Toc73302137"/>
      <w:bookmarkStart w:id="264" w:name="_Toc73303270"/>
      <w:bookmarkStart w:id="265" w:name="_Toc73303531"/>
      <w:bookmarkStart w:id="266" w:name="_Toc74080648"/>
      <w:bookmarkStart w:id="267" w:name="_Toc74080956"/>
      <w:bookmarkStart w:id="268" w:name="_Toc74081186"/>
      <w:bookmarkStart w:id="269" w:name="_Toc74081415"/>
      <w:bookmarkStart w:id="270" w:name="_Toc74170986"/>
      <w:bookmarkStart w:id="271" w:name="_Toc74172135"/>
      <w:bookmarkStart w:id="272" w:name="_Toc74172671"/>
      <w:bookmarkStart w:id="273" w:name="_Toc74238660"/>
      <w:bookmarkStart w:id="274" w:name="_Toc78304750"/>
      <w:bookmarkStart w:id="275" w:name="_Toc79330837"/>
      <w:bookmarkStart w:id="276" w:name="_Toc79331217"/>
      <w:bookmarkStart w:id="277" w:name="_Toc79406305"/>
      <w:bookmarkStart w:id="278" w:name="_Toc82773468"/>
      <w:bookmarkStart w:id="279" w:name="_Toc82773821"/>
      <w:bookmarkStart w:id="280" w:name="_Toc128314163"/>
      <w:bookmarkStart w:id="281" w:name="_Toc79406309"/>
      <w:bookmarkStart w:id="282" w:name="_Toc82773472"/>
      <w:bookmarkStart w:id="283" w:name="_Toc82773825"/>
      <w:bookmarkEnd w:id="259"/>
      <w:r w:rsidRPr="006720E4">
        <w:t>Limitations of the guidelines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11FA28D9" w14:textId="77777777" w:rsidR="00E70D68" w:rsidRPr="006720E4" w:rsidRDefault="00E70D68" w:rsidP="00EA22AE">
      <w:pPr>
        <w:pStyle w:val="BulletList"/>
        <w:numPr>
          <w:ilvl w:val="0"/>
          <w:numId w:val="0"/>
        </w:numPr>
        <w:spacing w:after="120"/>
        <w:contextualSpacing w:val="0"/>
        <w:rPr>
          <w:rFonts w:cs="Calibri"/>
        </w:rPr>
      </w:pPr>
      <w:r w:rsidRPr="006720E4">
        <w:rPr>
          <w:rFonts w:cs="Calibri"/>
        </w:rPr>
        <w:t>These guidelines provide explanations of key ethical concepts and principles of relevance to decision-making in donation and transplantation, and brief discussion of important ethical considerations of relevance to specific issues that may arise in the context of donation and transplantation activities in Australia. Readers are encouraged to use the guidelines to help inform their evaluation of potential issues or ethically complex situations they may encounter.</w:t>
      </w:r>
    </w:p>
    <w:p w14:paraId="50DB0FB0" w14:textId="223AD99B" w:rsidR="00E70D68" w:rsidRPr="006720E4" w:rsidRDefault="00E70D68" w:rsidP="00EA22AE">
      <w:pPr>
        <w:pStyle w:val="BulletList"/>
        <w:numPr>
          <w:ilvl w:val="0"/>
          <w:numId w:val="0"/>
        </w:numPr>
        <w:spacing w:after="120"/>
        <w:contextualSpacing w:val="0"/>
        <w:rPr>
          <w:rFonts w:cs="Calibri"/>
        </w:rPr>
      </w:pPr>
      <w:r w:rsidRPr="006720E4">
        <w:rPr>
          <w:rFonts w:cs="Calibri"/>
        </w:rPr>
        <w:t xml:space="preserve">Although some ethical recommendations are provided to assist in guiding decision-making in practice, this guidance does not provide definitive advice on specific actions that should be taken in any specific case. In clinical settings, decisions about the range of potential, clinically appropriate options for action and about the best course of action are the responsibility of health professionals providing care for patients. As </w:t>
      </w:r>
      <w:r w:rsidRPr="009C2EF0">
        <w:rPr>
          <w:rFonts w:cs="Calibri"/>
        </w:rPr>
        <w:t xml:space="preserve">discussed in </w:t>
      </w:r>
      <w:hyperlink w:anchor="_Ethical_decision-making_in" w:history="1">
        <w:r w:rsidR="009C2EF0" w:rsidRPr="009C2EF0">
          <w:rPr>
            <w:rStyle w:val="Hyperlink"/>
            <w:rFonts w:cs="Calibri"/>
            <w:szCs w:val="22"/>
          </w:rPr>
          <w:t>Chapter 3.4</w:t>
        </w:r>
      </w:hyperlink>
      <w:r w:rsidRPr="009C2EF0">
        <w:rPr>
          <w:rFonts w:cs="Calibri"/>
        </w:rPr>
        <w:t xml:space="preserve"> and </w:t>
      </w:r>
      <w:hyperlink w:anchor="_Decision-making_and_consent_2" w:history="1">
        <w:r w:rsidRPr="009C2EF0">
          <w:rPr>
            <w:rStyle w:val="Hyperlink"/>
            <w:rFonts w:cs="Calibri"/>
          </w:rPr>
          <w:t>Chapter 4</w:t>
        </w:r>
      </w:hyperlink>
      <w:r w:rsidRPr="009C2EF0">
        <w:rPr>
          <w:rFonts w:cs="Calibri"/>
        </w:rPr>
        <w:t>, ultimate</w:t>
      </w:r>
      <w:r w:rsidRPr="006720E4">
        <w:rPr>
          <w:rFonts w:cs="Calibri"/>
        </w:rPr>
        <w:t xml:space="preserve"> decisions regarding which course of action to pursue will depend on the values and preferences of the person(s) responsible for providing consent to treatment.  </w:t>
      </w:r>
    </w:p>
    <w:p w14:paraId="581D5B32" w14:textId="7EF5BB16" w:rsidR="00E70D68" w:rsidRPr="006720E4" w:rsidRDefault="00E70D68" w:rsidP="00EA22AE">
      <w:pPr>
        <w:pStyle w:val="BulletList"/>
        <w:numPr>
          <w:ilvl w:val="0"/>
          <w:numId w:val="0"/>
        </w:numPr>
        <w:spacing w:after="120"/>
        <w:contextualSpacing w:val="0"/>
        <w:rPr>
          <w:rFonts w:cs="Calibri"/>
        </w:rPr>
      </w:pPr>
      <w:r w:rsidRPr="006720E4">
        <w:rPr>
          <w:rFonts w:cs="Calibri"/>
        </w:rPr>
        <w:t xml:space="preserve">Ethical views and perspectives that are considered and recommendations that are included in these guidelines are not intended to represent the opinions or position of any contributor to these guidelines nor of any stakeholder. Several new and emerging issues are notably explored in these guidelines on which professional consensus may be lacking, or on which laws or regulations may be unclear or currently evolving. </w:t>
      </w:r>
    </w:p>
    <w:p w14:paraId="7937C0B2" w14:textId="03CC852A" w:rsidR="006C6EBA" w:rsidRPr="006720E4" w:rsidRDefault="006C6EBA" w:rsidP="00EA22AE">
      <w:pPr>
        <w:pStyle w:val="Heading3"/>
        <w:spacing w:after="120"/>
      </w:pPr>
      <w:r w:rsidRPr="006720E4">
        <w:t>Summary of Chapters and Appendices</w:t>
      </w:r>
      <w:bookmarkEnd w:id="281"/>
      <w:bookmarkEnd w:id="282"/>
      <w:bookmarkEnd w:id="283"/>
    </w:p>
    <w:p w14:paraId="6AE853FD" w14:textId="77777777" w:rsidR="006C6EBA" w:rsidRPr="006720E4" w:rsidRDefault="00000000" w:rsidP="00EA22AE">
      <w:pPr>
        <w:pStyle w:val="BulletList"/>
        <w:spacing w:after="120"/>
        <w:contextualSpacing w:val="0"/>
        <w:rPr>
          <w:rFonts w:cs="Calibri"/>
          <w:szCs w:val="22"/>
        </w:rPr>
      </w:pPr>
      <w:hyperlink w:anchor="_Introduction_1" w:history="1">
        <w:r w:rsidR="006C6EBA" w:rsidRPr="006720E4">
          <w:rPr>
            <w:rStyle w:val="Hyperlink"/>
            <w:rFonts w:cs="Calibri"/>
            <w:b/>
            <w:bCs/>
            <w:i/>
            <w:iCs/>
            <w:szCs w:val="22"/>
          </w:rPr>
          <w:t>Chapter 1</w:t>
        </w:r>
      </w:hyperlink>
      <w:r w:rsidR="006C6EBA" w:rsidRPr="006720E4">
        <w:rPr>
          <w:rFonts w:cs="Calibri"/>
          <w:i/>
          <w:iCs/>
          <w:szCs w:val="22"/>
        </w:rPr>
        <w:t xml:space="preserve"> </w:t>
      </w:r>
      <w:r w:rsidR="006C6EBA" w:rsidRPr="006720E4">
        <w:rPr>
          <w:rFonts w:cs="Calibri"/>
          <w:szCs w:val="22"/>
        </w:rPr>
        <w:t>provides an overview of the</w:t>
      </w:r>
      <w:r w:rsidR="006C6EBA" w:rsidRPr="006720E4">
        <w:rPr>
          <w:rFonts w:cs="Calibri"/>
          <w:i/>
          <w:iCs/>
          <w:szCs w:val="22"/>
        </w:rPr>
        <w:t xml:space="preserve"> </w:t>
      </w:r>
      <w:r w:rsidR="006C6EBA" w:rsidRPr="006720E4">
        <w:rPr>
          <w:rFonts w:cs="Calibri"/>
          <w:szCs w:val="22"/>
        </w:rPr>
        <w:t>guidelines and their intended use.</w:t>
      </w:r>
    </w:p>
    <w:p w14:paraId="6DEAFD54" w14:textId="17CF7A89" w:rsidR="006C6EBA" w:rsidRPr="006720E4" w:rsidRDefault="00000000" w:rsidP="00EA22AE">
      <w:pPr>
        <w:pStyle w:val="BulletList"/>
        <w:spacing w:after="120"/>
        <w:contextualSpacing w:val="0"/>
        <w:rPr>
          <w:rFonts w:cs="Calibri"/>
          <w:szCs w:val="22"/>
        </w:rPr>
      </w:pPr>
      <w:hyperlink w:anchor="_Overview_of_organ," w:history="1">
        <w:r w:rsidR="006C6EBA" w:rsidRPr="006720E4">
          <w:rPr>
            <w:rStyle w:val="Hyperlink"/>
            <w:rFonts w:cs="Calibri"/>
            <w:b/>
            <w:bCs/>
            <w:i/>
            <w:iCs/>
          </w:rPr>
          <w:t>Chapter 2</w:t>
        </w:r>
      </w:hyperlink>
      <w:r w:rsidR="006C6EBA" w:rsidRPr="006720E4">
        <w:rPr>
          <w:rFonts w:cs="Calibri"/>
        </w:rPr>
        <w:t xml:space="preserve"> </w:t>
      </w:r>
      <w:r w:rsidR="006C6EBA" w:rsidRPr="006720E4">
        <w:rPr>
          <w:rFonts w:cs="Calibri"/>
          <w:szCs w:val="22"/>
        </w:rPr>
        <w:t>describes the current system for cell, tissue and organ donation and transplantation in Australia and specific types of activities in donation and transplantation.</w:t>
      </w:r>
    </w:p>
    <w:p w14:paraId="6B05796C" w14:textId="10D7B81D" w:rsidR="006C6EBA" w:rsidRPr="006720E4" w:rsidRDefault="00000000" w:rsidP="00EA22AE">
      <w:pPr>
        <w:pStyle w:val="BulletList"/>
        <w:spacing w:after="120"/>
        <w:contextualSpacing w:val="0"/>
        <w:rPr>
          <w:rFonts w:cs="Calibri"/>
          <w:szCs w:val="22"/>
        </w:rPr>
      </w:pPr>
      <w:hyperlink w:anchor="_Ethical_foundations_of_2" w:history="1">
        <w:r w:rsidR="006C6EBA" w:rsidRPr="006720E4">
          <w:rPr>
            <w:rStyle w:val="Hyperlink"/>
            <w:rFonts w:cs="Calibri"/>
            <w:b/>
            <w:bCs/>
            <w:i/>
            <w:iCs/>
            <w:szCs w:val="22"/>
          </w:rPr>
          <w:t>Chapter 3</w:t>
        </w:r>
      </w:hyperlink>
      <w:r w:rsidR="006C6EBA" w:rsidRPr="006720E4">
        <w:rPr>
          <w:rFonts w:cs="Calibri"/>
        </w:rPr>
        <w:t xml:space="preserve"> </w:t>
      </w:r>
      <w:r w:rsidR="006C6EBA" w:rsidRPr="006720E4">
        <w:rPr>
          <w:rFonts w:cs="Calibri"/>
          <w:szCs w:val="22"/>
        </w:rPr>
        <w:t xml:space="preserve">outlines the ethical principles and values that underpin policy and practice in donation and transplantation in Australia and provides a brief overview of relevant </w:t>
      </w:r>
      <w:r w:rsidR="006C6EBA" w:rsidRPr="006720E4">
        <w:rPr>
          <w:rFonts w:cs="Calibri"/>
          <w:szCs w:val="22"/>
        </w:rPr>
        <w:lastRenderedPageBreak/>
        <w:t xml:space="preserve">legislation. It also outlines an approach to ethical decision-making and management of issues such as conflicts of interest and conscientious objection. </w:t>
      </w:r>
    </w:p>
    <w:p w14:paraId="4C101274" w14:textId="0A712B84" w:rsidR="006C6EBA" w:rsidRPr="006720E4" w:rsidRDefault="00000000" w:rsidP="00EA22AE">
      <w:pPr>
        <w:pStyle w:val="BulletList"/>
        <w:spacing w:after="120"/>
        <w:contextualSpacing w:val="0"/>
        <w:rPr>
          <w:rFonts w:cs="Calibri"/>
          <w:szCs w:val="22"/>
        </w:rPr>
      </w:pPr>
      <w:hyperlink w:anchor="_Decision-making_and_consent_1" w:history="1">
        <w:r w:rsidR="006C6EBA" w:rsidRPr="006720E4">
          <w:rPr>
            <w:rStyle w:val="Hyperlink"/>
            <w:rFonts w:cs="Calibri"/>
            <w:b/>
            <w:bCs/>
            <w:i/>
            <w:iCs/>
            <w:szCs w:val="22"/>
          </w:rPr>
          <w:t>Chapter 4</w:t>
        </w:r>
      </w:hyperlink>
      <w:r w:rsidR="006C6EBA" w:rsidRPr="006720E4">
        <w:rPr>
          <w:rFonts w:cs="Calibri"/>
        </w:rPr>
        <w:t xml:space="preserve"> </w:t>
      </w:r>
      <w:r w:rsidR="006C6EBA" w:rsidRPr="006720E4">
        <w:rPr>
          <w:rFonts w:cs="Calibri"/>
          <w:szCs w:val="22"/>
        </w:rPr>
        <w:t>explores ethical considerations in obtaining valid consent for donation and transplantation from adults and in decision-making about deceased donation.</w:t>
      </w:r>
    </w:p>
    <w:p w14:paraId="1FA0CD7A" w14:textId="6E97721B" w:rsidR="006C6EBA" w:rsidRPr="006720E4" w:rsidRDefault="00000000" w:rsidP="00EA22AE">
      <w:pPr>
        <w:pStyle w:val="BulletList"/>
        <w:spacing w:after="120"/>
        <w:contextualSpacing w:val="0"/>
        <w:rPr>
          <w:rFonts w:cs="Calibri"/>
          <w:szCs w:val="22"/>
        </w:rPr>
      </w:pPr>
      <w:hyperlink w:anchor="_Donation_and_transplantation_1" w:history="1">
        <w:r w:rsidR="006C6EBA" w:rsidRPr="006720E4">
          <w:rPr>
            <w:rStyle w:val="Hyperlink"/>
            <w:rFonts w:cs="Calibri"/>
            <w:b/>
            <w:bCs/>
            <w:i/>
            <w:iCs/>
            <w:szCs w:val="22"/>
          </w:rPr>
          <w:t>Chapter 5</w:t>
        </w:r>
      </w:hyperlink>
      <w:r w:rsidR="006C6EBA" w:rsidRPr="006720E4">
        <w:rPr>
          <w:rFonts w:cs="Calibri"/>
          <w:b/>
          <w:bCs/>
          <w:i/>
          <w:iCs/>
          <w:szCs w:val="22"/>
        </w:rPr>
        <w:t xml:space="preserve"> </w:t>
      </w:r>
      <w:r w:rsidR="006C6EBA" w:rsidRPr="006720E4">
        <w:rPr>
          <w:rFonts w:cs="Calibri"/>
          <w:szCs w:val="22"/>
        </w:rPr>
        <w:t xml:space="preserve">explores special ethical considerations in the context of donation and transplantation involving children or adults who lack </w:t>
      </w:r>
      <w:hyperlink w:anchor="_Glossary_2" w:history="1">
        <w:r w:rsidR="006C6EBA" w:rsidRPr="006720E4">
          <w:rPr>
            <w:rStyle w:val="Hyperlink"/>
            <w:rFonts w:cs="Calibri"/>
            <w:szCs w:val="22"/>
          </w:rPr>
          <w:t>decision-making capacity</w:t>
        </w:r>
      </w:hyperlink>
      <w:r w:rsidR="006C6EBA" w:rsidRPr="006720E4">
        <w:rPr>
          <w:rFonts w:cs="Calibri"/>
          <w:szCs w:val="22"/>
        </w:rPr>
        <w:t xml:space="preserve">. </w:t>
      </w:r>
    </w:p>
    <w:p w14:paraId="76F772EB" w14:textId="7BE20B92" w:rsidR="006C6EBA" w:rsidRPr="006720E4" w:rsidRDefault="00000000" w:rsidP="00EA22AE">
      <w:pPr>
        <w:pStyle w:val="BulletList"/>
        <w:spacing w:after="120"/>
        <w:contextualSpacing w:val="0"/>
        <w:rPr>
          <w:rFonts w:cs="Calibri"/>
          <w:szCs w:val="22"/>
        </w:rPr>
      </w:pPr>
      <w:hyperlink w:anchor="_Risks_and_benefits_1" w:history="1">
        <w:r w:rsidR="006C6EBA" w:rsidRPr="006720E4">
          <w:rPr>
            <w:rStyle w:val="Hyperlink"/>
            <w:rFonts w:cs="Calibri"/>
            <w:b/>
            <w:bCs/>
            <w:i/>
            <w:iCs/>
            <w:szCs w:val="22"/>
          </w:rPr>
          <w:t>Chapter 6</w:t>
        </w:r>
      </w:hyperlink>
      <w:r w:rsidR="006C6EBA" w:rsidRPr="006720E4">
        <w:rPr>
          <w:rFonts w:cs="Calibri"/>
          <w:b/>
          <w:bCs/>
          <w:i/>
          <w:iCs/>
          <w:szCs w:val="22"/>
        </w:rPr>
        <w:t xml:space="preserve"> </w:t>
      </w:r>
      <w:r w:rsidR="006C6EBA" w:rsidRPr="006720E4">
        <w:rPr>
          <w:rFonts w:cs="Calibri"/>
          <w:szCs w:val="22"/>
        </w:rPr>
        <w:t>discusses ethical considerations with regards to evaluation of risks and benefits in the context of donation and transplantation and how such evaluations guide decision-making about donation and transplantation.</w:t>
      </w:r>
    </w:p>
    <w:p w14:paraId="0E00AB05" w14:textId="38A84A4E" w:rsidR="006C6EBA" w:rsidRPr="006720E4" w:rsidRDefault="00000000" w:rsidP="00EA22AE">
      <w:pPr>
        <w:pStyle w:val="BulletList"/>
        <w:spacing w:after="120"/>
        <w:contextualSpacing w:val="0"/>
        <w:rPr>
          <w:rFonts w:cs="Calibri"/>
          <w:szCs w:val="22"/>
        </w:rPr>
      </w:pPr>
      <w:hyperlink w:anchor="_Privacy_and_confidentiality_1" w:history="1">
        <w:r w:rsidR="006C6EBA" w:rsidRPr="006720E4">
          <w:rPr>
            <w:rStyle w:val="Hyperlink"/>
            <w:rFonts w:cs="Calibri"/>
            <w:b/>
            <w:bCs/>
            <w:i/>
            <w:iCs/>
            <w:szCs w:val="22"/>
          </w:rPr>
          <w:t>Chapter 7</w:t>
        </w:r>
      </w:hyperlink>
      <w:r w:rsidR="006C6EBA" w:rsidRPr="006720E4">
        <w:rPr>
          <w:rFonts w:cs="Calibri"/>
          <w:szCs w:val="22"/>
        </w:rPr>
        <w:t xml:space="preserve"> provides information about key considerations with regards to respect for privacy and confidentiality in donation and transplantation activities, including anonymity requirements in </w:t>
      </w:r>
      <w:hyperlink w:anchor="_Glossary_2" w:history="1">
        <w:r w:rsidR="006C6EBA" w:rsidRPr="006720E4">
          <w:rPr>
            <w:rStyle w:val="Hyperlink"/>
            <w:rFonts w:cs="Calibri"/>
            <w:szCs w:val="22"/>
          </w:rPr>
          <w:t>non-directed donation</w:t>
        </w:r>
      </w:hyperlink>
      <w:r w:rsidR="006C6EBA" w:rsidRPr="006720E4">
        <w:rPr>
          <w:rFonts w:cs="Calibri"/>
          <w:szCs w:val="22"/>
        </w:rPr>
        <w:t xml:space="preserve">, and ethical management of </w:t>
      </w:r>
      <w:hyperlink w:anchor="_Glossary_2" w:history="1">
        <w:r w:rsidR="006C6EBA" w:rsidRPr="009727F1">
          <w:rPr>
            <w:rStyle w:val="Hyperlink"/>
            <w:rFonts w:cs="Calibri"/>
            <w:szCs w:val="22"/>
          </w:rPr>
          <w:t>registries</w:t>
        </w:r>
      </w:hyperlink>
      <w:r w:rsidR="006C6EBA" w:rsidRPr="006720E4">
        <w:rPr>
          <w:rFonts w:cs="Calibri"/>
          <w:szCs w:val="22"/>
        </w:rPr>
        <w:t xml:space="preserve"> and of misattributed genetic relationships revealed during donor evaluation.</w:t>
      </w:r>
    </w:p>
    <w:p w14:paraId="4AAD85DB" w14:textId="298D8FAA" w:rsidR="006C6EBA" w:rsidRPr="006720E4" w:rsidRDefault="00000000" w:rsidP="00EA22AE">
      <w:pPr>
        <w:pStyle w:val="BulletList"/>
        <w:spacing w:after="120"/>
        <w:contextualSpacing w:val="0"/>
        <w:rPr>
          <w:rFonts w:cs="Calibri"/>
          <w:szCs w:val="22"/>
        </w:rPr>
      </w:pPr>
      <w:hyperlink w:anchor="_Equity_in_opportunities" w:history="1">
        <w:r w:rsidR="006C6EBA" w:rsidRPr="006720E4">
          <w:rPr>
            <w:rStyle w:val="Hyperlink"/>
            <w:rFonts w:cs="Calibri"/>
            <w:b/>
            <w:bCs/>
            <w:i/>
            <w:iCs/>
            <w:szCs w:val="22"/>
          </w:rPr>
          <w:t>Chapter 8</w:t>
        </w:r>
      </w:hyperlink>
      <w:r w:rsidR="006C6EBA" w:rsidRPr="006720E4">
        <w:rPr>
          <w:rFonts w:cs="Calibri"/>
          <w:i/>
          <w:iCs/>
          <w:szCs w:val="22"/>
        </w:rPr>
        <w:t xml:space="preserve"> </w:t>
      </w:r>
      <w:r w:rsidR="006C6EBA" w:rsidRPr="006720E4">
        <w:rPr>
          <w:rFonts w:cs="Calibri"/>
          <w:szCs w:val="22"/>
        </w:rPr>
        <w:t>examines ethical concerns relating to equity in access to the benefits of donation and transplantation and in the distribution of burdens and risks that may be associated with donation and transplantation.</w:t>
      </w:r>
    </w:p>
    <w:p w14:paraId="7DF4EE62" w14:textId="42C836D0" w:rsidR="006C6EBA" w:rsidRPr="006720E4" w:rsidRDefault="00000000" w:rsidP="00EA22AE">
      <w:pPr>
        <w:pStyle w:val="BulletList"/>
        <w:spacing w:after="120"/>
        <w:contextualSpacing w:val="0"/>
        <w:rPr>
          <w:rFonts w:cs="Calibri"/>
          <w:szCs w:val="22"/>
        </w:rPr>
      </w:pPr>
      <w:hyperlink w:anchor="_Commodification_of_organs" w:history="1">
        <w:r w:rsidR="006C6EBA" w:rsidRPr="006720E4">
          <w:rPr>
            <w:rStyle w:val="Hyperlink"/>
            <w:rFonts w:cs="Calibri"/>
            <w:b/>
            <w:bCs/>
            <w:i/>
            <w:iCs/>
            <w:szCs w:val="22"/>
          </w:rPr>
          <w:t>Chapter 9</w:t>
        </w:r>
      </w:hyperlink>
      <w:r w:rsidR="006C6EBA" w:rsidRPr="006720E4">
        <w:rPr>
          <w:rFonts w:cs="Calibri"/>
          <w:b/>
          <w:bCs/>
          <w:i/>
          <w:iCs/>
          <w:szCs w:val="22"/>
        </w:rPr>
        <w:t xml:space="preserve"> </w:t>
      </w:r>
      <w:r w:rsidR="006C6EBA" w:rsidRPr="006720E4">
        <w:rPr>
          <w:rFonts w:cs="Calibri"/>
          <w:szCs w:val="22"/>
        </w:rPr>
        <w:t xml:space="preserve">discusses the concept of </w:t>
      </w:r>
      <w:hyperlink w:anchor="_Glossary_2" w:history="1">
        <w:r w:rsidR="006C6EBA" w:rsidRPr="006720E4">
          <w:rPr>
            <w:rStyle w:val="Hyperlink"/>
            <w:rFonts w:cs="Calibri"/>
            <w:szCs w:val="22"/>
          </w:rPr>
          <w:t>self-sufficiency</w:t>
        </w:r>
      </w:hyperlink>
      <w:r w:rsidR="006C6EBA" w:rsidRPr="006720E4">
        <w:rPr>
          <w:rFonts w:cs="Calibri"/>
          <w:szCs w:val="22"/>
        </w:rPr>
        <w:t xml:space="preserve"> in organ and tissue donation and transplantation, as well as ethical considerations with regards to import or export of cells, tissues and organs and international travel for transplantation.    </w:t>
      </w:r>
    </w:p>
    <w:p w14:paraId="386A1EE9" w14:textId="2A48C528" w:rsidR="006C6EBA" w:rsidRPr="006720E4" w:rsidRDefault="00000000" w:rsidP="00EA22AE">
      <w:pPr>
        <w:pStyle w:val="BulletList"/>
        <w:spacing w:after="120"/>
        <w:contextualSpacing w:val="0"/>
        <w:rPr>
          <w:rFonts w:cs="Calibri"/>
          <w:szCs w:val="22"/>
        </w:rPr>
      </w:pPr>
      <w:hyperlink w:anchor="_Commodification_of_cells,_1" w:history="1">
        <w:r w:rsidR="006C6EBA" w:rsidRPr="006720E4">
          <w:rPr>
            <w:rStyle w:val="Hyperlink"/>
            <w:rFonts w:cs="Calibri"/>
            <w:b/>
            <w:bCs/>
            <w:i/>
            <w:iCs/>
            <w:szCs w:val="22"/>
          </w:rPr>
          <w:t>Chapter 10</w:t>
        </w:r>
      </w:hyperlink>
      <w:r w:rsidR="006C6EBA" w:rsidRPr="006720E4">
        <w:rPr>
          <w:rFonts w:cs="Calibri"/>
          <w:i/>
          <w:iCs/>
          <w:szCs w:val="22"/>
        </w:rPr>
        <w:t xml:space="preserve"> </w:t>
      </w:r>
      <w:r w:rsidR="006C6EBA" w:rsidRPr="006720E4">
        <w:rPr>
          <w:rFonts w:cs="Calibri"/>
          <w:szCs w:val="22"/>
        </w:rPr>
        <w:t xml:space="preserve">explores ethical concerns relating to </w:t>
      </w:r>
      <w:hyperlink w:anchor="_Glossary_2" w:history="1">
        <w:r w:rsidR="006C6EBA" w:rsidRPr="006720E4">
          <w:rPr>
            <w:rStyle w:val="Hyperlink"/>
            <w:rFonts w:cs="Calibri"/>
            <w:szCs w:val="22"/>
          </w:rPr>
          <w:t>commodification</w:t>
        </w:r>
      </w:hyperlink>
      <w:r w:rsidR="006C6EBA" w:rsidRPr="006720E4">
        <w:rPr>
          <w:rFonts w:cs="Calibri"/>
          <w:szCs w:val="22"/>
        </w:rPr>
        <w:t xml:space="preserve"> of human cells, tissues, and organs, such as use of financial incentives for donation, generation of profits, and trafficking in organs and tissues for transplantation. </w:t>
      </w:r>
    </w:p>
    <w:p w14:paraId="5A30AD7B" w14:textId="0810E3B6" w:rsidR="006C6EBA" w:rsidRPr="006720E4" w:rsidRDefault="00000000" w:rsidP="00EA22AE">
      <w:pPr>
        <w:pStyle w:val="BulletList"/>
        <w:spacing w:after="120"/>
        <w:contextualSpacing w:val="0"/>
        <w:rPr>
          <w:rFonts w:cs="Calibri"/>
          <w:szCs w:val="22"/>
        </w:rPr>
      </w:pPr>
      <w:hyperlink w:anchor="_Ethical_issues_in" w:history="1">
        <w:r w:rsidR="006C6EBA" w:rsidRPr="006720E4">
          <w:rPr>
            <w:rStyle w:val="Hyperlink"/>
            <w:rFonts w:cs="Calibri"/>
            <w:b/>
            <w:bCs/>
            <w:i/>
            <w:iCs/>
            <w:szCs w:val="22"/>
          </w:rPr>
          <w:t>Chapter 11</w:t>
        </w:r>
      </w:hyperlink>
      <w:r w:rsidR="006C6EBA" w:rsidRPr="006720E4">
        <w:rPr>
          <w:rFonts w:cs="Calibri"/>
          <w:i/>
          <w:iCs/>
          <w:szCs w:val="22"/>
        </w:rPr>
        <w:t xml:space="preserve"> </w:t>
      </w:r>
      <w:r w:rsidR="006C6EBA" w:rsidRPr="006720E4">
        <w:rPr>
          <w:rFonts w:cs="Calibri"/>
          <w:szCs w:val="22"/>
        </w:rPr>
        <w:t xml:space="preserve">examines a number of ethical issues that may arise in the context of deceased donation, including concerns relating to the determination of death and potential conflicts of interest in decision-making about end-of-life care, use of </w:t>
      </w:r>
      <w:hyperlink w:anchor="_Glossary_2" w:history="1">
        <w:r w:rsidR="006C6EBA" w:rsidRPr="006720E4">
          <w:rPr>
            <w:rStyle w:val="Hyperlink"/>
            <w:rFonts w:cs="Calibri"/>
            <w:szCs w:val="22"/>
          </w:rPr>
          <w:t>pre-mortem interventions</w:t>
        </w:r>
      </w:hyperlink>
      <w:r w:rsidR="006C6EBA" w:rsidRPr="006720E4">
        <w:rPr>
          <w:rFonts w:cs="Calibri"/>
          <w:szCs w:val="22"/>
        </w:rPr>
        <w:t xml:space="preserve"> to preserve opportunities for donation of tissues and organs, and donation following </w:t>
      </w:r>
      <w:hyperlink w:anchor="_Glossary_2" w:history="1">
        <w:r w:rsidR="006C6EBA" w:rsidRPr="006720E4">
          <w:rPr>
            <w:rStyle w:val="Hyperlink"/>
            <w:rFonts w:cs="Calibri"/>
            <w:szCs w:val="22"/>
          </w:rPr>
          <w:t>voluntary assisted dying</w:t>
        </w:r>
      </w:hyperlink>
      <w:r w:rsidR="006C6EBA" w:rsidRPr="006720E4">
        <w:rPr>
          <w:rFonts w:cs="Calibri"/>
          <w:szCs w:val="22"/>
        </w:rPr>
        <w:t xml:space="preserve"> or a conscious person’s decision to cease life sustaining treatment.  </w:t>
      </w:r>
    </w:p>
    <w:p w14:paraId="187C238C" w14:textId="3A0E131F" w:rsidR="006C6EBA" w:rsidRPr="006720E4" w:rsidRDefault="00000000" w:rsidP="00EA22AE">
      <w:pPr>
        <w:pStyle w:val="BulletList"/>
        <w:spacing w:after="120"/>
        <w:contextualSpacing w:val="0"/>
        <w:rPr>
          <w:rFonts w:cs="Calibri"/>
          <w:szCs w:val="22"/>
        </w:rPr>
      </w:pPr>
      <w:hyperlink w:anchor="_Miscellaneous_issues_in_1" w:history="1">
        <w:r w:rsidR="006C6EBA" w:rsidRPr="006720E4">
          <w:rPr>
            <w:rStyle w:val="Hyperlink"/>
            <w:rFonts w:cs="Calibri"/>
            <w:b/>
            <w:bCs/>
            <w:i/>
            <w:iCs/>
            <w:szCs w:val="22"/>
          </w:rPr>
          <w:t>Chapter 12</w:t>
        </w:r>
      </w:hyperlink>
      <w:r w:rsidR="006C6EBA" w:rsidRPr="006720E4">
        <w:rPr>
          <w:rFonts w:cs="Calibri"/>
          <w:i/>
          <w:iCs/>
          <w:szCs w:val="22"/>
        </w:rPr>
        <w:t xml:space="preserve"> </w:t>
      </w:r>
      <w:r w:rsidR="006C6EBA" w:rsidRPr="006720E4">
        <w:rPr>
          <w:rFonts w:cs="Calibri"/>
          <w:szCs w:val="22"/>
        </w:rPr>
        <w:t xml:space="preserve">examines several ethical issues that may arise in the context of donation and transplantation, including public solicitation of living organ donors, restricted or conditional non-directed donation, umbilical cord blood donation, and ethical considerations relating to innovative research in deceased donation and transplantation.  </w:t>
      </w:r>
    </w:p>
    <w:p w14:paraId="757EBCE2" w14:textId="77777777" w:rsidR="009C2EF0" w:rsidRPr="006720E4" w:rsidRDefault="00000000" w:rsidP="00EA22AE">
      <w:pPr>
        <w:pStyle w:val="BulletList"/>
        <w:spacing w:after="120"/>
        <w:contextualSpacing w:val="0"/>
        <w:rPr>
          <w:rFonts w:cs="Calibri"/>
          <w:szCs w:val="22"/>
        </w:rPr>
      </w:pPr>
      <w:hyperlink w:anchor="_Appendix_3_–" w:history="1">
        <w:r w:rsidR="009C2EF0" w:rsidRPr="009727F1">
          <w:rPr>
            <w:rStyle w:val="Hyperlink"/>
            <w:rFonts w:cs="Calibri"/>
            <w:b/>
            <w:bCs/>
            <w:szCs w:val="22"/>
          </w:rPr>
          <w:t>Appendix 1</w:t>
        </w:r>
      </w:hyperlink>
      <w:r w:rsidR="009C2EF0" w:rsidRPr="006720E4">
        <w:rPr>
          <w:rFonts w:cs="Calibri"/>
          <w:b/>
          <w:bCs/>
        </w:rPr>
        <w:t xml:space="preserve"> </w:t>
      </w:r>
      <w:r w:rsidR="009C2EF0" w:rsidRPr="006720E4">
        <w:rPr>
          <w:rFonts w:cs="Calibri"/>
        </w:rPr>
        <w:t>provides a summary of recommended readings and resources for each of the chapters in these Guidelines.</w:t>
      </w:r>
    </w:p>
    <w:p w14:paraId="6D6C7FDB" w14:textId="4460A8B7" w:rsidR="006C6EBA" w:rsidRPr="006720E4" w:rsidRDefault="00000000" w:rsidP="00EA22AE">
      <w:pPr>
        <w:pStyle w:val="BulletList"/>
        <w:spacing w:after="120"/>
        <w:contextualSpacing w:val="0"/>
        <w:rPr>
          <w:rFonts w:cs="Calibri"/>
          <w:szCs w:val="22"/>
        </w:rPr>
      </w:pPr>
      <w:hyperlink w:anchor="_Appendix_4_–_1" w:history="1">
        <w:r w:rsidR="006C6EBA" w:rsidRPr="009727F1">
          <w:rPr>
            <w:rStyle w:val="Hyperlink"/>
            <w:rFonts w:cs="Calibri"/>
            <w:b/>
            <w:bCs/>
            <w:i/>
            <w:iCs/>
            <w:szCs w:val="22"/>
          </w:rPr>
          <w:t>Appendix 2</w:t>
        </w:r>
      </w:hyperlink>
      <w:r w:rsidR="006C6EBA" w:rsidRPr="009727F1">
        <w:rPr>
          <w:rStyle w:val="Hyperlink"/>
          <w:rFonts w:cs="Calibri"/>
          <w:szCs w:val="22"/>
        </w:rPr>
        <w:t xml:space="preserve"> </w:t>
      </w:r>
      <w:r w:rsidR="006C6EBA" w:rsidRPr="009727F1">
        <w:rPr>
          <w:rFonts w:cs="Calibri"/>
        </w:rPr>
        <w:t>outlines the</w:t>
      </w:r>
      <w:r w:rsidR="006C6EBA" w:rsidRPr="006720E4">
        <w:rPr>
          <w:rFonts w:cs="Calibri"/>
        </w:rPr>
        <w:t xml:space="preserve"> process by which these guidelines were developed and identifies the various individuals and organi</w:t>
      </w:r>
      <w:r w:rsidR="000208BF">
        <w:rPr>
          <w:rFonts w:cs="Calibri"/>
        </w:rPr>
        <w:t>s</w:t>
      </w:r>
      <w:r w:rsidR="006C6EBA" w:rsidRPr="006720E4">
        <w:rPr>
          <w:rFonts w:cs="Calibri"/>
        </w:rPr>
        <w:t>ations that have contributed to them.</w:t>
      </w:r>
    </w:p>
    <w:p w14:paraId="2147D8C2" w14:textId="77777777" w:rsidR="00E70D68" w:rsidRPr="006720E4" w:rsidRDefault="00E70D68" w:rsidP="00EA22AE">
      <w:pPr>
        <w:pStyle w:val="BulletList"/>
        <w:numPr>
          <w:ilvl w:val="0"/>
          <w:numId w:val="0"/>
        </w:numPr>
        <w:spacing w:after="120"/>
        <w:ind w:left="720" w:hanging="360"/>
        <w:contextualSpacing w:val="0"/>
        <w:rPr>
          <w:rFonts w:cs="Calibri"/>
        </w:rPr>
      </w:pPr>
    </w:p>
    <w:p w14:paraId="384861BD" w14:textId="77777777" w:rsidR="00E70D68" w:rsidRPr="006720E4" w:rsidRDefault="00E70D68" w:rsidP="00EA22AE">
      <w:pPr>
        <w:pStyle w:val="BulletList"/>
        <w:numPr>
          <w:ilvl w:val="0"/>
          <w:numId w:val="0"/>
        </w:numPr>
        <w:spacing w:after="120"/>
        <w:ind w:left="720"/>
        <w:contextualSpacing w:val="0"/>
        <w:rPr>
          <w:rFonts w:cs="Calibri"/>
          <w:szCs w:val="22"/>
        </w:rPr>
      </w:pPr>
    </w:p>
    <w:p w14:paraId="0D4908B2" w14:textId="77777777" w:rsidR="006C6EBA" w:rsidRPr="006720E4" w:rsidRDefault="006C6EBA" w:rsidP="00EA22AE">
      <w:pPr>
        <w:spacing w:after="120"/>
        <w:rPr>
          <w:rFonts w:ascii="Calibri" w:hAnsi="Calibri" w:cs="Calibri"/>
          <w:b/>
          <w:bCs/>
          <w:color w:val="4472C4" w:themeColor="accent1"/>
          <w:sz w:val="32"/>
          <w:szCs w:val="32"/>
          <w:u w:val="single"/>
        </w:rPr>
      </w:pPr>
      <w:bookmarkStart w:id="284" w:name="_Overview_of_organ"/>
      <w:bookmarkStart w:id="285" w:name="_Ethical_foundations_of"/>
      <w:bookmarkStart w:id="286" w:name="_Toc70241706"/>
      <w:bookmarkStart w:id="287" w:name="_Toc70243340"/>
      <w:bookmarkStart w:id="288" w:name="_Toc70328718"/>
      <w:bookmarkStart w:id="289" w:name="_Toc70333948"/>
      <w:bookmarkStart w:id="290" w:name="_Toc70414785"/>
      <w:bookmarkStart w:id="291" w:name="_Toc70844114"/>
      <w:bookmarkStart w:id="292" w:name="_Toc70858976"/>
      <w:bookmarkStart w:id="293" w:name="_Toc70861077"/>
      <w:bookmarkStart w:id="294" w:name="_Toc70876561"/>
      <w:bookmarkStart w:id="295" w:name="_Toc72615046"/>
      <w:bookmarkStart w:id="296" w:name="_Toc73129765"/>
      <w:bookmarkStart w:id="297" w:name="_Toc73301634"/>
      <w:bookmarkStart w:id="298" w:name="_Toc73302140"/>
      <w:bookmarkStart w:id="299" w:name="_Toc73303273"/>
      <w:bookmarkStart w:id="300" w:name="_Toc73303534"/>
      <w:bookmarkStart w:id="301" w:name="_Toc74080651"/>
      <w:bookmarkStart w:id="302" w:name="_Toc74080959"/>
      <w:bookmarkStart w:id="303" w:name="_Toc74081189"/>
      <w:bookmarkStart w:id="304" w:name="_Toc74081418"/>
      <w:bookmarkStart w:id="305" w:name="_Toc74171020"/>
      <w:bookmarkStart w:id="306" w:name="_Toc74172195"/>
      <w:bookmarkStart w:id="307" w:name="_Toc74172731"/>
      <w:bookmarkStart w:id="308" w:name="_Toc74238694"/>
      <w:bookmarkStart w:id="309" w:name="_Toc78304752"/>
      <w:bookmarkEnd w:id="284"/>
      <w:bookmarkEnd w:id="285"/>
    </w:p>
    <w:p w14:paraId="45DF4E22" w14:textId="77777777" w:rsidR="006C6EBA" w:rsidRPr="006720E4" w:rsidRDefault="006C6EBA" w:rsidP="00EA22AE">
      <w:pPr>
        <w:spacing w:after="120"/>
        <w:rPr>
          <w:rFonts w:ascii="Calibri" w:hAnsi="Calibri" w:cs="Calibri"/>
          <w:b/>
          <w:bCs/>
          <w:color w:val="4472C4" w:themeColor="accent1"/>
          <w:sz w:val="32"/>
          <w:szCs w:val="32"/>
          <w:u w:val="single"/>
        </w:rPr>
      </w:pPr>
      <w:r w:rsidRPr="006720E4">
        <w:rPr>
          <w:rFonts w:ascii="Calibri" w:hAnsi="Calibri" w:cs="Calibri"/>
        </w:rPr>
        <w:br w:type="page"/>
      </w:r>
    </w:p>
    <w:p w14:paraId="22C55468" w14:textId="278EF515" w:rsidR="006C6EBA" w:rsidRPr="006720E4" w:rsidRDefault="006C6EBA" w:rsidP="00EA22AE">
      <w:pPr>
        <w:pStyle w:val="Heading1"/>
      </w:pPr>
      <w:bookmarkStart w:id="310" w:name="_Ethical_foundations_of_1"/>
      <w:bookmarkStart w:id="311" w:name="_Overview_of_organ,"/>
      <w:bookmarkStart w:id="312" w:name="_Overview_of_cell,"/>
      <w:bookmarkStart w:id="313" w:name="_Toc128314166"/>
      <w:bookmarkStart w:id="314" w:name="_Toc135131421"/>
      <w:bookmarkStart w:id="315" w:name="_Toc79330840"/>
      <w:bookmarkStart w:id="316" w:name="_Toc79331220"/>
      <w:bookmarkStart w:id="317" w:name="_Toc79406310"/>
      <w:bookmarkStart w:id="318" w:name="_Toc82773473"/>
      <w:bookmarkStart w:id="319" w:name="_Toc82773826"/>
      <w:bookmarkEnd w:id="310"/>
      <w:bookmarkEnd w:id="311"/>
      <w:bookmarkEnd w:id="312"/>
      <w:r w:rsidRPr="006720E4">
        <w:lastRenderedPageBreak/>
        <w:t xml:space="preserve">Overview of </w:t>
      </w:r>
      <w:r w:rsidR="000E6095">
        <w:t>cell</w:t>
      </w:r>
      <w:r w:rsidRPr="006720E4">
        <w:t xml:space="preserve">, tissue, and </w:t>
      </w:r>
      <w:r w:rsidR="000E6095">
        <w:t>organ</w:t>
      </w:r>
      <w:r w:rsidRPr="006720E4">
        <w:t xml:space="preserve"> donation and transplantation in Australia</w:t>
      </w:r>
      <w:bookmarkEnd w:id="313"/>
      <w:bookmarkEnd w:id="314"/>
    </w:p>
    <w:p w14:paraId="47C7C729" w14:textId="77777777" w:rsidR="000E6095" w:rsidRDefault="000E6095" w:rsidP="00EA22AE">
      <w:pPr>
        <w:spacing w:after="120"/>
        <w:rPr>
          <w:rFonts w:ascii="Calibri" w:hAnsi="Calibri" w:cs="Calibri"/>
          <w:sz w:val="22"/>
          <w:szCs w:val="22"/>
        </w:rPr>
      </w:pPr>
      <w:bookmarkStart w:id="320" w:name="_Toc128314180"/>
      <w:bookmarkStart w:id="321" w:name="_Toc128314188"/>
      <w:bookmarkEnd w:id="320"/>
      <w:bookmarkEnd w:id="321"/>
      <w:r>
        <w:rPr>
          <w:rFonts w:ascii="Calibri" w:hAnsi="Calibri" w:cs="Calibri"/>
          <w:sz w:val="22"/>
          <w:szCs w:val="22"/>
        </w:rPr>
        <w:t>C</w:t>
      </w:r>
      <w:r w:rsidR="006C6EBA" w:rsidRPr="006720E4">
        <w:rPr>
          <w:rFonts w:ascii="Calibri" w:hAnsi="Calibri" w:cs="Calibri"/>
          <w:sz w:val="22"/>
          <w:szCs w:val="22"/>
        </w:rPr>
        <w:t>ell</w:t>
      </w:r>
      <w:r>
        <w:rPr>
          <w:rFonts w:ascii="Calibri" w:hAnsi="Calibri" w:cs="Calibri"/>
          <w:sz w:val="22"/>
          <w:szCs w:val="22"/>
        </w:rPr>
        <w:t>, tissue and organ</w:t>
      </w:r>
      <w:r w:rsidR="006C6EBA" w:rsidRPr="006720E4">
        <w:rPr>
          <w:rFonts w:ascii="Calibri" w:hAnsi="Calibri" w:cs="Calibri"/>
          <w:sz w:val="22"/>
          <w:szCs w:val="22"/>
        </w:rPr>
        <w:t xml:space="preserve"> </w:t>
      </w:r>
      <w:r>
        <w:rPr>
          <w:rFonts w:ascii="Calibri" w:hAnsi="Calibri" w:cs="Calibri"/>
          <w:sz w:val="22"/>
          <w:szCs w:val="22"/>
        </w:rPr>
        <w:t xml:space="preserve">donation and </w:t>
      </w:r>
      <w:r w:rsidR="006C6EBA" w:rsidRPr="006720E4">
        <w:rPr>
          <w:rFonts w:ascii="Calibri" w:hAnsi="Calibri" w:cs="Calibri"/>
          <w:sz w:val="22"/>
          <w:szCs w:val="22"/>
        </w:rPr>
        <w:t xml:space="preserve">transplantation </w:t>
      </w:r>
      <w:r>
        <w:rPr>
          <w:rFonts w:ascii="Calibri" w:hAnsi="Calibri" w:cs="Calibri"/>
          <w:sz w:val="22"/>
          <w:szCs w:val="22"/>
        </w:rPr>
        <w:t>are</w:t>
      </w:r>
      <w:r w:rsidR="006C6EBA" w:rsidRPr="006720E4">
        <w:rPr>
          <w:rFonts w:ascii="Calibri" w:hAnsi="Calibri" w:cs="Calibri"/>
          <w:sz w:val="22"/>
          <w:szCs w:val="22"/>
        </w:rPr>
        <w:t xml:space="preserve"> made possible in Australia through State and Territory legislation and clinical guidelines which provide a governance framework and guidance for many important practices and procedures. </w:t>
      </w:r>
    </w:p>
    <w:p w14:paraId="0743DC65" w14:textId="37433047" w:rsidR="006C6EBA" w:rsidRPr="006720E4" w:rsidRDefault="006C6EBA" w:rsidP="00EA22AE">
      <w:pPr>
        <w:spacing w:after="120"/>
        <w:rPr>
          <w:rFonts w:ascii="Calibri" w:hAnsi="Calibri" w:cs="Calibri"/>
          <w:sz w:val="22"/>
          <w:szCs w:val="22"/>
        </w:rPr>
      </w:pPr>
      <w:r w:rsidRPr="006720E4">
        <w:rPr>
          <w:rFonts w:ascii="Calibri" w:hAnsi="Calibri" w:cs="Calibri"/>
          <w:bCs/>
          <w:sz w:val="22"/>
          <w:szCs w:val="22"/>
        </w:rPr>
        <w:t xml:space="preserve">Many </w:t>
      </w:r>
      <w:r w:rsidRPr="006720E4">
        <w:rPr>
          <w:rFonts w:ascii="Calibri" w:hAnsi="Calibri" w:cs="Calibri"/>
          <w:sz w:val="22"/>
          <w:szCs w:val="22"/>
        </w:rPr>
        <w:t xml:space="preserve">organisations and individuals play vital roles in supporting Australia’s donation and transplantation systems. Conducting </w:t>
      </w:r>
      <w:r w:rsidR="000E6095">
        <w:rPr>
          <w:rFonts w:ascii="Calibri" w:hAnsi="Calibri" w:cs="Calibri"/>
          <w:sz w:val="22"/>
          <w:szCs w:val="22"/>
        </w:rPr>
        <w:t>cell</w:t>
      </w:r>
      <w:r w:rsidRPr="006720E4">
        <w:rPr>
          <w:rFonts w:ascii="Calibri" w:hAnsi="Calibri" w:cs="Calibri"/>
          <w:sz w:val="22"/>
          <w:szCs w:val="22"/>
        </w:rPr>
        <w:t xml:space="preserve">, tissue, and </w:t>
      </w:r>
      <w:r w:rsidR="000E6095">
        <w:rPr>
          <w:rFonts w:ascii="Calibri" w:hAnsi="Calibri" w:cs="Calibri"/>
          <w:sz w:val="22"/>
          <w:szCs w:val="22"/>
        </w:rPr>
        <w:t>organ</w:t>
      </w:r>
      <w:r w:rsidRPr="006720E4">
        <w:rPr>
          <w:rFonts w:ascii="Calibri" w:hAnsi="Calibri" w:cs="Calibri"/>
          <w:sz w:val="22"/>
          <w:szCs w:val="22"/>
        </w:rPr>
        <w:t xml:space="preserve"> donation for transplantation in a safe, ethical, and medically appropriate way is the collective responsibility of government, professional organisations and the community. </w:t>
      </w:r>
    </w:p>
    <w:p w14:paraId="516AD486" w14:textId="3ABCBDE1" w:rsidR="006C6EBA" w:rsidRPr="006720E4" w:rsidRDefault="006C6EBA" w:rsidP="00EA22AE">
      <w:pPr>
        <w:pStyle w:val="Heading2"/>
        <w:spacing w:after="120"/>
      </w:pPr>
      <w:bookmarkStart w:id="322" w:name="_Toc135131422"/>
      <w:r w:rsidRPr="006720E4">
        <w:t xml:space="preserve">Types of </w:t>
      </w:r>
      <w:r w:rsidR="000E6095">
        <w:t>cell</w:t>
      </w:r>
      <w:r w:rsidRPr="006720E4">
        <w:t xml:space="preserve">, tissue, and </w:t>
      </w:r>
      <w:r w:rsidR="000E6095">
        <w:t>organ</w:t>
      </w:r>
      <w:r w:rsidRPr="006720E4">
        <w:t xml:space="preserve"> transplantation</w:t>
      </w:r>
      <w:bookmarkEnd w:id="322"/>
      <w:r w:rsidRPr="006720E4">
        <w:t xml:space="preserve">  </w:t>
      </w:r>
    </w:p>
    <w:p w14:paraId="51798060" w14:textId="77777777" w:rsidR="000E6095" w:rsidRPr="006720E4" w:rsidRDefault="000E6095" w:rsidP="00EA22AE">
      <w:pPr>
        <w:pStyle w:val="Heading3"/>
        <w:spacing w:after="120"/>
      </w:pPr>
      <w:bookmarkStart w:id="323" w:name="_Cells_for_transplantation"/>
      <w:bookmarkEnd w:id="323"/>
      <w:r w:rsidRPr="006720E4">
        <w:t xml:space="preserve">Cells for transplantation </w:t>
      </w:r>
    </w:p>
    <w:p w14:paraId="3D3EBE10" w14:textId="123C0B25" w:rsidR="000E6095" w:rsidRDefault="000E6095" w:rsidP="00EA22AE">
      <w:pPr>
        <w:spacing w:after="120"/>
        <w:rPr>
          <w:rFonts w:ascii="Calibri" w:hAnsi="Calibri" w:cs="Calibri"/>
          <w:color w:val="000000"/>
          <w:sz w:val="22"/>
          <w:szCs w:val="22"/>
          <w:lang w:eastAsia="en-AU"/>
        </w:rPr>
      </w:pPr>
      <w:r w:rsidRPr="006720E4">
        <w:rPr>
          <w:rFonts w:ascii="Calibri" w:hAnsi="Calibri" w:cs="Calibri"/>
          <w:sz w:val="22"/>
          <w:szCs w:val="22"/>
        </w:rPr>
        <w:t>Blood or marrow stem cells</w:t>
      </w:r>
      <w:r w:rsidR="00331FC8">
        <w:rPr>
          <w:rFonts w:ascii="Calibri" w:hAnsi="Calibri" w:cs="Calibri"/>
          <w:sz w:val="22"/>
          <w:szCs w:val="22"/>
        </w:rPr>
        <w:t xml:space="preserve"> – known as </w:t>
      </w:r>
      <w:hyperlink w:anchor="_Glossary_2" w:history="1">
        <w:r w:rsidR="00331FC8" w:rsidRPr="00331FC8">
          <w:rPr>
            <w:rStyle w:val="Hyperlink"/>
            <w:rFonts w:ascii="Calibri" w:hAnsi="Calibri" w:cs="Calibri"/>
            <w:sz w:val="22"/>
            <w:szCs w:val="22"/>
          </w:rPr>
          <w:t>haematopoietic stem cells</w:t>
        </w:r>
      </w:hyperlink>
      <w:r w:rsidR="00331FC8">
        <w:rPr>
          <w:rFonts w:ascii="Calibri" w:hAnsi="Calibri" w:cs="Calibri"/>
          <w:sz w:val="22"/>
          <w:szCs w:val="22"/>
        </w:rPr>
        <w:t xml:space="preserve"> - are</w:t>
      </w:r>
      <w:r w:rsidRPr="006720E4">
        <w:rPr>
          <w:rFonts w:ascii="Calibri" w:hAnsi="Calibri" w:cs="Calibri"/>
          <w:sz w:val="22"/>
          <w:szCs w:val="22"/>
        </w:rPr>
        <w:t xml:space="preserve"> donated </w:t>
      </w:r>
      <w:r w:rsidR="00331FC8">
        <w:rPr>
          <w:rFonts w:ascii="Calibri" w:hAnsi="Calibri" w:cs="Calibri"/>
          <w:sz w:val="22"/>
          <w:szCs w:val="22"/>
        </w:rPr>
        <w:t>by</w:t>
      </w:r>
      <w:r w:rsidRPr="006720E4">
        <w:rPr>
          <w:rFonts w:ascii="Calibri" w:hAnsi="Calibri" w:cs="Calibri"/>
          <w:sz w:val="22"/>
          <w:szCs w:val="22"/>
        </w:rPr>
        <w:t xml:space="preserve"> living donors are used for treatment of a </w:t>
      </w:r>
      <w:r w:rsidRPr="006720E4">
        <w:rPr>
          <w:rFonts w:ascii="Calibri" w:hAnsi="Calibri" w:cs="Calibri"/>
          <w:color w:val="000000"/>
          <w:sz w:val="22"/>
          <w:szCs w:val="22"/>
          <w:lang w:eastAsia="en-AU"/>
        </w:rPr>
        <w:t xml:space="preserve">variety of blood disorders and other diseases, including blood cancers such as leukaemia and lymphoma. </w:t>
      </w:r>
      <w:hyperlink w:anchor="_Glossary_2" w:history="1">
        <w:r w:rsidRPr="000E6095">
          <w:rPr>
            <w:rStyle w:val="Hyperlink"/>
            <w:rFonts w:ascii="Calibri" w:hAnsi="Calibri" w:cs="Calibri"/>
            <w:sz w:val="22"/>
            <w:szCs w:val="22"/>
            <w:lang w:eastAsia="en-AU"/>
          </w:rPr>
          <w:t>Human leucocyte antigen</w:t>
        </w:r>
      </w:hyperlink>
      <w:r w:rsidRPr="006720E4">
        <w:rPr>
          <w:rFonts w:ascii="Calibri" w:hAnsi="Calibri" w:cs="Calibri"/>
          <w:color w:val="000000"/>
          <w:sz w:val="22"/>
          <w:szCs w:val="22"/>
          <w:lang w:eastAsia="en-AU"/>
        </w:rPr>
        <w:t xml:space="preserve"> (HLA) matching between the donor and the intended recipient is ideally complete although degrees of mismatch are acceptable in certain circumstances. Many Australian recipients will find a suitable donor within their family, the majority finding matching donors within volunteer donor registries in Australia or around the world.</w:t>
      </w:r>
    </w:p>
    <w:p w14:paraId="2B0E47D3" w14:textId="77777777" w:rsidR="000E6095" w:rsidRPr="006720E4" w:rsidRDefault="000E6095" w:rsidP="00EA22AE">
      <w:pPr>
        <w:spacing w:after="120"/>
        <w:rPr>
          <w:rFonts w:ascii="Calibri" w:hAnsi="Calibri" w:cs="Calibri"/>
          <w:color w:val="000000"/>
          <w:lang w:eastAsia="en-AU"/>
        </w:rPr>
      </w:pPr>
    </w:p>
    <w:p w14:paraId="069128FA" w14:textId="7462DA0D" w:rsidR="008B53B2" w:rsidRPr="00692B2F" w:rsidRDefault="000E6095" w:rsidP="00EA22AE">
      <w:pPr>
        <w:spacing w:after="120"/>
        <w:rPr>
          <w:rFonts w:ascii="Calibri" w:hAnsi="Calibri" w:cs="Calibri"/>
          <w:b/>
          <w:bCs/>
          <w:sz w:val="22"/>
          <w:szCs w:val="22"/>
        </w:rPr>
      </w:pPr>
      <w:r w:rsidRPr="00692B2F">
        <w:rPr>
          <w:rFonts w:ascii="Calibri" w:hAnsi="Calibri" w:cs="Calibri"/>
          <w:b/>
          <w:bCs/>
          <w:sz w:val="22"/>
          <w:szCs w:val="22"/>
          <w:u w:val="single"/>
        </w:rPr>
        <w:t xml:space="preserve"> </w:t>
      </w:r>
      <w:r w:rsidRPr="00692B2F">
        <w:rPr>
          <w:rFonts w:ascii="Calibri" w:hAnsi="Calibri" w:cs="Calibri"/>
          <w:b/>
          <w:bCs/>
          <w:sz w:val="22"/>
          <w:szCs w:val="22"/>
        </w:rPr>
        <w:t xml:space="preserve">Table 2.1: Types of cells for transplantation and conditions leading to transplant </w:t>
      </w:r>
    </w:p>
    <w:tbl>
      <w:tblPr>
        <w:tblStyle w:val="TableGrid"/>
        <w:tblW w:w="9351" w:type="dxa"/>
        <w:tblLook w:val="04A0" w:firstRow="1" w:lastRow="0" w:firstColumn="1" w:lastColumn="0" w:noHBand="0" w:noVBand="1"/>
      </w:tblPr>
      <w:tblGrid>
        <w:gridCol w:w="1980"/>
        <w:gridCol w:w="7371"/>
      </w:tblGrid>
      <w:tr w:rsidR="000E6095" w:rsidRPr="006720E4" w14:paraId="7599C2BC" w14:textId="77777777">
        <w:tc>
          <w:tcPr>
            <w:tcW w:w="1980" w:type="dxa"/>
          </w:tcPr>
          <w:p w14:paraId="660886D2" w14:textId="77777777" w:rsidR="000E6095" w:rsidRPr="006720E4" w:rsidRDefault="000E6095" w:rsidP="00EA22AE">
            <w:pPr>
              <w:spacing w:after="120"/>
              <w:rPr>
                <w:rFonts w:ascii="Calibri" w:hAnsi="Calibri" w:cs="Calibri"/>
                <w:b/>
                <w:bCs/>
                <w:sz w:val="22"/>
                <w:szCs w:val="22"/>
              </w:rPr>
            </w:pPr>
            <w:r w:rsidRPr="006720E4">
              <w:rPr>
                <w:rFonts w:ascii="Calibri" w:hAnsi="Calibri" w:cs="Calibri"/>
                <w:b/>
                <w:bCs/>
                <w:sz w:val="22"/>
                <w:szCs w:val="22"/>
              </w:rPr>
              <w:t xml:space="preserve">Cell type and source </w:t>
            </w:r>
          </w:p>
        </w:tc>
        <w:tc>
          <w:tcPr>
            <w:tcW w:w="7371" w:type="dxa"/>
          </w:tcPr>
          <w:p w14:paraId="702925BD" w14:textId="77777777" w:rsidR="000E6095" w:rsidRPr="006720E4" w:rsidRDefault="000E6095" w:rsidP="00EA22AE">
            <w:pPr>
              <w:spacing w:after="120"/>
              <w:rPr>
                <w:rFonts w:ascii="Calibri" w:hAnsi="Calibri" w:cs="Calibri"/>
                <w:b/>
                <w:bCs/>
                <w:sz w:val="22"/>
                <w:szCs w:val="22"/>
              </w:rPr>
            </w:pPr>
            <w:r w:rsidRPr="006720E4">
              <w:rPr>
                <w:rFonts w:ascii="Calibri" w:hAnsi="Calibri" w:cs="Calibri"/>
                <w:b/>
                <w:bCs/>
                <w:sz w:val="22"/>
                <w:szCs w:val="22"/>
              </w:rPr>
              <w:t xml:space="preserve">Typical conditions leading to transplant </w:t>
            </w:r>
          </w:p>
        </w:tc>
      </w:tr>
      <w:tr w:rsidR="000E6095" w:rsidRPr="006720E4" w14:paraId="2B10F936" w14:textId="77777777">
        <w:tc>
          <w:tcPr>
            <w:tcW w:w="1980" w:type="dxa"/>
          </w:tcPr>
          <w:p w14:paraId="26D0A8E6" w14:textId="77777777" w:rsidR="000E6095" w:rsidRPr="006720E4" w:rsidRDefault="000E6095" w:rsidP="00C3783C">
            <w:pPr>
              <w:pStyle w:val="ListParagraph"/>
              <w:numPr>
                <w:ilvl w:val="0"/>
                <w:numId w:val="121"/>
              </w:numPr>
              <w:spacing w:after="120"/>
              <w:ind w:left="164" w:hanging="142"/>
              <w:contextualSpacing w:val="0"/>
              <w:rPr>
                <w:rFonts w:cs="Calibri"/>
                <w:szCs w:val="22"/>
              </w:rPr>
            </w:pPr>
            <w:r w:rsidRPr="006720E4">
              <w:rPr>
                <w:rFonts w:cs="Calibri"/>
                <w:szCs w:val="22"/>
              </w:rPr>
              <w:t xml:space="preserve">Umbilical cord blood </w:t>
            </w:r>
          </w:p>
          <w:p w14:paraId="2DEC4A1C" w14:textId="77777777" w:rsidR="000E6095" w:rsidRPr="006720E4" w:rsidRDefault="000E6095" w:rsidP="00C3783C">
            <w:pPr>
              <w:pStyle w:val="ListParagraph"/>
              <w:numPr>
                <w:ilvl w:val="0"/>
                <w:numId w:val="121"/>
              </w:numPr>
              <w:spacing w:after="120"/>
              <w:ind w:left="164" w:hanging="142"/>
              <w:contextualSpacing w:val="0"/>
              <w:rPr>
                <w:rFonts w:cs="Calibri"/>
                <w:szCs w:val="22"/>
              </w:rPr>
            </w:pPr>
            <w:r w:rsidRPr="006720E4">
              <w:rPr>
                <w:rFonts w:cs="Calibri"/>
                <w:szCs w:val="22"/>
              </w:rPr>
              <w:t>Bone marrow</w:t>
            </w:r>
          </w:p>
          <w:p w14:paraId="5CE3E3BF" w14:textId="77777777" w:rsidR="000E6095" w:rsidRPr="006720E4" w:rsidRDefault="000E6095" w:rsidP="00C3783C">
            <w:pPr>
              <w:pStyle w:val="ListParagraph"/>
              <w:numPr>
                <w:ilvl w:val="0"/>
                <w:numId w:val="121"/>
              </w:numPr>
              <w:spacing w:after="120"/>
              <w:ind w:left="164" w:hanging="142"/>
              <w:contextualSpacing w:val="0"/>
              <w:rPr>
                <w:rFonts w:cs="Calibri"/>
                <w:szCs w:val="22"/>
              </w:rPr>
            </w:pPr>
            <w:r w:rsidRPr="006720E4">
              <w:rPr>
                <w:rFonts w:cs="Calibri"/>
                <w:szCs w:val="22"/>
              </w:rPr>
              <w:t xml:space="preserve">Peripheral blood stem cells </w:t>
            </w:r>
          </w:p>
        </w:tc>
        <w:tc>
          <w:tcPr>
            <w:tcW w:w="7371" w:type="dxa"/>
          </w:tcPr>
          <w:p w14:paraId="2DA4EC7B"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Blood or marrow stem cell transplants are potentially curative treatments for patients with a variety of blood and bone marrow diseases and syndromes. This includes blood cancers such as leukaemia and lymphoma, bone marrow failure syndrome (when the bone marrow doesn’t produce the cells it should), blood disorders such as the haemoglobinopathies sickle cell anaemia or thalassemia, immunodeficiencies when the immune system doesn’t work properly or inherited metabolic disorders. </w:t>
            </w:r>
          </w:p>
        </w:tc>
      </w:tr>
    </w:tbl>
    <w:p w14:paraId="45354DE1" w14:textId="77777777" w:rsidR="000E6095" w:rsidRPr="006720E4" w:rsidRDefault="000E6095" w:rsidP="00EA22AE">
      <w:pPr>
        <w:spacing w:after="120"/>
        <w:rPr>
          <w:rFonts w:ascii="Calibri" w:hAnsi="Calibri" w:cs="Calibri"/>
        </w:rPr>
      </w:pPr>
    </w:p>
    <w:p w14:paraId="31F12214" w14:textId="77777777" w:rsidR="000E6095" w:rsidRPr="000E6095" w:rsidRDefault="000E6095"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 xml:space="preserve">More information about HSC donation and transplantation is available here: </w:t>
      </w:r>
      <w:hyperlink r:id="rId12" w:history="1">
        <w:r w:rsidRPr="007E1B57">
          <w:rPr>
            <w:rFonts w:ascii="Calibri" w:hAnsi="Calibri" w:cs="Calibri"/>
            <w:color w:val="0000FF"/>
            <w:kern w:val="0"/>
            <w:szCs w:val="22"/>
            <w:u w:val="single" w:color="0000FF"/>
            <w:lang w:val="en-GB"/>
          </w:rPr>
          <w:t>https://abmdr.org.au</w:t>
        </w:r>
      </w:hyperlink>
    </w:p>
    <w:p w14:paraId="3D1764A4" w14:textId="77777777" w:rsidR="000E6095" w:rsidRPr="006720E4" w:rsidRDefault="000E6095" w:rsidP="00EA22AE">
      <w:pPr>
        <w:pStyle w:val="Heading3"/>
        <w:spacing w:after="120"/>
      </w:pPr>
      <w:r w:rsidRPr="006720E4">
        <w:t>Tissues for transplantation</w:t>
      </w:r>
    </w:p>
    <w:p w14:paraId="457CBC8C" w14:textId="77777777" w:rsidR="000E6095" w:rsidRDefault="000E6095" w:rsidP="00EA22AE">
      <w:pPr>
        <w:spacing w:after="120"/>
        <w:rPr>
          <w:rFonts w:ascii="Calibri" w:hAnsi="Calibri" w:cs="Calibri"/>
          <w:sz w:val="22"/>
          <w:szCs w:val="22"/>
        </w:rPr>
      </w:pPr>
      <w:r w:rsidRPr="006720E4">
        <w:rPr>
          <w:rFonts w:ascii="Calibri" w:hAnsi="Calibri" w:cs="Calibri"/>
          <w:sz w:val="22"/>
          <w:szCs w:val="22"/>
        </w:rPr>
        <w:t xml:space="preserve">Tissues used for transplantation include eye tissue, bone, other musculoskeletal tissue, cardiovascular tissue such as heart valves and blood vessels, and skin. Many of these tissues can only be donated after death. The main exception is bone, where the major source is from living donors who donate bone removed as part of hip joint replacement surgery. </w:t>
      </w:r>
    </w:p>
    <w:p w14:paraId="4CB582AB" w14:textId="77777777" w:rsidR="008B53B2" w:rsidRPr="006720E4" w:rsidRDefault="008B53B2" w:rsidP="00EA22AE">
      <w:pPr>
        <w:spacing w:after="120"/>
        <w:rPr>
          <w:rFonts w:ascii="Calibri" w:hAnsi="Calibri" w:cs="Calibri"/>
          <w:sz w:val="22"/>
          <w:szCs w:val="22"/>
        </w:rPr>
      </w:pPr>
    </w:p>
    <w:p w14:paraId="69EBFB86" w14:textId="58DF2E0F" w:rsidR="008B53B2" w:rsidRPr="008B53B2" w:rsidRDefault="000E6095" w:rsidP="00EA22AE">
      <w:pPr>
        <w:spacing w:after="120"/>
        <w:rPr>
          <w:rFonts w:ascii="Calibri" w:hAnsi="Calibri" w:cs="Calibri"/>
          <w:b/>
          <w:bCs/>
          <w:sz w:val="22"/>
          <w:szCs w:val="22"/>
        </w:rPr>
      </w:pPr>
      <w:r w:rsidRPr="008B53B2">
        <w:rPr>
          <w:rFonts w:ascii="Calibri" w:hAnsi="Calibri" w:cs="Calibri"/>
          <w:b/>
          <w:bCs/>
          <w:sz w:val="22"/>
          <w:szCs w:val="22"/>
        </w:rPr>
        <w:t xml:space="preserve">Table 2.2 Types of tissue for transplantation and conditions leading to tissue transplants </w:t>
      </w:r>
    </w:p>
    <w:tbl>
      <w:tblPr>
        <w:tblStyle w:val="TableGrid"/>
        <w:tblW w:w="9351" w:type="dxa"/>
        <w:jc w:val="center"/>
        <w:tblLook w:val="04A0" w:firstRow="1" w:lastRow="0" w:firstColumn="1" w:lastColumn="0" w:noHBand="0" w:noVBand="1"/>
      </w:tblPr>
      <w:tblGrid>
        <w:gridCol w:w="1838"/>
        <w:gridCol w:w="7513"/>
      </w:tblGrid>
      <w:tr w:rsidR="000E6095" w:rsidRPr="006720E4" w14:paraId="49099511" w14:textId="77777777" w:rsidTr="008B53B2">
        <w:trPr>
          <w:jc w:val="center"/>
        </w:trPr>
        <w:tc>
          <w:tcPr>
            <w:tcW w:w="1838" w:type="dxa"/>
          </w:tcPr>
          <w:p w14:paraId="658885FE" w14:textId="77777777" w:rsidR="000E6095" w:rsidRPr="006720E4" w:rsidRDefault="000E6095" w:rsidP="00EA22AE">
            <w:pPr>
              <w:spacing w:after="120"/>
              <w:rPr>
                <w:rFonts w:ascii="Calibri" w:hAnsi="Calibri" w:cs="Calibri"/>
                <w:b/>
                <w:bCs/>
                <w:sz w:val="22"/>
                <w:szCs w:val="22"/>
              </w:rPr>
            </w:pPr>
            <w:r w:rsidRPr="006720E4">
              <w:rPr>
                <w:rFonts w:ascii="Calibri" w:hAnsi="Calibri" w:cs="Calibri"/>
                <w:b/>
                <w:bCs/>
                <w:sz w:val="22"/>
                <w:szCs w:val="22"/>
              </w:rPr>
              <w:t>Tissue type and source</w:t>
            </w:r>
          </w:p>
        </w:tc>
        <w:tc>
          <w:tcPr>
            <w:tcW w:w="7513" w:type="dxa"/>
          </w:tcPr>
          <w:p w14:paraId="41893D83" w14:textId="77777777" w:rsidR="000E6095" w:rsidRPr="006720E4" w:rsidRDefault="000E6095" w:rsidP="00EA22AE">
            <w:pPr>
              <w:spacing w:after="120"/>
              <w:rPr>
                <w:rFonts w:ascii="Calibri" w:hAnsi="Calibri" w:cs="Calibri"/>
                <w:b/>
                <w:bCs/>
                <w:sz w:val="22"/>
                <w:szCs w:val="22"/>
              </w:rPr>
            </w:pPr>
            <w:r w:rsidRPr="006720E4">
              <w:rPr>
                <w:rFonts w:ascii="Calibri" w:hAnsi="Calibri" w:cs="Calibri"/>
                <w:b/>
                <w:bCs/>
                <w:sz w:val="22"/>
                <w:szCs w:val="22"/>
              </w:rPr>
              <w:t xml:space="preserve">Typical conditions leading to need for tissue transplant </w:t>
            </w:r>
          </w:p>
        </w:tc>
      </w:tr>
      <w:tr w:rsidR="000E6095" w:rsidRPr="006720E4" w14:paraId="684F57DB" w14:textId="77777777" w:rsidTr="008B53B2">
        <w:trPr>
          <w:jc w:val="center"/>
        </w:trPr>
        <w:tc>
          <w:tcPr>
            <w:tcW w:w="1838" w:type="dxa"/>
          </w:tcPr>
          <w:p w14:paraId="0FA89C26" w14:textId="56B94308"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lastRenderedPageBreak/>
              <w:t>Eye tissue e</w:t>
            </w:r>
            <w:r>
              <w:rPr>
                <w:rFonts w:ascii="Calibri" w:hAnsi="Calibri" w:cs="Calibri"/>
                <w:sz w:val="22"/>
                <w:szCs w:val="22"/>
              </w:rPr>
              <w:t>.</w:t>
            </w:r>
            <w:r w:rsidRPr="006720E4">
              <w:rPr>
                <w:rFonts w:ascii="Calibri" w:hAnsi="Calibri" w:cs="Calibri"/>
                <w:sz w:val="22"/>
                <w:szCs w:val="22"/>
              </w:rPr>
              <w:t>g. cornea,</w:t>
            </w:r>
            <w:r>
              <w:rPr>
                <w:rFonts w:ascii="Calibri" w:hAnsi="Calibri" w:cs="Calibri"/>
                <w:sz w:val="22"/>
                <w:szCs w:val="22"/>
              </w:rPr>
              <w:t xml:space="preserve"> </w:t>
            </w:r>
            <w:r w:rsidRPr="006720E4">
              <w:rPr>
                <w:rFonts w:ascii="Calibri" w:hAnsi="Calibri" w:cs="Calibri"/>
                <w:sz w:val="22"/>
                <w:szCs w:val="22"/>
              </w:rPr>
              <w:t xml:space="preserve">sclera  (from deceased donors) </w:t>
            </w:r>
          </w:p>
        </w:tc>
        <w:tc>
          <w:tcPr>
            <w:tcW w:w="7513" w:type="dxa"/>
          </w:tcPr>
          <w:p w14:paraId="527B11A7"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Corneal transplants restore vision in people who have a damaged cornea. This damage can occur through infection, injury or diseases like keratoconus and Fuchs dystrophy. </w:t>
            </w:r>
          </w:p>
          <w:p w14:paraId="5661282E"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Scleral tissue can be used for surgical reconstruction or patch grafts to the eye and operations to treat glaucoma</w:t>
            </w:r>
          </w:p>
        </w:tc>
      </w:tr>
      <w:tr w:rsidR="000E6095" w:rsidRPr="006720E4" w14:paraId="79B1F90C" w14:textId="77777777" w:rsidTr="008B53B2">
        <w:trPr>
          <w:jc w:val="center"/>
        </w:trPr>
        <w:tc>
          <w:tcPr>
            <w:tcW w:w="1838" w:type="dxa"/>
          </w:tcPr>
          <w:p w14:paraId="46EA6305"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Heart valves, pericardium, blood vessels (majority from deceased donors) </w:t>
            </w:r>
          </w:p>
        </w:tc>
        <w:tc>
          <w:tcPr>
            <w:tcW w:w="7513" w:type="dxa"/>
          </w:tcPr>
          <w:p w14:paraId="28E59753"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Heart valves and pericardium are used in children born with heart defects and in adults with diseased heart valves. </w:t>
            </w:r>
          </w:p>
          <w:p w14:paraId="0AEB2332"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Blood vessels may be used to bridge vascular gaps or patch damaged vascular segments (aneurysms or strictures). Pericardium patches can be used to repair congenital paediatric heart defects. </w:t>
            </w:r>
          </w:p>
        </w:tc>
      </w:tr>
      <w:tr w:rsidR="000E6095" w:rsidRPr="006720E4" w14:paraId="75DE6314" w14:textId="77777777" w:rsidTr="008B53B2">
        <w:trPr>
          <w:jc w:val="center"/>
        </w:trPr>
        <w:tc>
          <w:tcPr>
            <w:tcW w:w="1838" w:type="dxa"/>
          </w:tcPr>
          <w:p w14:paraId="3BAC30EE"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Skin (from deceased donors) </w:t>
            </w:r>
          </w:p>
        </w:tc>
        <w:tc>
          <w:tcPr>
            <w:tcW w:w="7513" w:type="dxa"/>
          </w:tcPr>
          <w:p w14:paraId="57DDDFC5"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Skin grafts are mainly used as a critical lifesaving substitute to lost skin in extensive burns. Also can be used for chronic and acute wound dressings.</w:t>
            </w:r>
          </w:p>
        </w:tc>
      </w:tr>
      <w:tr w:rsidR="000E6095" w:rsidRPr="006720E4" w14:paraId="3F6B59B0" w14:textId="77777777" w:rsidTr="008B53B2">
        <w:trPr>
          <w:jc w:val="center"/>
        </w:trPr>
        <w:tc>
          <w:tcPr>
            <w:tcW w:w="1838" w:type="dxa"/>
          </w:tcPr>
          <w:p w14:paraId="6F8BE049"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Bone and other musculoskeletal tissue (living and deceased donors)</w:t>
            </w:r>
          </w:p>
        </w:tc>
        <w:tc>
          <w:tcPr>
            <w:tcW w:w="7513" w:type="dxa"/>
          </w:tcPr>
          <w:p w14:paraId="6428519E"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Bone grafts can be limb saving and restore function when used to replace bone that has been lost because of cancer or trauma. Can be used to heal fractures, strengthen hip and knee joint replacements, repair curvatures of the spine (scoliosis) and in dental procedures. </w:t>
            </w:r>
          </w:p>
          <w:p w14:paraId="79D01966"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Tendons, ligaments and cartilage can be used to rebuild damaged joints </w:t>
            </w:r>
          </w:p>
        </w:tc>
      </w:tr>
      <w:tr w:rsidR="000E6095" w:rsidRPr="006720E4" w14:paraId="50AD5A4D" w14:textId="77777777" w:rsidTr="008B53B2">
        <w:trPr>
          <w:jc w:val="center"/>
        </w:trPr>
        <w:tc>
          <w:tcPr>
            <w:tcW w:w="1838" w:type="dxa"/>
          </w:tcPr>
          <w:p w14:paraId="145C83B1"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Amnion (from living donors) </w:t>
            </w:r>
          </w:p>
        </w:tc>
        <w:tc>
          <w:tcPr>
            <w:tcW w:w="7513" w:type="dxa"/>
          </w:tcPr>
          <w:p w14:paraId="3C34CD1B" w14:textId="77777777" w:rsidR="000E6095" w:rsidRPr="006720E4" w:rsidRDefault="000E6095" w:rsidP="00EA22AE">
            <w:pPr>
              <w:spacing w:after="120"/>
              <w:rPr>
                <w:rFonts w:ascii="Calibri" w:hAnsi="Calibri" w:cs="Calibri"/>
                <w:sz w:val="22"/>
                <w:szCs w:val="22"/>
              </w:rPr>
            </w:pPr>
            <w:r w:rsidRPr="006720E4">
              <w:rPr>
                <w:rFonts w:ascii="Calibri" w:hAnsi="Calibri" w:cs="Calibri"/>
                <w:sz w:val="22"/>
                <w:szCs w:val="22"/>
              </w:rPr>
              <w:t xml:space="preserve">The amnion component of the placenta donated at birth can be utilised to treat burns, wounds and for other purposed such as reconstructive surgery. </w:t>
            </w:r>
          </w:p>
        </w:tc>
      </w:tr>
    </w:tbl>
    <w:p w14:paraId="256E1F7B" w14:textId="1A805FD8" w:rsidR="000E6095" w:rsidRPr="006720E4" w:rsidRDefault="000E6095" w:rsidP="00EA22AE">
      <w:pPr>
        <w:spacing w:after="120"/>
        <w:rPr>
          <w:rFonts w:ascii="Calibri" w:hAnsi="Calibri" w:cs="Calibri"/>
          <w:sz w:val="22"/>
          <w:szCs w:val="22"/>
        </w:rPr>
      </w:pPr>
    </w:p>
    <w:p w14:paraId="49E9AAD3" w14:textId="1E277130" w:rsidR="000E6095" w:rsidRDefault="000E6095"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 xml:space="preserve">More information about eye tissue donation and transplantation is available here: </w:t>
      </w:r>
      <w:hyperlink r:id="rId13" w:anchor="Eye-Tissue-Transplant" w:history="1">
        <w:r w:rsidR="009875F7">
          <w:rPr>
            <w:rStyle w:val="Hyperlink"/>
          </w:rPr>
          <w:t>Donation and Transplantation - EBAANZ - Eye Bank Association of Australia &amp; New Zealand (EBAANZ) is the peak body for sight restoring tissue donation and transplantation within Australia and New Zealand</w:t>
        </w:r>
      </w:hyperlink>
    </w:p>
    <w:p w14:paraId="2E4C3844" w14:textId="68A2AAD7" w:rsidR="000E6095" w:rsidRPr="000E6095" w:rsidRDefault="000E6095"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 xml:space="preserve">More information about other types of tissue donation and transplantation is available here: </w:t>
      </w:r>
      <w:hyperlink r:id="rId14" w:history="1">
        <w:r w:rsidRPr="009006B0">
          <w:rPr>
            <w:rStyle w:val="Hyperlink"/>
            <w:rFonts w:cs="Calibri"/>
            <w:szCs w:val="22"/>
            <w:lang w:val="en-GB"/>
          </w:rPr>
          <w:t>https://www.donatelife.gov.au/all-about-donation/who-will-be-helped-my-donation</w:t>
        </w:r>
      </w:hyperlink>
      <w:r>
        <w:rPr>
          <w:rFonts w:ascii="Calibri" w:hAnsi="Calibri" w:cs="Calibri"/>
          <w:kern w:val="0"/>
          <w:szCs w:val="22"/>
          <w:u w:color="0000FF"/>
          <w:lang w:val="en-GB"/>
        </w:rPr>
        <w:t xml:space="preserve"> </w:t>
      </w:r>
    </w:p>
    <w:p w14:paraId="0A67FD9D" w14:textId="46686735" w:rsidR="006C6EBA" w:rsidRPr="006720E4" w:rsidRDefault="006C6EBA" w:rsidP="00EA22AE">
      <w:pPr>
        <w:pStyle w:val="Heading3"/>
        <w:spacing w:after="120"/>
        <w:rPr>
          <w:szCs w:val="26"/>
        </w:rPr>
      </w:pPr>
      <w:r w:rsidRPr="006720E4">
        <w:t xml:space="preserve">Organs for transplantation </w:t>
      </w:r>
    </w:p>
    <w:p w14:paraId="527916D9" w14:textId="3871B6B5" w:rsidR="006C6EBA" w:rsidRDefault="006C6EBA" w:rsidP="00EA22AE">
      <w:pPr>
        <w:spacing w:after="120"/>
        <w:rPr>
          <w:rFonts w:ascii="Calibri" w:hAnsi="Calibri" w:cs="Calibri"/>
          <w:sz w:val="22"/>
          <w:szCs w:val="22"/>
        </w:rPr>
      </w:pPr>
      <w:r w:rsidRPr="006720E4">
        <w:rPr>
          <w:rFonts w:ascii="Calibri" w:hAnsi="Calibri" w:cs="Calibri"/>
          <w:sz w:val="22"/>
          <w:szCs w:val="22"/>
        </w:rPr>
        <w:t>Organs that may be transplanted include the kidneys, heart, lungs, liver, pancreas, and small intestine</w:t>
      </w:r>
      <w:r w:rsidR="0078520A" w:rsidRPr="006720E4">
        <w:rPr>
          <w:rFonts w:ascii="Calibri" w:hAnsi="Calibri" w:cs="Calibri"/>
          <w:sz w:val="22"/>
          <w:szCs w:val="22"/>
        </w:rPr>
        <w:t xml:space="preserve"> (see </w:t>
      </w:r>
      <w:r w:rsidR="0078520A" w:rsidRPr="006720E4">
        <w:rPr>
          <w:rFonts w:ascii="Calibri" w:hAnsi="Calibri" w:cs="Calibri"/>
          <w:b/>
          <w:bCs/>
          <w:sz w:val="22"/>
          <w:szCs w:val="22"/>
        </w:rPr>
        <w:t>Table 2.</w:t>
      </w:r>
      <w:r w:rsidR="000E6095">
        <w:rPr>
          <w:rFonts w:ascii="Calibri" w:hAnsi="Calibri" w:cs="Calibri"/>
          <w:b/>
          <w:bCs/>
          <w:sz w:val="22"/>
          <w:szCs w:val="22"/>
        </w:rPr>
        <w:t>3</w:t>
      </w:r>
      <w:r w:rsidR="0078520A" w:rsidRPr="006720E4">
        <w:rPr>
          <w:rFonts w:ascii="Calibri" w:hAnsi="Calibri" w:cs="Calibri"/>
          <w:sz w:val="22"/>
          <w:szCs w:val="22"/>
        </w:rPr>
        <w:t>)</w:t>
      </w:r>
      <w:r w:rsidRPr="006720E4">
        <w:rPr>
          <w:rFonts w:ascii="Calibri" w:hAnsi="Calibri" w:cs="Calibri"/>
          <w:sz w:val="22"/>
          <w:szCs w:val="22"/>
        </w:rPr>
        <w:t>. Most organ transplantation is contingent on organs being donated after death, which is only feasible in limited circumstances. Living donation of some organs is also possible, most commonly the kidney.</w:t>
      </w:r>
    </w:p>
    <w:p w14:paraId="30188F6E" w14:textId="77777777" w:rsidR="008B53B2" w:rsidRPr="006720E4" w:rsidRDefault="008B53B2" w:rsidP="00EA22AE">
      <w:pPr>
        <w:spacing w:after="120"/>
        <w:rPr>
          <w:rFonts w:ascii="Calibri" w:hAnsi="Calibri" w:cs="Calibri"/>
          <w:sz w:val="22"/>
          <w:szCs w:val="22"/>
        </w:rPr>
      </w:pPr>
    </w:p>
    <w:p w14:paraId="0A6E601F" w14:textId="5AB2553B" w:rsidR="006C6EBA" w:rsidRPr="008B53B2" w:rsidRDefault="006C6EBA" w:rsidP="00EA22AE">
      <w:pPr>
        <w:spacing w:after="120"/>
        <w:rPr>
          <w:rFonts w:ascii="Calibri" w:hAnsi="Calibri" w:cs="Calibri"/>
          <w:b/>
          <w:bCs/>
          <w:sz w:val="22"/>
          <w:szCs w:val="22"/>
        </w:rPr>
      </w:pPr>
      <w:r w:rsidRPr="008B53B2">
        <w:rPr>
          <w:rFonts w:ascii="Calibri" w:hAnsi="Calibri" w:cs="Calibri"/>
          <w:b/>
          <w:bCs/>
          <w:sz w:val="22"/>
          <w:szCs w:val="22"/>
        </w:rPr>
        <w:t xml:space="preserve">Table </w:t>
      </w:r>
      <w:r w:rsidR="0078520A" w:rsidRPr="008B53B2">
        <w:rPr>
          <w:rFonts w:ascii="Calibri" w:hAnsi="Calibri" w:cs="Calibri"/>
          <w:b/>
          <w:bCs/>
          <w:sz w:val="22"/>
          <w:szCs w:val="22"/>
        </w:rPr>
        <w:t>2.</w:t>
      </w:r>
      <w:r w:rsidR="008B53B2">
        <w:rPr>
          <w:rFonts w:ascii="Calibri" w:hAnsi="Calibri" w:cs="Calibri"/>
          <w:b/>
          <w:bCs/>
          <w:sz w:val="22"/>
          <w:szCs w:val="22"/>
        </w:rPr>
        <w:t>3</w:t>
      </w:r>
      <w:r w:rsidRPr="008B53B2">
        <w:rPr>
          <w:rFonts w:ascii="Calibri" w:hAnsi="Calibri" w:cs="Calibri"/>
          <w:b/>
          <w:bCs/>
          <w:sz w:val="22"/>
          <w:szCs w:val="22"/>
        </w:rPr>
        <w:t xml:space="preserve"> Types of organs for transplantation and conditions leading to </w:t>
      </w:r>
      <w:r w:rsidR="0078520A" w:rsidRPr="008B53B2">
        <w:rPr>
          <w:rFonts w:ascii="Calibri" w:hAnsi="Calibri" w:cs="Calibri"/>
          <w:b/>
          <w:bCs/>
          <w:sz w:val="22"/>
          <w:szCs w:val="22"/>
        </w:rPr>
        <w:t>organ</w:t>
      </w:r>
      <w:r w:rsidRPr="008B53B2">
        <w:rPr>
          <w:rFonts w:ascii="Calibri" w:hAnsi="Calibri" w:cs="Calibri"/>
          <w:b/>
          <w:bCs/>
          <w:sz w:val="22"/>
          <w:szCs w:val="22"/>
        </w:rPr>
        <w:t xml:space="preserve"> transplant</w:t>
      </w:r>
      <w:r w:rsidR="0078520A" w:rsidRPr="008B53B2">
        <w:rPr>
          <w:rFonts w:ascii="Calibri" w:hAnsi="Calibri" w:cs="Calibri"/>
          <w:b/>
          <w:bCs/>
          <w:sz w:val="22"/>
          <w:szCs w:val="22"/>
        </w:rPr>
        <w:t>s</w:t>
      </w:r>
      <w:r w:rsidRPr="008B53B2">
        <w:rPr>
          <w:rFonts w:ascii="Calibri" w:hAnsi="Calibri" w:cs="Calibri"/>
          <w:b/>
          <w:bCs/>
          <w:sz w:val="22"/>
          <w:szCs w:val="22"/>
        </w:rPr>
        <w:t xml:space="preserve"> </w:t>
      </w:r>
    </w:p>
    <w:tbl>
      <w:tblPr>
        <w:tblStyle w:val="TableGrid"/>
        <w:tblpPr w:leftFromText="180" w:rightFromText="180" w:vertAnchor="text" w:horzAnchor="margin" w:tblpY="191"/>
        <w:tblW w:w="9351" w:type="dxa"/>
        <w:tblLook w:val="04A0" w:firstRow="1" w:lastRow="0" w:firstColumn="1" w:lastColumn="0" w:noHBand="0" w:noVBand="1"/>
      </w:tblPr>
      <w:tblGrid>
        <w:gridCol w:w="2411"/>
        <w:gridCol w:w="6940"/>
      </w:tblGrid>
      <w:tr w:rsidR="006C6EBA" w:rsidRPr="006720E4" w14:paraId="4C35D449" w14:textId="77777777">
        <w:tc>
          <w:tcPr>
            <w:tcW w:w="2411" w:type="dxa"/>
          </w:tcPr>
          <w:p w14:paraId="476A3E35" w14:textId="77777777"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 xml:space="preserve">Organ type and source </w:t>
            </w:r>
          </w:p>
        </w:tc>
        <w:tc>
          <w:tcPr>
            <w:tcW w:w="6940" w:type="dxa"/>
          </w:tcPr>
          <w:p w14:paraId="51E152E4" w14:textId="77777777"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 xml:space="preserve">Typical conditions leading to need for organ transplant </w:t>
            </w:r>
          </w:p>
        </w:tc>
      </w:tr>
      <w:tr w:rsidR="006C6EBA" w:rsidRPr="006720E4" w14:paraId="2267EDFB" w14:textId="77777777">
        <w:tc>
          <w:tcPr>
            <w:tcW w:w="2411" w:type="dxa"/>
          </w:tcPr>
          <w:p w14:paraId="3CDE15F0" w14:textId="583C219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Kidney</w:t>
            </w:r>
            <w:r w:rsidR="000E6095">
              <w:rPr>
                <w:rFonts w:ascii="Calibri" w:hAnsi="Calibri" w:cs="Calibri"/>
                <w:sz w:val="22"/>
                <w:szCs w:val="22"/>
              </w:rPr>
              <w:t xml:space="preserve"> (</w:t>
            </w:r>
            <w:r w:rsidRPr="006720E4">
              <w:rPr>
                <w:rFonts w:ascii="Calibri" w:hAnsi="Calibri" w:cs="Calibri"/>
                <w:sz w:val="22"/>
                <w:szCs w:val="22"/>
              </w:rPr>
              <w:t xml:space="preserve">living or deceased donors) </w:t>
            </w:r>
          </w:p>
        </w:tc>
        <w:tc>
          <w:tcPr>
            <w:tcW w:w="6940" w:type="dxa"/>
          </w:tcPr>
          <w:p w14:paraId="2EFC5C26" w14:textId="232978D3" w:rsidR="006C6EBA" w:rsidRPr="006720E4" w:rsidRDefault="000E6095" w:rsidP="00EA22AE">
            <w:pPr>
              <w:spacing w:after="120"/>
              <w:rPr>
                <w:rFonts w:ascii="Calibri" w:hAnsi="Calibri" w:cs="Calibri"/>
                <w:sz w:val="22"/>
                <w:szCs w:val="22"/>
              </w:rPr>
            </w:pPr>
            <w:r>
              <w:rPr>
                <w:rFonts w:ascii="Calibri" w:hAnsi="Calibri" w:cs="Calibri"/>
                <w:sz w:val="22"/>
                <w:szCs w:val="22"/>
              </w:rPr>
              <w:t>Kidney</w:t>
            </w:r>
            <w:r w:rsidR="006C6EBA" w:rsidRPr="006720E4">
              <w:rPr>
                <w:rFonts w:ascii="Calibri" w:hAnsi="Calibri" w:cs="Calibri"/>
                <w:sz w:val="22"/>
                <w:szCs w:val="22"/>
              </w:rPr>
              <w:t xml:space="preserve"> </w:t>
            </w:r>
            <w:r>
              <w:rPr>
                <w:rFonts w:ascii="Calibri" w:hAnsi="Calibri" w:cs="Calibri"/>
                <w:sz w:val="22"/>
                <w:szCs w:val="22"/>
              </w:rPr>
              <w:t>failure</w:t>
            </w:r>
            <w:r w:rsidR="006C6EBA" w:rsidRPr="006720E4">
              <w:rPr>
                <w:rFonts w:ascii="Calibri" w:hAnsi="Calibri" w:cs="Calibri"/>
                <w:sz w:val="22"/>
                <w:szCs w:val="22"/>
              </w:rPr>
              <w:t xml:space="preserve"> is commonly caused by diabetes, chronic uncontrolled hypertension, chronic glomerulonephritis or polycystic kidney disease</w:t>
            </w:r>
          </w:p>
        </w:tc>
      </w:tr>
      <w:tr w:rsidR="006C6EBA" w:rsidRPr="006720E4" w14:paraId="6B388FAA" w14:textId="77777777">
        <w:tc>
          <w:tcPr>
            <w:tcW w:w="2411" w:type="dxa"/>
          </w:tcPr>
          <w:p w14:paraId="0821774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Liver (deceased donors and rarely partial living donor, usually parent to child) </w:t>
            </w:r>
          </w:p>
        </w:tc>
        <w:tc>
          <w:tcPr>
            <w:tcW w:w="6940" w:type="dxa"/>
          </w:tcPr>
          <w:p w14:paraId="06EA7288" w14:textId="646CD2EA" w:rsidR="006C6EBA" w:rsidRPr="006720E4" w:rsidRDefault="000E6095" w:rsidP="00EA22AE">
            <w:pPr>
              <w:spacing w:after="120"/>
              <w:rPr>
                <w:rFonts w:ascii="Calibri" w:hAnsi="Calibri" w:cs="Calibri"/>
                <w:sz w:val="22"/>
                <w:szCs w:val="22"/>
              </w:rPr>
            </w:pPr>
            <w:r>
              <w:rPr>
                <w:rFonts w:ascii="Calibri" w:hAnsi="Calibri" w:cs="Calibri"/>
                <w:sz w:val="22"/>
                <w:szCs w:val="22"/>
              </w:rPr>
              <w:t>Causes of</w:t>
            </w:r>
            <w:r w:rsidR="006C6EBA" w:rsidRPr="006720E4">
              <w:rPr>
                <w:rFonts w:ascii="Calibri" w:hAnsi="Calibri" w:cs="Calibri"/>
                <w:sz w:val="22"/>
                <w:szCs w:val="22"/>
              </w:rPr>
              <w:t xml:space="preserve"> liver failure include Hepatitis B and C, alcoholic liver disease, fatty liver disease. In children congenital biliary atresia is the most common cause </w:t>
            </w:r>
            <w:r w:rsidR="008B53B2">
              <w:rPr>
                <w:rFonts w:ascii="Calibri" w:hAnsi="Calibri" w:cs="Calibri"/>
                <w:sz w:val="22"/>
                <w:szCs w:val="22"/>
              </w:rPr>
              <w:t xml:space="preserve">leading to </w:t>
            </w:r>
            <w:r w:rsidR="006C6EBA" w:rsidRPr="006720E4">
              <w:rPr>
                <w:rFonts w:ascii="Calibri" w:hAnsi="Calibri" w:cs="Calibri"/>
                <w:sz w:val="22"/>
                <w:szCs w:val="22"/>
              </w:rPr>
              <w:t>transplantation</w:t>
            </w:r>
            <w:r w:rsidR="008B53B2">
              <w:rPr>
                <w:rFonts w:ascii="Calibri" w:hAnsi="Calibri" w:cs="Calibri"/>
                <w:sz w:val="22"/>
                <w:szCs w:val="22"/>
              </w:rPr>
              <w:t>.</w:t>
            </w:r>
          </w:p>
        </w:tc>
      </w:tr>
      <w:tr w:rsidR="006C6EBA" w:rsidRPr="006720E4" w14:paraId="207A3341" w14:textId="77777777">
        <w:tc>
          <w:tcPr>
            <w:tcW w:w="2411" w:type="dxa"/>
          </w:tcPr>
          <w:p w14:paraId="73EC58C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Lungs (deceased donor) </w:t>
            </w:r>
          </w:p>
        </w:tc>
        <w:tc>
          <w:tcPr>
            <w:tcW w:w="6940" w:type="dxa"/>
          </w:tcPr>
          <w:p w14:paraId="4D17ADFA" w14:textId="2708D00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Chronic obstructive </w:t>
            </w:r>
            <w:r w:rsidR="008B53B2">
              <w:rPr>
                <w:rFonts w:ascii="Calibri" w:hAnsi="Calibri" w:cs="Calibri"/>
                <w:sz w:val="22"/>
                <w:szCs w:val="22"/>
              </w:rPr>
              <w:t>airways</w:t>
            </w:r>
            <w:r w:rsidRPr="006720E4">
              <w:rPr>
                <w:rFonts w:ascii="Calibri" w:hAnsi="Calibri" w:cs="Calibri"/>
                <w:sz w:val="22"/>
                <w:szCs w:val="22"/>
              </w:rPr>
              <w:t xml:space="preserve"> disease </w:t>
            </w:r>
            <w:r w:rsidR="008B53B2">
              <w:rPr>
                <w:rFonts w:ascii="Calibri" w:hAnsi="Calibri" w:cs="Calibri"/>
                <w:sz w:val="22"/>
                <w:szCs w:val="22"/>
              </w:rPr>
              <w:t xml:space="preserve">(e.g., </w:t>
            </w:r>
            <w:r w:rsidRPr="006720E4">
              <w:rPr>
                <w:rFonts w:ascii="Calibri" w:hAnsi="Calibri" w:cs="Calibri"/>
                <w:sz w:val="22"/>
                <w:szCs w:val="22"/>
              </w:rPr>
              <w:t>emphysema</w:t>
            </w:r>
            <w:r w:rsidR="008B53B2">
              <w:rPr>
                <w:rFonts w:ascii="Calibri" w:hAnsi="Calibri" w:cs="Calibri"/>
                <w:sz w:val="22"/>
                <w:szCs w:val="22"/>
              </w:rPr>
              <w:t>)</w:t>
            </w:r>
            <w:r w:rsidRPr="006720E4">
              <w:rPr>
                <w:rFonts w:ascii="Calibri" w:hAnsi="Calibri" w:cs="Calibri"/>
                <w:sz w:val="22"/>
                <w:szCs w:val="22"/>
              </w:rPr>
              <w:t>, cystic fibrosis, pulmonary fibrosis or pulmonary hypertension</w:t>
            </w:r>
          </w:p>
        </w:tc>
      </w:tr>
      <w:tr w:rsidR="006C6EBA" w:rsidRPr="006720E4" w14:paraId="7CDEFFE6" w14:textId="77777777">
        <w:tc>
          <w:tcPr>
            <w:tcW w:w="2411" w:type="dxa"/>
          </w:tcPr>
          <w:p w14:paraId="0B0CF98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Heart (deceased donor) </w:t>
            </w:r>
          </w:p>
        </w:tc>
        <w:tc>
          <w:tcPr>
            <w:tcW w:w="6940" w:type="dxa"/>
          </w:tcPr>
          <w:p w14:paraId="0BCCF993" w14:textId="0A0DEC2D" w:rsidR="006C6EBA" w:rsidRPr="006720E4" w:rsidRDefault="008B53B2" w:rsidP="00EA22AE">
            <w:pPr>
              <w:spacing w:after="120"/>
              <w:rPr>
                <w:rFonts w:ascii="Calibri" w:hAnsi="Calibri" w:cs="Calibri"/>
                <w:sz w:val="22"/>
                <w:szCs w:val="22"/>
              </w:rPr>
            </w:pPr>
            <w:r>
              <w:rPr>
                <w:rFonts w:ascii="Calibri" w:hAnsi="Calibri" w:cs="Calibri"/>
                <w:sz w:val="22"/>
                <w:szCs w:val="22"/>
              </w:rPr>
              <w:t>Heart failure</w:t>
            </w:r>
            <w:r w:rsidR="006C6EBA" w:rsidRPr="006720E4">
              <w:rPr>
                <w:rFonts w:ascii="Calibri" w:hAnsi="Calibri" w:cs="Calibri"/>
                <w:sz w:val="22"/>
                <w:szCs w:val="22"/>
              </w:rPr>
              <w:t xml:space="preserve"> </w:t>
            </w:r>
            <w:r>
              <w:rPr>
                <w:rFonts w:ascii="Calibri" w:hAnsi="Calibri" w:cs="Calibri"/>
                <w:sz w:val="22"/>
                <w:szCs w:val="22"/>
              </w:rPr>
              <w:t>may be caused by</w:t>
            </w:r>
            <w:r w:rsidR="006C6EBA" w:rsidRPr="006720E4">
              <w:rPr>
                <w:rFonts w:ascii="Calibri" w:hAnsi="Calibri" w:cs="Calibri"/>
                <w:sz w:val="22"/>
                <w:szCs w:val="22"/>
              </w:rPr>
              <w:t xml:space="preserve"> ischemic heart disease</w:t>
            </w:r>
            <w:r>
              <w:rPr>
                <w:rFonts w:ascii="Calibri" w:hAnsi="Calibri" w:cs="Calibri"/>
                <w:sz w:val="22"/>
                <w:szCs w:val="22"/>
              </w:rPr>
              <w:t>, c</w:t>
            </w:r>
            <w:r w:rsidR="006C6EBA" w:rsidRPr="006720E4">
              <w:rPr>
                <w:rFonts w:ascii="Calibri" w:hAnsi="Calibri" w:cs="Calibri"/>
                <w:sz w:val="22"/>
                <w:szCs w:val="22"/>
              </w:rPr>
              <w:t xml:space="preserve">ardiomyopathy, congenital heart disease and valvular disease. </w:t>
            </w:r>
          </w:p>
          <w:p w14:paraId="518F2DDB" w14:textId="532A40D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Less commonly (&lt;5%) heart transplantation is performed for acute heart failure due to cardiogenic shock complicating acute myocardial infarction or myocarditis</w:t>
            </w:r>
            <w:r w:rsidR="008B53B2">
              <w:rPr>
                <w:rFonts w:ascii="Calibri" w:hAnsi="Calibri" w:cs="Calibri"/>
                <w:sz w:val="22"/>
                <w:szCs w:val="22"/>
              </w:rPr>
              <w:t>.</w:t>
            </w:r>
          </w:p>
        </w:tc>
      </w:tr>
      <w:tr w:rsidR="006C6EBA" w:rsidRPr="006720E4" w14:paraId="6BC649C3" w14:textId="77777777">
        <w:tc>
          <w:tcPr>
            <w:tcW w:w="2411" w:type="dxa"/>
          </w:tcPr>
          <w:p w14:paraId="120C167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Pancreas &amp; pancreas Islets (deceased donor) </w:t>
            </w:r>
          </w:p>
        </w:tc>
        <w:tc>
          <w:tcPr>
            <w:tcW w:w="6940" w:type="dxa"/>
          </w:tcPr>
          <w:p w14:paraId="242CF52B" w14:textId="7D7B1BD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Type 1 diabetes, transplant usually requires a simultaneous kidney transplant, to treat diabetic kidney failure. </w:t>
            </w:r>
          </w:p>
        </w:tc>
      </w:tr>
      <w:tr w:rsidR="006C6EBA" w:rsidRPr="006720E4" w14:paraId="73556258" w14:textId="77777777">
        <w:tc>
          <w:tcPr>
            <w:tcW w:w="2411" w:type="dxa"/>
          </w:tcPr>
          <w:p w14:paraId="3108A13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Intestine/</w:t>
            </w:r>
            <w:proofErr w:type="spellStart"/>
            <w:r w:rsidRPr="006720E4">
              <w:rPr>
                <w:rFonts w:ascii="Calibri" w:hAnsi="Calibri" w:cs="Calibri"/>
                <w:sz w:val="22"/>
                <w:szCs w:val="22"/>
              </w:rPr>
              <w:t>multivisceral</w:t>
            </w:r>
            <w:proofErr w:type="spellEnd"/>
            <w:r w:rsidRPr="006720E4">
              <w:rPr>
                <w:rFonts w:ascii="Calibri" w:hAnsi="Calibri" w:cs="Calibri"/>
                <w:sz w:val="22"/>
                <w:szCs w:val="22"/>
              </w:rPr>
              <w:t xml:space="preserve"> (deceased donor) </w:t>
            </w:r>
          </w:p>
        </w:tc>
        <w:tc>
          <w:tcPr>
            <w:tcW w:w="6940" w:type="dxa"/>
          </w:tcPr>
          <w:p w14:paraId="331CCF9C" w14:textId="7E17053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Short gut syndrome can lead to complications that require a segment or a whole intestine transplant. Bowel complications for e</w:t>
            </w:r>
            <w:r w:rsidR="0078520A" w:rsidRPr="006720E4">
              <w:rPr>
                <w:rFonts w:ascii="Calibri" w:hAnsi="Calibri" w:cs="Calibri"/>
                <w:sz w:val="22"/>
                <w:szCs w:val="22"/>
              </w:rPr>
              <w:t>.</w:t>
            </w:r>
            <w:r w:rsidRPr="006720E4">
              <w:rPr>
                <w:rFonts w:ascii="Calibri" w:hAnsi="Calibri" w:cs="Calibri"/>
                <w:sz w:val="22"/>
                <w:szCs w:val="22"/>
              </w:rPr>
              <w:t xml:space="preserve">g. Rotation, adhesions, blood clots, inflammation or </w:t>
            </w:r>
            <w:proofErr w:type="spellStart"/>
            <w:r w:rsidRPr="006720E4">
              <w:rPr>
                <w:rFonts w:ascii="Calibri" w:hAnsi="Calibri" w:cs="Calibri"/>
                <w:sz w:val="22"/>
                <w:szCs w:val="22"/>
              </w:rPr>
              <w:t>tumors</w:t>
            </w:r>
            <w:proofErr w:type="spellEnd"/>
            <w:r w:rsidRPr="006720E4">
              <w:rPr>
                <w:rFonts w:ascii="Calibri" w:hAnsi="Calibri" w:cs="Calibri"/>
                <w:sz w:val="22"/>
                <w:szCs w:val="22"/>
              </w:rPr>
              <w:t xml:space="preserve"> can also lead to transplantation. </w:t>
            </w:r>
          </w:p>
        </w:tc>
      </w:tr>
      <w:tr w:rsidR="006C6EBA" w:rsidRPr="006720E4" w14:paraId="4FF7E8D1" w14:textId="77777777">
        <w:tc>
          <w:tcPr>
            <w:tcW w:w="2411" w:type="dxa"/>
          </w:tcPr>
          <w:p w14:paraId="2DAABF8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Other combined transplants (deceased donors) </w:t>
            </w:r>
          </w:p>
        </w:tc>
        <w:tc>
          <w:tcPr>
            <w:tcW w:w="6940" w:type="dxa"/>
          </w:tcPr>
          <w:p w14:paraId="0A829E1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there is more than a single organ failure, a combined transplant may be required. These commonly include heart/liver, heart/kidney, liver/kidney, kidney/pancreas &amp; heart/lung transplant. </w:t>
            </w:r>
          </w:p>
        </w:tc>
      </w:tr>
    </w:tbl>
    <w:p w14:paraId="4C49BDBC" w14:textId="77777777" w:rsidR="008B53B2" w:rsidRDefault="008B53B2" w:rsidP="00EA22AE">
      <w:pPr>
        <w:pStyle w:val="Guidelinesnormalparagraph"/>
        <w:rPr>
          <w:rFonts w:ascii="Calibri" w:hAnsi="Calibri" w:cs="Calibri"/>
          <w:kern w:val="0"/>
          <w:szCs w:val="22"/>
          <w:lang w:val="en-GB"/>
        </w:rPr>
      </w:pPr>
    </w:p>
    <w:p w14:paraId="4603A1B9" w14:textId="5CA1F53B" w:rsidR="008B53B2" w:rsidRDefault="008B53B2" w:rsidP="00EA22AE">
      <w:pPr>
        <w:pStyle w:val="Guidelinesnormalparagraph"/>
        <w:rPr>
          <w:rFonts w:ascii="Calibri" w:hAnsi="Calibri" w:cs="Calibri"/>
          <w:kern w:val="0"/>
          <w:szCs w:val="22"/>
          <w:lang w:val="en-GB"/>
        </w:rPr>
      </w:pPr>
      <w:r>
        <w:rPr>
          <w:rFonts w:ascii="Calibri" w:hAnsi="Calibri" w:cs="Calibri"/>
          <w:kern w:val="0"/>
          <w:szCs w:val="22"/>
          <w:lang w:val="en-GB"/>
        </w:rPr>
        <w:t xml:space="preserve">More information about organ donation and transplant is available here: </w:t>
      </w:r>
      <w:hyperlink r:id="rId15" w:history="1">
        <w:r w:rsidRPr="009006B0">
          <w:rPr>
            <w:rStyle w:val="Hyperlink"/>
            <w:rFonts w:cs="Calibri"/>
            <w:szCs w:val="22"/>
            <w:lang w:val="en-GB"/>
          </w:rPr>
          <w:t>https://transplant.org.au/types-of-transplant/</w:t>
        </w:r>
      </w:hyperlink>
      <w:r>
        <w:rPr>
          <w:rFonts w:ascii="Calibri" w:hAnsi="Calibri" w:cs="Calibri"/>
          <w:kern w:val="0"/>
          <w:szCs w:val="22"/>
          <w:lang w:val="en-GB"/>
        </w:rPr>
        <w:t xml:space="preserve"> </w:t>
      </w:r>
    </w:p>
    <w:p w14:paraId="0D6E9CAB" w14:textId="77777777" w:rsidR="007A0000" w:rsidRPr="006720E4" w:rsidRDefault="007A0000" w:rsidP="00EA22AE">
      <w:pPr>
        <w:pStyle w:val="Heading4"/>
        <w:spacing w:after="120"/>
      </w:pPr>
      <w:r w:rsidRPr="006720E4">
        <w:t xml:space="preserve">Other novel transplants – Vascularised composite allotransplantation </w:t>
      </w:r>
    </w:p>
    <w:p w14:paraId="677CF614" w14:textId="2830F038" w:rsidR="007A0000" w:rsidRPr="007A0000" w:rsidRDefault="007A0000" w:rsidP="00EA22AE">
      <w:pPr>
        <w:spacing w:after="120"/>
        <w:rPr>
          <w:rFonts w:ascii="Calibri" w:hAnsi="Calibri" w:cs="Calibri"/>
          <w:color w:val="000000" w:themeColor="text1"/>
          <w:sz w:val="22"/>
          <w:szCs w:val="22"/>
        </w:rPr>
      </w:pPr>
      <w:r w:rsidRPr="007A0000">
        <w:rPr>
          <w:rFonts w:ascii="Calibri" w:hAnsi="Calibri" w:cs="Calibri"/>
          <w:color w:val="000000" w:themeColor="text1"/>
          <w:sz w:val="22"/>
          <w:szCs w:val="22"/>
        </w:rPr>
        <w:t xml:space="preserve">Vascularised composite allotransplantation (VCAs) involves the transplantation of a vascularised body part that functions as an anatomical or structural unit. The part may contain multiple tissue types such as skin, bone, muscles, blood vessels, nerves, and connective tissue. Examples include limbs, face, larynx, and abdominal wall. VCA is fundamentally more like organ transplant than tissue transplantation. Unlike internal organs, VCAs are usually also matched for size, skin colour, and gender, and age range. </w:t>
      </w:r>
    </w:p>
    <w:p w14:paraId="083FAA22" w14:textId="31800F33" w:rsidR="007A0000" w:rsidRPr="007A0000" w:rsidRDefault="007A0000" w:rsidP="00EA22AE">
      <w:pPr>
        <w:spacing w:after="120"/>
        <w:rPr>
          <w:rFonts w:ascii="Calibri" w:hAnsi="Calibri" w:cs="Calibri"/>
          <w:color w:val="000000" w:themeColor="text1"/>
          <w:sz w:val="22"/>
          <w:szCs w:val="22"/>
        </w:rPr>
      </w:pPr>
      <w:r w:rsidRPr="007A0000">
        <w:rPr>
          <w:rFonts w:ascii="Calibri" w:hAnsi="Calibri" w:cs="Calibri"/>
          <w:color w:val="000000" w:themeColor="text1"/>
          <w:sz w:val="22"/>
          <w:szCs w:val="22"/>
        </w:rPr>
        <w:t>The need for a vascular composite allograft such as a face or hand/upper limb transplant is rare. There have been a limited number of VCA transplants performed world-wide and only one in Australia, a hand transplant in 2011</w:t>
      </w:r>
      <w:r>
        <w:rPr>
          <w:rFonts w:ascii="Calibri" w:hAnsi="Calibri" w:cs="Calibri"/>
          <w:color w:val="000000" w:themeColor="text1"/>
          <w:sz w:val="22"/>
          <w:szCs w:val="22"/>
        </w:rPr>
        <w:t>.</w:t>
      </w:r>
      <w:r w:rsidRPr="007A0000">
        <w:rPr>
          <w:rFonts w:ascii="Calibri" w:hAnsi="Calibri" w:cs="Calibri"/>
          <w:color w:val="000000" w:themeColor="text1"/>
          <w:sz w:val="22"/>
          <w:szCs w:val="22"/>
        </w:rPr>
        <w:fldChar w:fldCharType="begin" w:fldLock="1"/>
      </w:r>
      <w:r w:rsidR="00C12F71">
        <w:rPr>
          <w:rFonts w:ascii="Calibri" w:hAnsi="Calibri" w:cs="Calibri"/>
          <w:color w:val="000000" w:themeColor="text1"/>
          <w:sz w:val="22"/>
          <w:szCs w:val="22"/>
        </w:rPr>
        <w:instrText>ADDIN CSL_CITATION {"citationItems":[{"id":"ITEM-1","itemData":{"DOI":"10.5694/mja12.11554","ISSN":"0025729X","PMID":"23984788","author":[{"dropping-particle":"","family":"Dwyer","given":"Karen M.","non-dropping-particle":"","parse-names":false,"suffix":""},{"dropping-particle":"","family":"Webb","given":"Angela R.","non-dropping-particle":"","parse-names":false,"suffix":""},{"dropping-particle":"","family":"Furniss","given":"Hayley S.","non-dropping-particle":"","parse-names":false,"suffix":""},{"dropping-particle":"","family":"Anjou","given":"Katie E.","non-dropping-particle":"","parse-names":false,"suffix":""},{"dropping-particle":"","family":"Gibbs-Dwyer","given":"Josephine M.","non-dropping-particle":"","parse-names":false,"suffix":""},{"dropping-particle":"","family":"McCombe","given":"David B.","non-dropping-particle":"","parse-names":false,"suffix":""},{"dropping-particle":"","family":"Grinsell","given":"Damien G.","non-dropping-particle":"","parse-names":false,"suffix":""},{"dropping-particle":"","family":"Dickinson","given":"Gillian F.","non-dropping-particle":"","parse-names":false,"suffix":""},{"dropping-particle":"","family":"Williams","given":"Richard A.","non-dropping-particle":"","parse-names":false,"suffix":""},{"dropping-particle":"","family":"Russell","given":"Prudence A.","non-dropping-particle":"","parse-names":false,"suffix":""},{"dropping-particle":"","family":"Scott","given":"David A.","non-dropping-particle":"","parse-names":false,"suffix":""},{"dropping-particle":"","family":"Baker","given":"Christopher","non-dropping-particle":"","parse-names":false,"suffix":""},{"dropping-particle":"","family":"Vogrin","given":"Simon J.","non-dropping-particle":"","parse-names":false,"suffix":""},{"dropping-particle":"","family":"Langham","given":"Robyn G.","non-dropping-particle":"","parse-names":false,"suffix":""},{"dropping-particle":"","family":"Opdam","given":"Helen I.","non-dropping-particle":"","parse-names":false,"suffix":""},{"dropping-particle":"","family":"Morrison","given":"Wayne A.","non-dropping-particle":"","parse-names":false,"suffix":""}],"container-title":"Medical Journal of Australia","id":"ITEM-1","issue":"4","issued":{"date-parts":[["2013"]]},"page":"285-287","title":"First hand transplant procedure in Australia: Outcome at 2 years","type":"article-journal","volume":"199"},"uris":["http://www.mendeley.com/documents/?uuid=908bab44-4737-4635-8798-3564e550e419"]}],"mendeley":{"formattedCitation":"(18)","plainTextFormattedCitation":"(18)","previouslyFormattedCitation":"(18)"},"properties":{"noteIndex":0},"schema":"https://github.com/citation-style-language/schema/raw/master/csl-citation.json"}</w:instrText>
      </w:r>
      <w:r w:rsidRPr="007A0000">
        <w:rPr>
          <w:rFonts w:ascii="Calibri" w:hAnsi="Calibri" w:cs="Calibri"/>
          <w:color w:val="000000" w:themeColor="text1"/>
          <w:sz w:val="22"/>
          <w:szCs w:val="22"/>
        </w:rPr>
        <w:fldChar w:fldCharType="separate"/>
      </w:r>
      <w:r w:rsidR="000B7242" w:rsidRPr="000B7242">
        <w:rPr>
          <w:rFonts w:ascii="Calibri" w:hAnsi="Calibri" w:cs="Calibri"/>
          <w:noProof/>
          <w:color w:val="000000" w:themeColor="text1"/>
          <w:sz w:val="22"/>
          <w:szCs w:val="22"/>
        </w:rPr>
        <w:t>(18)</w:t>
      </w:r>
      <w:r w:rsidRPr="007A0000">
        <w:rPr>
          <w:rFonts w:ascii="Calibri" w:hAnsi="Calibri" w:cs="Calibri"/>
          <w:color w:val="000000" w:themeColor="text1"/>
          <w:sz w:val="22"/>
          <w:szCs w:val="22"/>
        </w:rPr>
        <w:fldChar w:fldCharType="end"/>
      </w:r>
      <w:r w:rsidRPr="007A0000">
        <w:rPr>
          <w:rFonts w:ascii="Calibri" w:hAnsi="Calibri" w:cs="Calibri"/>
          <w:color w:val="000000" w:themeColor="text1"/>
          <w:sz w:val="22"/>
          <w:szCs w:val="22"/>
        </w:rPr>
        <w:t xml:space="preserve"> </w:t>
      </w:r>
    </w:p>
    <w:p w14:paraId="3CD53D0F" w14:textId="769D3679" w:rsidR="006C6EBA" w:rsidRPr="008B53B2" w:rsidRDefault="006C6EBA" w:rsidP="00EA22AE">
      <w:pPr>
        <w:pStyle w:val="Heading2"/>
        <w:spacing w:after="120"/>
      </w:pPr>
      <w:bookmarkStart w:id="324" w:name="_Toc135131423"/>
      <w:r w:rsidRPr="008B53B2">
        <w:t>Legislation and clinical guidelines</w:t>
      </w:r>
      <w:bookmarkEnd w:id="324"/>
    </w:p>
    <w:p w14:paraId="5EE2E388" w14:textId="3635B55B" w:rsidR="006C6EBA" w:rsidRPr="006720E4" w:rsidRDefault="006C6EBA" w:rsidP="00EA22AE">
      <w:pPr>
        <w:pStyle w:val="Heading3"/>
        <w:numPr>
          <w:ilvl w:val="0"/>
          <w:numId w:val="0"/>
        </w:numPr>
        <w:spacing w:after="120"/>
        <w:rPr>
          <w:b w:val="0"/>
          <w:color w:val="000000" w:themeColor="text1"/>
          <w:sz w:val="22"/>
          <w:szCs w:val="22"/>
        </w:rPr>
      </w:pPr>
      <w:r w:rsidRPr="006720E4">
        <w:rPr>
          <w:rStyle w:val="Hyperlink"/>
          <w:b w:val="0"/>
          <w:color w:val="000000" w:themeColor="text1"/>
          <w:sz w:val="22"/>
          <w:szCs w:val="22"/>
          <w:u w:val="none"/>
        </w:rPr>
        <w:t xml:space="preserve">Knowledge and application of relevant laws is critical for appropriate clinical decision-making in donation and transplantation. In many aspects of clinical practice it is important to be aware of and understand Commonwealth and State or Territory legislation. </w:t>
      </w:r>
    </w:p>
    <w:p w14:paraId="034AA253" w14:textId="1B502CA1" w:rsidR="008B53B2" w:rsidRPr="008B53B2" w:rsidRDefault="006C6EBA" w:rsidP="00EA22AE">
      <w:pPr>
        <w:pStyle w:val="Heading3"/>
        <w:spacing w:after="120"/>
      </w:pPr>
      <w:bookmarkStart w:id="325" w:name="_Human_tissue_legislation_1"/>
      <w:bookmarkEnd w:id="325"/>
      <w:r w:rsidRPr="008B53B2">
        <w:t>Human Tissue Legislation</w:t>
      </w:r>
    </w:p>
    <w:p w14:paraId="45D67357" w14:textId="6916A3D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Legislation in each State and Territory governs donation and transplantation for clinical purposes </w:t>
      </w:r>
      <w:r w:rsidRPr="008B53B2">
        <w:rPr>
          <w:rFonts w:ascii="Calibri" w:hAnsi="Calibri" w:cs="Calibri"/>
          <w:sz w:val="22"/>
          <w:szCs w:val="22"/>
        </w:rPr>
        <w:t xml:space="preserve">(see </w:t>
      </w:r>
      <w:hyperlink w:anchor="_Human_tissue_legislation_1" w:history="1">
        <w:r w:rsidR="0078520A" w:rsidRPr="008B53B2">
          <w:rPr>
            <w:rStyle w:val="Hyperlink"/>
            <w:rFonts w:ascii="Calibri" w:hAnsi="Calibri" w:cs="Calibri"/>
            <w:b/>
            <w:sz w:val="22"/>
            <w:szCs w:val="22"/>
          </w:rPr>
          <w:t>Chapter 3.</w:t>
        </w:r>
        <w:r w:rsidR="008B53B2" w:rsidRPr="008B53B2">
          <w:rPr>
            <w:rStyle w:val="Hyperlink"/>
            <w:rFonts w:ascii="Calibri" w:hAnsi="Calibri" w:cs="Calibri"/>
            <w:b/>
            <w:sz w:val="22"/>
            <w:szCs w:val="22"/>
          </w:rPr>
          <w:t>5.1</w:t>
        </w:r>
      </w:hyperlink>
      <w:r w:rsidRPr="008B53B2">
        <w:rPr>
          <w:rFonts w:ascii="Calibri" w:hAnsi="Calibri" w:cs="Calibri"/>
          <w:sz w:val="22"/>
          <w:szCs w:val="22"/>
        </w:rPr>
        <w:t>). Although referred to as</w:t>
      </w:r>
      <w:r w:rsidRPr="006720E4">
        <w:rPr>
          <w:rFonts w:ascii="Calibri" w:hAnsi="Calibri" w:cs="Calibri"/>
          <w:sz w:val="22"/>
          <w:szCs w:val="22"/>
        </w:rPr>
        <w:t xml:space="preserve"> “human tissue legislation” in accordance with the terminology used in much of this legislation, the legislation is also inclusive of cells and organs. </w:t>
      </w:r>
    </w:p>
    <w:p w14:paraId="40BB065F" w14:textId="15E316C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Common features of this legislation across all Australian jurisdictions include provision of a legal mechanism for authorising donation of organs and tissues following the death of a </w:t>
      </w:r>
      <w:r w:rsidRPr="008B53B2">
        <w:rPr>
          <w:rFonts w:ascii="Calibri" w:hAnsi="Calibri" w:cs="Calibri"/>
          <w:sz w:val="22"/>
          <w:szCs w:val="22"/>
        </w:rPr>
        <w:t>person (</w:t>
      </w:r>
      <w:r w:rsidR="008B53B2" w:rsidRPr="008B53B2">
        <w:rPr>
          <w:rFonts w:ascii="Calibri" w:hAnsi="Calibri" w:cs="Calibri"/>
          <w:sz w:val="22"/>
          <w:szCs w:val="22"/>
        </w:rPr>
        <w:t>see</w:t>
      </w:r>
      <w:r w:rsidR="008B53B2">
        <w:rPr>
          <w:rFonts w:ascii="Calibri" w:hAnsi="Calibri" w:cs="Calibri"/>
        </w:rPr>
        <w:t xml:space="preserve"> </w:t>
      </w:r>
      <w:hyperlink w:anchor="_Consent_for_deceased_2" w:history="1">
        <w:r w:rsidR="008B53B2" w:rsidRPr="00BF3C95">
          <w:rPr>
            <w:rStyle w:val="Hyperlink"/>
            <w:rFonts w:ascii="Calibri" w:hAnsi="Calibri" w:cs="Calibri"/>
            <w:sz w:val="22"/>
            <w:szCs w:val="22"/>
          </w:rPr>
          <w:t>Chapter 4.4.1</w:t>
        </w:r>
      </w:hyperlink>
      <w:r w:rsidR="008B53B2">
        <w:rPr>
          <w:rStyle w:val="Hyperlink"/>
          <w:rFonts w:ascii="Calibri" w:hAnsi="Calibri" w:cs="Calibri"/>
          <w:sz w:val="22"/>
          <w:szCs w:val="22"/>
        </w:rPr>
        <w:t>)</w:t>
      </w:r>
      <w:r w:rsidR="008B53B2" w:rsidRPr="006720E4">
        <w:rPr>
          <w:rFonts w:ascii="Calibri" w:hAnsi="Calibri" w:cs="Calibri"/>
          <w:sz w:val="22"/>
          <w:szCs w:val="22"/>
        </w:rPr>
        <w:t xml:space="preserve"> </w:t>
      </w:r>
      <w:r w:rsidRPr="006720E4">
        <w:rPr>
          <w:rFonts w:ascii="Calibri" w:hAnsi="Calibri" w:cs="Calibri"/>
          <w:sz w:val="22"/>
          <w:szCs w:val="22"/>
        </w:rPr>
        <w:t xml:space="preserve">disclosure of identity of donors and recipients (see </w:t>
      </w:r>
      <w:hyperlink w:anchor="_Legal_considerations_in" w:history="1">
        <w:r w:rsidRPr="006720E4">
          <w:rPr>
            <w:rStyle w:val="Hyperlink"/>
            <w:rFonts w:ascii="Calibri" w:eastAsiaTheme="majorEastAsia" w:hAnsi="Calibri" w:cs="Calibri"/>
            <w:sz w:val="22"/>
            <w:szCs w:val="22"/>
          </w:rPr>
          <w:t xml:space="preserve">Chapter </w:t>
        </w:r>
        <w:r w:rsidR="008B53B2">
          <w:rPr>
            <w:rStyle w:val="Hyperlink"/>
            <w:rFonts w:ascii="Calibri" w:eastAsiaTheme="majorEastAsia" w:hAnsi="Calibri" w:cs="Calibri"/>
            <w:sz w:val="22"/>
            <w:szCs w:val="22"/>
          </w:rPr>
          <w:t>7</w:t>
        </w:r>
        <w:r w:rsidRPr="006720E4">
          <w:rPr>
            <w:rStyle w:val="Hyperlink"/>
            <w:rFonts w:ascii="Calibri" w:eastAsiaTheme="majorEastAsia" w:hAnsi="Calibri" w:cs="Calibri"/>
            <w:sz w:val="22"/>
            <w:szCs w:val="22"/>
          </w:rPr>
          <w:t>.1.1.1</w:t>
        </w:r>
      </w:hyperlink>
      <w:r w:rsidRPr="006720E4">
        <w:rPr>
          <w:rFonts w:ascii="Calibri" w:hAnsi="Calibri" w:cs="Calibri"/>
          <w:sz w:val="22"/>
          <w:szCs w:val="22"/>
        </w:rPr>
        <w:t xml:space="preserve">), and prohibition against trading in human tissues with some limited exceptions (see </w:t>
      </w:r>
      <w:hyperlink w:anchor="_Legal_aspects_of_1" w:history="1">
        <w:r w:rsidRPr="006720E4">
          <w:rPr>
            <w:rStyle w:val="Hyperlink"/>
            <w:rFonts w:ascii="Calibri" w:eastAsiaTheme="majorEastAsia" w:hAnsi="Calibri" w:cs="Calibri"/>
            <w:sz w:val="22"/>
            <w:szCs w:val="22"/>
          </w:rPr>
          <w:t xml:space="preserve">Chapter </w:t>
        </w:r>
        <w:r w:rsidR="008B53B2">
          <w:rPr>
            <w:rStyle w:val="Hyperlink"/>
            <w:rFonts w:ascii="Calibri" w:eastAsiaTheme="majorEastAsia" w:hAnsi="Calibri" w:cs="Calibri"/>
            <w:sz w:val="22"/>
            <w:szCs w:val="22"/>
          </w:rPr>
          <w:t>10</w:t>
        </w:r>
        <w:r w:rsidRPr="006720E4">
          <w:rPr>
            <w:rStyle w:val="Hyperlink"/>
            <w:rFonts w:ascii="Calibri" w:eastAsiaTheme="majorEastAsia" w:hAnsi="Calibri" w:cs="Calibri"/>
            <w:sz w:val="22"/>
            <w:szCs w:val="22"/>
          </w:rPr>
          <w:t>.2</w:t>
        </w:r>
      </w:hyperlink>
      <w:r w:rsidRPr="006720E4">
        <w:rPr>
          <w:rFonts w:ascii="Calibri" w:hAnsi="Calibri" w:cs="Calibri"/>
          <w:sz w:val="22"/>
          <w:szCs w:val="22"/>
        </w:rPr>
        <w:t>).</w:t>
      </w:r>
    </w:p>
    <w:p w14:paraId="61F03A15" w14:textId="77777777" w:rsidR="006C6EBA" w:rsidRPr="008B53B2" w:rsidRDefault="006C6EBA" w:rsidP="00EA22AE">
      <w:pPr>
        <w:pStyle w:val="Heading3"/>
        <w:spacing w:after="120"/>
      </w:pPr>
      <w:r w:rsidRPr="008B53B2">
        <w:t>Clinical Guidelines</w:t>
      </w:r>
    </w:p>
    <w:p w14:paraId="37C3A619" w14:textId="07B66B40" w:rsidR="008B53B2" w:rsidRPr="007E1B57" w:rsidRDefault="008B53B2"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A number of the organisations described below </w:t>
      </w:r>
      <w:r w:rsidRPr="009228AC">
        <w:rPr>
          <w:rFonts w:ascii="Calibri" w:hAnsi="Calibri" w:cs="Calibri"/>
          <w:kern w:val="0"/>
          <w:szCs w:val="22"/>
          <w:u w:color="0000FF"/>
          <w:lang w:val="en-GB"/>
        </w:rPr>
        <w:t>in</w:t>
      </w:r>
      <w:hyperlink w:anchor="_Organisations_and_agencies" w:history="1">
        <w:r w:rsidRPr="008B53B2">
          <w:rPr>
            <w:rStyle w:val="Hyperlink"/>
            <w:rFonts w:ascii="Calibri" w:hAnsi="Calibri" w:cs="Calibri"/>
            <w:kern w:val="0"/>
            <w:szCs w:val="22"/>
            <w:lang w:val="en-GB"/>
          </w:rPr>
          <w:t xml:space="preserve"> </w:t>
        </w:r>
        <w:r w:rsidRPr="008B53B2">
          <w:rPr>
            <w:rStyle w:val="Hyperlink"/>
          </w:rPr>
          <w:t>Chapter 2.3</w:t>
        </w:r>
      </w:hyperlink>
      <w:r>
        <w:t xml:space="preserve"> below </w:t>
      </w:r>
      <w:r w:rsidRPr="009228AC">
        <w:rPr>
          <w:rFonts w:ascii="Calibri" w:hAnsi="Calibri" w:cs="Calibri"/>
          <w:kern w:val="0"/>
          <w:szCs w:val="22"/>
          <w:u w:color="0000FF"/>
          <w:lang w:val="en-GB"/>
        </w:rPr>
        <w:t>are</w:t>
      </w:r>
      <w:r w:rsidRPr="007E1B57">
        <w:rPr>
          <w:rFonts w:ascii="Calibri" w:hAnsi="Calibri" w:cs="Calibri"/>
          <w:kern w:val="0"/>
          <w:szCs w:val="22"/>
          <w:u w:color="0000FF"/>
          <w:lang w:val="en-GB"/>
        </w:rPr>
        <w:t xml:space="preserve"> responsible for and involved in the development of clinical guidelines. </w:t>
      </w:r>
      <w:r>
        <w:rPr>
          <w:rFonts w:ascii="Calibri" w:hAnsi="Calibri" w:cs="Calibri"/>
          <w:kern w:val="0"/>
          <w:szCs w:val="22"/>
          <w:u w:color="0000FF"/>
          <w:lang w:val="en-GB"/>
        </w:rPr>
        <w:t xml:space="preserve">Ownership of </w:t>
      </w:r>
      <w:r w:rsidRPr="007E1B57">
        <w:rPr>
          <w:rFonts w:ascii="Calibri" w:hAnsi="Calibri" w:cs="Calibri"/>
          <w:kern w:val="0"/>
          <w:szCs w:val="22"/>
          <w:u w:color="0000FF"/>
          <w:lang w:val="en-GB"/>
        </w:rPr>
        <w:t xml:space="preserve">any document that is intended to </w:t>
      </w:r>
      <w:r w:rsidRPr="007E1B57">
        <w:rPr>
          <w:rFonts w:ascii="Calibri" w:hAnsi="Calibri" w:cs="Calibri"/>
          <w:kern w:val="0"/>
          <w:szCs w:val="22"/>
          <w:u w:color="0000FF"/>
          <w:lang w:val="en-GB"/>
        </w:rPr>
        <w:lastRenderedPageBreak/>
        <w:t xml:space="preserve">guide clinical practice </w:t>
      </w:r>
      <w:r>
        <w:rPr>
          <w:rFonts w:ascii="Calibri" w:hAnsi="Calibri" w:cs="Calibri"/>
          <w:kern w:val="0"/>
          <w:szCs w:val="22"/>
          <w:u w:color="0000FF"/>
          <w:lang w:val="en-GB"/>
        </w:rPr>
        <w:t>is determined by t</w:t>
      </w:r>
      <w:r w:rsidRPr="007E1B57">
        <w:rPr>
          <w:rFonts w:ascii="Calibri" w:hAnsi="Calibri" w:cs="Calibri"/>
          <w:kern w:val="0"/>
          <w:szCs w:val="22"/>
          <w:u w:color="0000FF"/>
          <w:lang w:val="en-GB"/>
        </w:rPr>
        <w:t xml:space="preserve">he professional group it applies to, the area of practice, and </w:t>
      </w:r>
      <w:r>
        <w:rPr>
          <w:rFonts w:ascii="Calibri" w:hAnsi="Calibri" w:cs="Calibri"/>
          <w:kern w:val="0"/>
          <w:szCs w:val="22"/>
          <w:u w:color="0000FF"/>
          <w:lang w:val="en-GB"/>
        </w:rPr>
        <w:t>whether the</w:t>
      </w:r>
      <w:r w:rsidRPr="007E1B57">
        <w:rPr>
          <w:rFonts w:ascii="Calibri" w:hAnsi="Calibri" w:cs="Calibri"/>
          <w:kern w:val="0"/>
          <w:szCs w:val="22"/>
          <w:u w:color="0000FF"/>
          <w:lang w:val="en-GB"/>
        </w:rPr>
        <w:t xml:space="preserve"> document is a guideline, protocol, or standard operating procedure. Any changes to standards or policies undergoes a process of consultation, approval, and implementation that involves endorsement by TSANZ, </w:t>
      </w:r>
      <w:r>
        <w:rPr>
          <w:rFonts w:ascii="Calibri" w:hAnsi="Calibri" w:cs="Calibri"/>
          <w:kern w:val="0"/>
          <w:szCs w:val="22"/>
          <w:u w:color="0000FF"/>
          <w:lang w:val="en-GB"/>
        </w:rPr>
        <w:t>the Australian Transplant Coordinators Association (</w:t>
      </w:r>
      <w:r w:rsidRPr="007E1B57">
        <w:rPr>
          <w:rFonts w:ascii="Calibri" w:hAnsi="Calibri" w:cs="Calibri"/>
          <w:kern w:val="0"/>
          <w:szCs w:val="22"/>
          <w:u w:color="0000FF"/>
          <w:lang w:val="en-GB"/>
        </w:rPr>
        <w:t>ATCA</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 xml:space="preserve">the </w:t>
      </w:r>
      <w:r w:rsidRPr="007E1B57">
        <w:rPr>
          <w:rFonts w:ascii="Calibri" w:hAnsi="Calibri" w:cs="Calibri"/>
          <w:kern w:val="0"/>
          <w:szCs w:val="22"/>
          <w:u w:color="0000FF"/>
          <w:lang w:val="en-GB"/>
        </w:rPr>
        <w:t>OTA and any other relevant professional bodies.</w:t>
      </w:r>
    </w:p>
    <w:p w14:paraId="5B67FE84" w14:textId="77777777" w:rsidR="006C6EBA" w:rsidRPr="008B53B2" w:rsidRDefault="006C6EBA" w:rsidP="00EA22AE">
      <w:pPr>
        <w:pStyle w:val="Heading2"/>
        <w:spacing w:after="120"/>
      </w:pPr>
      <w:bookmarkStart w:id="326" w:name="_Organisations_and_agencies"/>
      <w:bookmarkStart w:id="327" w:name="_Toc135131424"/>
      <w:bookmarkEnd w:id="326"/>
      <w:r w:rsidRPr="008B53B2">
        <w:t>Organisations and agencies involved in donation and transplantation in Australia</w:t>
      </w:r>
      <w:bookmarkEnd w:id="327"/>
    </w:p>
    <w:p w14:paraId="5B28929D" w14:textId="77777777" w:rsidR="008B53B2" w:rsidRPr="007E1B57" w:rsidRDefault="008B53B2"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There are many different organisations and groups that play important roles and are integral to the success and safety of donation and transplantation in Australia. These include government and non-government organisations and agencies, hospitals, professional associations and societies, and community groups. There is a significant voluntary contribution of time and effort in both the professional and community areas. The following sections outline some key functions and features of some of these organisations.</w:t>
      </w:r>
    </w:p>
    <w:p w14:paraId="5D29109F" w14:textId="77777777" w:rsidR="006C6EBA" w:rsidRPr="006720E4" w:rsidRDefault="006C6EBA" w:rsidP="00EA22AE">
      <w:pPr>
        <w:pStyle w:val="Heading3"/>
        <w:spacing w:after="120"/>
      </w:pPr>
      <w:r w:rsidRPr="006720E4">
        <w:t xml:space="preserve">Organ and Tissue Authority and organ donation agencies </w:t>
      </w:r>
    </w:p>
    <w:p w14:paraId="7CE08CB2" w14:textId="5C22F628" w:rsidR="00887A80" w:rsidRPr="00887A80" w:rsidRDefault="00887A8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The Australian Organ and Tissue Donation and Transplantation Authority, known as the Organ and Tissue Authority (OTA), was established in 2009</w:t>
      </w:r>
      <w:r>
        <w:rPr>
          <w:rFonts w:ascii="Calibri" w:hAnsi="Calibri" w:cs="Calibri"/>
          <w:kern w:val="0"/>
          <w:szCs w:val="22"/>
          <w:u w:color="0000FF"/>
          <w:lang w:val="en-GB"/>
        </w:rPr>
        <w:t xml:space="preserve"> </w:t>
      </w:r>
      <w:r w:rsidRPr="006720E4">
        <w:rPr>
          <w:rFonts w:ascii="Calibri" w:hAnsi="Calibri" w:cs="Calibri"/>
          <w:color w:val="000000" w:themeColor="text1"/>
        </w:rPr>
        <w:t>to manage the implementation of the national reform program</w:t>
      </w:r>
      <w:r>
        <w:rPr>
          <w:rFonts w:ascii="Calibri" w:hAnsi="Calibri" w:cs="Calibri"/>
          <w:color w:val="000000" w:themeColor="text1"/>
        </w:rPr>
        <w:t xml:space="preserve">. </w:t>
      </w:r>
      <w:r w:rsidRPr="006720E4">
        <w:rPr>
          <w:rFonts w:ascii="Calibri" w:hAnsi="Calibri" w:cs="Calibri"/>
          <w:color w:val="000000" w:themeColor="text1"/>
        </w:rPr>
        <w:t xml:space="preserve">The goal of the national reform program is to implement a world’s best practice approach to organ and tissue donation for transplantation. </w:t>
      </w:r>
      <w:r w:rsidRPr="007E1B57">
        <w:rPr>
          <w:rFonts w:ascii="Calibri" w:hAnsi="Calibri" w:cs="Calibri"/>
          <w:kern w:val="0"/>
          <w:szCs w:val="22"/>
          <w:u w:color="0000FF"/>
          <w:lang w:val="en-GB"/>
        </w:rPr>
        <w:t xml:space="preserve">The OTA undertakes a leadership and </w:t>
      </w:r>
      <w:r w:rsidRPr="00887A80">
        <w:rPr>
          <w:rFonts w:ascii="Calibri" w:hAnsi="Calibri" w:cs="Calibri"/>
          <w:kern w:val="0"/>
          <w:szCs w:val="22"/>
          <w:u w:color="0000FF"/>
          <w:lang w:val="en-GB"/>
        </w:rPr>
        <w:t xml:space="preserve">coordinating role, working with state and territory governments, clinicians, and the community, to develop and lead the implementation of initiatives to increase and improve the safety and efficiency of donation and transplantation. </w:t>
      </w:r>
    </w:p>
    <w:p w14:paraId="59C09F17" w14:textId="77777777" w:rsidR="00887A80" w:rsidRPr="00887A80" w:rsidRDefault="00887A80" w:rsidP="00EA22AE">
      <w:pPr>
        <w:spacing w:after="120"/>
        <w:rPr>
          <w:rFonts w:ascii="Calibri" w:hAnsi="Calibri" w:cs="Calibri"/>
          <w:color w:val="000000" w:themeColor="text1"/>
          <w:sz w:val="22"/>
          <w:szCs w:val="22"/>
        </w:rPr>
      </w:pPr>
      <w:r w:rsidRPr="00887A80">
        <w:rPr>
          <w:rFonts w:ascii="Calibri" w:hAnsi="Calibri" w:cs="Calibri"/>
          <w:color w:val="000000" w:themeColor="text1"/>
          <w:sz w:val="22"/>
          <w:szCs w:val="22"/>
        </w:rPr>
        <w:t xml:space="preserve">The OTA contributes funding for the employment of donation specialist staff within hospitals and in each state and territory DonateLife Agency, which together comprise the DonateLife Network. </w:t>
      </w:r>
    </w:p>
    <w:p w14:paraId="2B68F182" w14:textId="77777777" w:rsidR="00887A80" w:rsidRDefault="006C6EBA" w:rsidP="00EA22AE">
      <w:pPr>
        <w:spacing w:after="120"/>
        <w:rPr>
          <w:rFonts w:ascii="Calibri" w:hAnsi="Calibri" w:cs="Calibri"/>
          <w:color w:val="000000" w:themeColor="text1"/>
          <w:sz w:val="22"/>
          <w:szCs w:val="22"/>
        </w:rPr>
      </w:pPr>
      <w:r w:rsidRPr="00887A80">
        <w:rPr>
          <w:rFonts w:ascii="Calibri" w:hAnsi="Calibri" w:cs="Calibri"/>
          <w:color w:val="000000" w:themeColor="text1"/>
          <w:sz w:val="22"/>
          <w:szCs w:val="22"/>
        </w:rPr>
        <w:t xml:space="preserve">The DonateLife Network includes more than 90 hospitals across the country that cover more than 95% of deceased donation activity. Professional donation roles include medical and nursing management leadership roles who help lead the DonateLife Agencies and Network consisting of specialist medical and nursing staff who have responsibilities of implementing clinical best practice, identifying and removing barriers to donation, managing donor referrals, undertaking donor assessment, providing family support and communication, coordinating the donation and retrieval processes as well as contributing to professional and community education. </w:t>
      </w:r>
    </w:p>
    <w:p w14:paraId="5079FFE0" w14:textId="40BCA121" w:rsidR="006C6EBA" w:rsidRPr="00887A80" w:rsidRDefault="00887A80" w:rsidP="00EA22AE">
      <w:pPr>
        <w:spacing w:after="120"/>
        <w:rPr>
          <w:rFonts w:ascii="Calibri" w:hAnsi="Calibri" w:cs="Calibri"/>
          <w:color w:val="000000" w:themeColor="text1"/>
          <w:sz w:val="22"/>
          <w:szCs w:val="22"/>
        </w:rPr>
      </w:pPr>
      <w:proofErr w:type="spellStart"/>
      <w:r>
        <w:rPr>
          <w:rFonts w:ascii="Calibri" w:hAnsi="Calibri" w:cs="Calibri"/>
          <w:color w:val="000000" w:themeColor="text1"/>
          <w:sz w:val="22"/>
          <w:szCs w:val="22"/>
        </w:rPr>
        <w:t>Donatelife</w:t>
      </w:r>
      <w:proofErr w:type="spellEnd"/>
      <w:r w:rsidR="006C6EBA" w:rsidRPr="00887A80">
        <w:rPr>
          <w:rFonts w:ascii="Calibri" w:hAnsi="Calibri" w:cs="Calibri"/>
          <w:color w:val="000000" w:themeColor="text1"/>
          <w:sz w:val="22"/>
          <w:szCs w:val="22"/>
        </w:rPr>
        <w:t xml:space="preserve"> staff work closely with intensive care staff, emergency department staff, hospital executive and other key personnel to ensure all of the steps for supporting donation are optimised. This includes ensuring all potential donation opportunities are recognised, that families of potential donors receive excellent care and communication, and that the process of donation is undertaken to a high medical and ethical standard.</w:t>
      </w:r>
    </w:p>
    <w:p w14:paraId="4974BBDE" w14:textId="77777777" w:rsidR="00887A80" w:rsidRPr="007E1B57" w:rsidRDefault="00887A80" w:rsidP="00EA22AE">
      <w:pPr>
        <w:pStyle w:val="Guidelinesnormalparagraph"/>
        <w:rPr>
          <w:rFonts w:ascii="Calibri" w:hAnsi="Calibri" w:cs="Calibri"/>
          <w:kern w:val="0"/>
          <w:szCs w:val="22"/>
          <w:u w:color="0000FF"/>
          <w:lang w:val="en-GB"/>
        </w:rPr>
      </w:pPr>
      <w:r w:rsidRPr="00887A80">
        <w:rPr>
          <w:rFonts w:ascii="Calibri" w:hAnsi="Calibri" w:cs="Calibri"/>
          <w:kern w:val="0"/>
          <w:szCs w:val="22"/>
          <w:u w:color="0000FF"/>
          <w:lang w:val="en-GB"/>
        </w:rPr>
        <w:t>For more information</w:t>
      </w:r>
      <w:r>
        <w:rPr>
          <w:rFonts w:ascii="Calibri" w:hAnsi="Calibri" w:cs="Calibri"/>
          <w:kern w:val="0"/>
          <w:szCs w:val="22"/>
          <w:u w:color="0000FF"/>
          <w:lang w:val="en-GB"/>
        </w:rPr>
        <w:t xml:space="preserve"> about the OTA and the role of </w:t>
      </w:r>
      <w:proofErr w:type="spellStart"/>
      <w:r>
        <w:rPr>
          <w:rFonts w:ascii="Calibri" w:hAnsi="Calibri" w:cs="Calibri"/>
          <w:kern w:val="0"/>
          <w:szCs w:val="22"/>
          <w:u w:color="0000FF"/>
          <w:lang w:val="en-GB"/>
        </w:rPr>
        <w:t>DonateLife</w:t>
      </w:r>
      <w:proofErr w:type="spellEnd"/>
      <w:r>
        <w:rPr>
          <w:rFonts w:ascii="Calibri" w:hAnsi="Calibri" w:cs="Calibri"/>
          <w:kern w:val="0"/>
          <w:szCs w:val="22"/>
          <w:u w:color="0000FF"/>
          <w:lang w:val="en-GB"/>
        </w:rPr>
        <w:t xml:space="preserve">, see: </w:t>
      </w:r>
      <w:hyperlink r:id="rId16" w:history="1">
        <w:r w:rsidRPr="009006B0">
          <w:rPr>
            <w:rStyle w:val="Hyperlink"/>
            <w:rFonts w:cs="Calibri"/>
            <w:szCs w:val="22"/>
            <w:lang w:val="en-GB"/>
          </w:rPr>
          <w:t>https://www.donatelife.gov.au</w:t>
        </w:r>
      </w:hyperlink>
    </w:p>
    <w:p w14:paraId="5F64B6B9" w14:textId="77777777" w:rsidR="006C6EBA" w:rsidRPr="006720E4" w:rsidRDefault="006C6EBA" w:rsidP="00EA22AE">
      <w:pPr>
        <w:pStyle w:val="Heading3"/>
        <w:spacing w:after="120"/>
      </w:pPr>
      <w:r w:rsidRPr="006720E4">
        <w:t>State and territory governments</w:t>
      </w:r>
    </w:p>
    <w:p w14:paraId="35C2B7A4"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The governance and financial resourcing of the donation and transplantation sector is complex with contributions at both a national and state/territory level.  Much of the clinical activity around donation and transplantation happens in the public hospital system, regardless of the jurisdiction. Although state and territory governments are responsible for running and managing public hospitals, the federal government shares responsibility for paying for them, and also funds healthcare in the community or primary care via Medicare.</w:t>
      </w:r>
    </w:p>
    <w:p w14:paraId="0A0BDFA7" w14:textId="77777777" w:rsidR="006C6EBA" w:rsidRPr="006720E4" w:rsidRDefault="006C6EBA" w:rsidP="00EA22AE">
      <w:pPr>
        <w:pStyle w:val="Heading3"/>
        <w:spacing w:after="120"/>
      </w:pPr>
      <w:r w:rsidRPr="006720E4">
        <w:lastRenderedPageBreak/>
        <w:t xml:space="preserve">Organ transplant hospitals and surgical retrieval services </w:t>
      </w:r>
    </w:p>
    <w:p w14:paraId="048FD1AE" w14:textId="3342910E" w:rsidR="006C6EBA" w:rsidRPr="00887A80" w:rsidRDefault="006C6EBA" w:rsidP="00EA22AE">
      <w:pPr>
        <w:pStyle w:val="Pa1"/>
        <w:spacing w:after="120" w:line="240" w:lineRule="auto"/>
        <w:rPr>
          <w:rFonts w:ascii="Calibri" w:eastAsia="Times New Roman" w:hAnsi="Calibri" w:cs="Calibri"/>
          <w:sz w:val="22"/>
          <w:szCs w:val="22"/>
          <w:lang w:eastAsia="en-GB"/>
        </w:rPr>
      </w:pPr>
      <w:r w:rsidRPr="00887A80">
        <w:rPr>
          <w:rFonts w:ascii="Calibri" w:eastAsia="Times New Roman" w:hAnsi="Calibri" w:cs="Calibri"/>
          <w:sz w:val="22"/>
          <w:szCs w:val="22"/>
          <w:lang w:eastAsia="en-GB"/>
        </w:rPr>
        <w:t xml:space="preserve">In Australia there are currently five states that provide organ transplant services. They are based in major public hospitals and known generally as “transplant units”. There are differing organ transplant services available in each state, these are outlined in Table </w:t>
      </w:r>
      <w:r w:rsidR="00887A80" w:rsidRPr="00887A80">
        <w:rPr>
          <w:rFonts w:ascii="Calibri" w:eastAsia="Times New Roman" w:hAnsi="Calibri" w:cs="Calibri"/>
          <w:sz w:val="22"/>
          <w:szCs w:val="22"/>
          <w:lang w:eastAsia="en-GB"/>
        </w:rPr>
        <w:t>2.4</w:t>
      </w:r>
      <w:r w:rsidRPr="00887A80">
        <w:rPr>
          <w:rFonts w:ascii="Calibri" w:eastAsia="Times New Roman" w:hAnsi="Calibri" w:cs="Calibri"/>
          <w:sz w:val="22"/>
          <w:szCs w:val="22"/>
          <w:lang w:eastAsia="en-GB"/>
        </w:rPr>
        <w:t xml:space="preserve">. </w:t>
      </w:r>
    </w:p>
    <w:p w14:paraId="1C6BA2AE" w14:textId="77777777" w:rsidR="006C6EBA" w:rsidRPr="00887A80" w:rsidRDefault="006C6EBA" w:rsidP="00EA22AE">
      <w:pPr>
        <w:spacing w:after="120"/>
        <w:rPr>
          <w:rFonts w:ascii="Calibri" w:hAnsi="Calibri" w:cs="Calibri"/>
          <w:sz w:val="22"/>
          <w:szCs w:val="22"/>
        </w:rPr>
      </w:pPr>
    </w:p>
    <w:p w14:paraId="684CB5F7" w14:textId="1EEA41A9" w:rsidR="006C6EBA" w:rsidRPr="00887A80" w:rsidRDefault="006C6EBA" w:rsidP="00EA22AE">
      <w:pPr>
        <w:spacing w:after="120"/>
        <w:rPr>
          <w:rFonts w:ascii="Calibri" w:hAnsi="Calibri" w:cs="Calibri"/>
          <w:b/>
          <w:bCs/>
          <w:sz w:val="22"/>
          <w:szCs w:val="22"/>
        </w:rPr>
      </w:pPr>
      <w:r w:rsidRPr="00887A80">
        <w:rPr>
          <w:rFonts w:ascii="Calibri" w:hAnsi="Calibri" w:cs="Calibri"/>
          <w:b/>
          <w:bCs/>
          <w:sz w:val="22"/>
          <w:szCs w:val="22"/>
        </w:rPr>
        <w:t xml:space="preserve">Table </w:t>
      </w:r>
      <w:r w:rsidR="00887A80" w:rsidRPr="00887A80">
        <w:rPr>
          <w:rFonts w:ascii="Calibri" w:hAnsi="Calibri" w:cs="Calibri"/>
          <w:b/>
          <w:bCs/>
          <w:sz w:val="22"/>
          <w:szCs w:val="22"/>
        </w:rPr>
        <w:t>2.4</w:t>
      </w:r>
      <w:r w:rsidRPr="00887A80">
        <w:rPr>
          <w:rFonts w:ascii="Calibri" w:hAnsi="Calibri" w:cs="Calibri"/>
          <w:b/>
          <w:bCs/>
          <w:sz w:val="22"/>
          <w:szCs w:val="22"/>
        </w:rPr>
        <w:t xml:space="preserve"> Transplant units identified by jurisdiction </w:t>
      </w:r>
      <w:r w:rsidR="00B343A8">
        <w:rPr>
          <w:rFonts w:ascii="Calibri" w:hAnsi="Calibri" w:cs="Calibri"/>
          <w:b/>
          <w:bCs/>
          <w:sz w:val="22"/>
          <w:szCs w:val="22"/>
        </w:rPr>
        <w:t xml:space="preserve">(note these may change over time) </w:t>
      </w:r>
    </w:p>
    <w:tbl>
      <w:tblPr>
        <w:tblStyle w:val="TableGrid"/>
        <w:tblW w:w="0" w:type="auto"/>
        <w:tblLook w:val="04A0" w:firstRow="1" w:lastRow="0" w:firstColumn="1" w:lastColumn="0" w:noHBand="0" w:noVBand="1"/>
      </w:tblPr>
      <w:tblGrid>
        <w:gridCol w:w="3254"/>
        <w:gridCol w:w="5756"/>
      </w:tblGrid>
      <w:tr w:rsidR="006C6EBA" w:rsidRPr="00887A80" w14:paraId="16EED8A0" w14:textId="77777777">
        <w:tc>
          <w:tcPr>
            <w:tcW w:w="3256" w:type="dxa"/>
          </w:tcPr>
          <w:p w14:paraId="61EDACE1"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Transplant unit </w:t>
            </w:r>
          </w:p>
        </w:tc>
        <w:tc>
          <w:tcPr>
            <w:tcW w:w="5760" w:type="dxa"/>
          </w:tcPr>
          <w:p w14:paraId="760E2002"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Jurisdictions </w:t>
            </w:r>
          </w:p>
        </w:tc>
      </w:tr>
      <w:tr w:rsidR="006C6EBA" w:rsidRPr="00887A80" w14:paraId="6452E54C" w14:textId="77777777">
        <w:tc>
          <w:tcPr>
            <w:tcW w:w="3256" w:type="dxa"/>
          </w:tcPr>
          <w:p w14:paraId="63F93B2E"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Heart </w:t>
            </w:r>
          </w:p>
        </w:tc>
        <w:tc>
          <w:tcPr>
            <w:tcW w:w="5760" w:type="dxa"/>
          </w:tcPr>
          <w:p w14:paraId="6B60315E"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NSW, QLD, VIC incl paediatric &amp; WA </w:t>
            </w:r>
          </w:p>
        </w:tc>
      </w:tr>
      <w:tr w:rsidR="006C6EBA" w:rsidRPr="00887A80" w14:paraId="6C9E8B85" w14:textId="77777777">
        <w:tc>
          <w:tcPr>
            <w:tcW w:w="3256" w:type="dxa"/>
          </w:tcPr>
          <w:p w14:paraId="5B338214"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Lungs </w:t>
            </w:r>
          </w:p>
        </w:tc>
        <w:tc>
          <w:tcPr>
            <w:tcW w:w="5760" w:type="dxa"/>
          </w:tcPr>
          <w:p w14:paraId="62122190"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NSW, QLD, VIC incl. paediatric &amp; WA</w:t>
            </w:r>
          </w:p>
        </w:tc>
      </w:tr>
      <w:tr w:rsidR="006C6EBA" w:rsidRPr="00887A80" w14:paraId="6EEDE2B2" w14:textId="77777777">
        <w:tc>
          <w:tcPr>
            <w:tcW w:w="3256" w:type="dxa"/>
          </w:tcPr>
          <w:p w14:paraId="195B50F9"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Liver adult</w:t>
            </w:r>
          </w:p>
        </w:tc>
        <w:tc>
          <w:tcPr>
            <w:tcW w:w="5760" w:type="dxa"/>
          </w:tcPr>
          <w:p w14:paraId="5F3E2A69"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NSW, QLD, SA, VIC, WA </w:t>
            </w:r>
          </w:p>
        </w:tc>
      </w:tr>
      <w:tr w:rsidR="006C6EBA" w:rsidRPr="00887A80" w14:paraId="7DE70063" w14:textId="77777777">
        <w:tc>
          <w:tcPr>
            <w:tcW w:w="3256" w:type="dxa"/>
          </w:tcPr>
          <w:p w14:paraId="371EBDBA"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Liver paediatric </w:t>
            </w:r>
          </w:p>
        </w:tc>
        <w:tc>
          <w:tcPr>
            <w:tcW w:w="5760" w:type="dxa"/>
          </w:tcPr>
          <w:p w14:paraId="3161542D"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NSW, QLD, VIC </w:t>
            </w:r>
          </w:p>
        </w:tc>
      </w:tr>
      <w:tr w:rsidR="006C6EBA" w:rsidRPr="00887A80" w14:paraId="0DB0ED2F" w14:textId="77777777">
        <w:tc>
          <w:tcPr>
            <w:tcW w:w="3256" w:type="dxa"/>
          </w:tcPr>
          <w:p w14:paraId="2206BF17"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Kidneys (adult and paediatric) </w:t>
            </w:r>
          </w:p>
        </w:tc>
        <w:tc>
          <w:tcPr>
            <w:tcW w:w="5760" w:type="dxa"/>
          </w:tcPr>
          <w:p w14:paraId="77DDA932"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NSW, QLD, SA, VIC, WA </w:t>
            </w:r>
          </w:p>
        </w:tc>
      </w:tr>
      <w:tr w:rsidR="006C6EBA" w:rsidRPr="00887A80" w14:paraId="2756FAC8" w14:textId="77777777">
        <w:tc>
          <w:tcPr>
            <w:tcW w:w="3256" w:type="dxa"/>
          </w:tcPr>
          <w:p w14:paraId="5787EE07"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Intestines</w:t>
            </w:r>
          </w:p>
        </w:tc>
        <w:tc>
          <w:tcPr>
            <w:tcW w:w="5760" w:type="dxa"/>
          </w:tcPr>
          <w:p w14:paraId="14C3671A"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VIC</w:t>
            </w:r>
          </w:p>
        </w:tc>
      </w:tr>
      <w:tr w:rsidR="006C6EBA" w:rsidRPr="00887A80" w14:paraId="4F167679" w14:textId="77777777">
        <w:tc>
          <w:tcPr>
            <w:tcW w:w="3256" w:type="dxa"/>
          </w:tcPr>
          <w:p w14:paraId="4EDF962F"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Pancreas incl. islets  </w:t>
            </w:r>
          </w:p>
        </w:tc>
        <w:tc>
          <w:tcPr>
            <w:tcW w:w="5760" w:type="dxa"/>
          </w:tcPr>
          <w:p w14:paraId="72916682" w14:textId="77777777"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NSW, SA, VIC</w:t>
            </w:r>
          </w:p>
        </w:tc>
      </w:tr>
    </w:tbl>
    <w:p w14:paraId="2BCBD381" w14:textId="77777777" w:rsidR="006C6EBA" w:rsidRPr="00887A80" w:rsidRDefault="006C6EBA" w:rsidP="00EA22AE">
      <w:pPr>
        <w:pStyle w:val="Pa1"/>
        <w:spacing w:after="120" w:line="240" w:lineRule="auto"/>
        <w:rPr>
          <w:rFonts w:ascii="Calibri" w:eastAsia="Times New Roman" w:hAnsi="Calibri" w:cs="Calibri"/>
          <w:sz w:val="22"/>
          <w:szCs w:val="22"/>
          <w:lang w:eastAsia="en-GB"/>
        </w:rPr>
      </w:pPr>
    </w:p>
    <w:p w14:paraId="457DC3A5" w14:textId="77777777" w:rsidR="006C6EBA" w:rsidRPr="00887A80" w:rsidRDefault="006C6EBA" w:rsidP="00EA22AE">
      <w:pPr>
        <w:pStyle w:val="Pa1"/>
        <w:spacing w:after="120" w:line="240" w:lineRule="auto"/>
        <w:rPr>
          <w:rFonts w:ascii="Calibri" w:hAnsi="Calibri" w:cs="Calibri"/>
          <w:sz w:val="22"/>
          <w:szCs w:val="22"/>
        </w:rPr>
      </w:pPr>
      <w:r w:rsidRPr="00887A80">
        <w:rPr>
          <w:rFonts w:ascii="Calibri" w:eastAsia="Times New Roman" w:hAnsi="Calibri" w:cs="Calibri"/>
          <w:sz w:val="22"/>
          <w:szCs w:val="22"/>
          <w:lang w:eastAsia="en-GB"/>
        </w:rPr>
        <w:t xml:space="preserve">Deceased organ retrieval surgical teams are coordinated from every jurisdiction where transplant services are facilitated. The retrieval teams are comprised of specialised surgeons and other dedicated medical/nursing staff who travel from their respective hospitals to the donor hospital to perform the organ retrieval surgery. There are dedicated thoracic and abdominal retrieval teams that are despatched depending on organs being retrieved and to which jurisdiction the organ will be transplanted. </w:t>
      </w:r>
      <w:r w:rsidRPr="00887A80">
        <w:rPr>
          <w:rFonts w:ascii="Calibri" w:hAnsi="Calibri" w:cs="Calibri"/>
          <w:sz w:val="22"/>
          <w:szCs w:val="22"/>
        </w:rPr>
        <w:t>Not all jurisdictions have a surgical retrieval service, these jurisdictions rely on interstate retrieval services to provide this service.</w:t>
      </w:r>
    </w:p>
    <w:p w14:paraId="04C76B3C" w14:textId="77777777" w:rsidR="006C6EBA" w:rsidRPr="00887A80" w:rsidRDefault="006C6EBA" w:rsidP="00EA22AE">
      <w:pPr>
        <w:pStyle w:val="Heading3"/>
        <w:spacing w:after="120"/>
      </w:pPr>
      <w:r w:rsidRPr="00887A80">
        <w:t xml:space="preserve">Immunogenetics, pathology and microbiology laboratories </w:t>
      </w:r>
    </w:p>
    <w:p w14:paraId="71698B8D" w14:textId="368492B2" w:rsidR="006C6EBA" w:rsidRPr="00887A80" w:rsidRDefault="006C6EBA" w:rsidP="00EA22AE">
      <w:pPr>
        <w:spacing w:after="120"/>
        <w:rPr>
          <w:rFonts w:ascii="Calibri" w:hAnsi="Calibri" w:cs="Calibri"/>
          <w:sz w:val="22"/>
          <w:szCs w:val="22"/>
        </w:rPr>
      </w:pPr>
      <w:r w:rsidRPr="00887A80">
        <w:rPr>
          <w:rFonts w:ascii="Calibri" w:hAnsi="Calibri" w:cs="Calibri"/>
          <w:sz w:val="22"/>
          <w:szCs w:val="22"/>
        </w:rPr>
        <w:t xml:space="preserve">There are five </w:t>
      </w:r>
      <w:hyperlink w:anchor="_Glossary_2" w:history="1">
        <w:r w:rsidRPr="00331FC8">
          <w:rPr>
            <w:rStyle w:val="Hyperlink"/>
            <w:rFonts w:ascii="Calibri" w:hAnsi="Calibri" w:cs="Calibri"/>
            <w:sz w:val="22"/>
            <w:szCs w:val="22"/>
          </w:rPr>
          <w:t>tissue typing</w:t>
        </w:r>
      </w:hyperlink>
      <w:r w:rsidRPr="00887A80">
        <w:rPr>
          <w:rFonts w:ascii="Calibri" w:hAnsi="Calibri" w:cs="Calibri"/>
          <w:sz w:val="22"/>
          <w:szCs w:val="22"/>
        </w:rPr>
        <w:t xml:space="preserve"> laboratories in Australia located in the states with transplant units. The tissue typing laboratories have several functions: </w:t>
      </w:r>
    </w:p>
    <w:p w14:paraId="791B873F" w14:textId="4AF02C5E" w:rsidR="006C6EBA" w:rsidRPr="00887A80" w:rsidRDefault="006C6EBA" w:rsidP="00C3783C">
      <w:pPr>
        <w:pStyle w:val="ListParagraph"/>
        <w:numPr>
          <w:ilvl w:val="0"/>
          <w:numId w:val="143"/>
        </w:numPr>
        <w:spacing w:after="120"/>
        <w:contextualSpacing w:val="0"/>
        <w:rPr>
          <w:rFonts w:cs="Calibri"/>
          <w:szCs w:val="22"/>
        </w:rPr>
      </w:pPr>
      <w:r w:rsidRPr="00887A80">
        <w:rPr>
          <w:rFonts w:cs="Calibri"/>
          <w:szCs w:val="22"/>
        </w:rPr>
        <w:t xml:space="preserve">Providing all </w:t>
      </w:r>
      <w:r w:rsidR="00887A80">
        <w:rPr>
          <w:rFonts w:cs="Calibri"/>
          <w:szCs w:val="22"/>
        </w:rPr>
        <w:t>HLA</w:t>
      </w:r>
      <w:r w:rsidRPr="00887A80">
        <w:rPr>
          <w:rFonts w:cs="Calibri"/>
          <w:szCs w:val="22"/>
        </w:rPr>
        <w:t xml:space="preserve"> and immunogenetics testing for transplant compatibility between recipients and their donors for all deceased and living donor solid organ transplants and related and unrelated stem cell transplants. </w:t>
      </w:r>
    </w:p>
    <w:p w14:paraId="302072CD" w14:textId="77777777" w:rsidR="006C6EBA" w:rsidRPr="00887A80" w:rsidRDefault="006C6EBA" w:rsidP="00C3783C">
      <w:pPr>
        <w:pStyle w:val="ListParagraph"/>
        <w:numPr>
          <w:ilvl w:val="0"/>
          <w:numId w:val="143"/>
        </w:numPr>
        <w:spacing w:after="120"/>
        <w:contextualSpacing w:val="0"/>
        <w:rPr>
          <w:rFonts w:cs="Calibri"/>
          <w:szCs w:val="22"/>
        </w:rPr>
      </w:pPr>
      <w:r w:rsidRPr="00887A80">
        <w:rPr>
          <w:rFonts w:cs="Calibri"/>
          <w:szCs w:val="22"/>
        </w:rPr>
        <w:t>Providing pre and post transplantation testing for organ recipients.</w:t>
      </w:r>
    </w:p>
    <w:p w14:paraId="67E0E023" w14:textId="268033E7" w:rsidR="006C6EBA" w:rsidRPr="00887A80" w:rsidRDefault="006C6EBA" w:rsidP="00C3783C">
      <w:pPr>
        <w:pStyle w:val="ListParagraph"/>
        <w:numPr>
          <w:ilvl w:val="0"/>
          <w:numId w:val="143"/>
        </w:numPr>
        <w:spacing w:after="120"/>
        <w:contextualSpacing w:val="0"/>
        <w:rPr>
          <w:rFonts w:cs="Calibri"/>
          <w:szCs w:val="22"/>
        </w:rPr>
      </w:pPr>
      <w:r w:rsidRPr="00887A80">
        <w:rPr>
          <w:rFonts w:cs="Calibri"/>
          <w:szCs w:val="22"/>
        </w:rPr>
        <w:t>Every organ, eye and tissue donor undergo infectious disease screening as part of a routine workup processes. When required, microbiology testing of samples for either the donor or the recipient are collected and tested. These samples are processed by the laboratories that have Therapeutic Goods Administration accreditation</w:t>
      </w:r>
      <w:r w:rsidR="00887A80">
        <w:rPr>
          <w:rFonts w:cs="Calibri"/>
          <w:szCs w:val="22"/>
        </w:rPr>
        <w:t xml:space="preserve"> (see </w:t>
      </w:r>
      <w:hyperlink w:anchor="_Therapeutics_Goods_Administration" w:history="1">
        <w:r w:rsidR="00887A80" w:rsidRPr="00887A80">
          <w:rPr>
            <w:rStyle w:val="Hyperlink"/>
            <w:rFonts w:cs="Calibri"/>
            <w:szCs w:val="22"/>
          </w:rPr>
          <w:t>Chapter 2.3.5</w:t>
        </w:r>
      </w:hyperlink>
      <w:r w:rsidR="00887A80">
        <w:rPr>
          <w:rFonts w:cs="Calibri"/>
          <w:szCs w:val="22"/>
        </w:rPr>
        <w:t>)</w:t>
      </w:r>
      <w:r w:rsidRPr="00887A80">
        <w:rPr>
          <w:rFonts w:cs="Calibri"/>
          <w:szCs w:val="22"/>
        </w:rPr>
        <w:t xml:space="preserve">. </w:t>
      </w:r>
    </w:p>
    <w:p w14:paraId="39038B5D" w14:textId="77777777" w:rsidR="006C6EBA" w:rsidRPr="00EA22AE" w:rsidRDefault="006C6EBA" w:rsidP="00EA22AE">
      <w:pPr>
        <w:pStyle w:val="Heading3"/>
        <w:spacing w:after="120"/>
      </w:pPr>
      <w:bookmarkStart w:id="328" w:name="_Therapeutics_Goods_Administration"/>
      <w:bookmarkEnd w:id="328"/>
      <w:r w:rsidRPr="00EA22AE">
        <w:t>Therapeutics Goods Administration</w:t>
      </w:r>
    </w:p>
    <w:p w14:paraId="5098DE94" w14:textId="77777777" w:rsidR="00EA22AE" w:rsidRDefault="00887A8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The Therapeutic Goods Administration (TGA) has the remit to ensure the adequate level of safety and quality in biologicals used as therapeutic goods in Australia within the legislated Biologicals Framework. </w:t>
      </w:r>
    </w:p>
    <w:p w14:paraId="76893FED" w14:textId="6F920A0F" w:rsidR="00EA22AE" w:rsidRPr="00EA22AE" w:rsidRDefault="006C6EBA" w:rsidP="00EA22AE">
      <w:pPr>
        <w:pStyle w:val="Guidelinesnormalparagraph"/>
        <w:rPr>
          <w:rFonts w:ascii="Calibri" w:hAnsi="Calibri" w:cs="Calibri"/>
          <w:kern w:val="0"/>
          <w:szCs w:val="22"/>
          <w:u w:color="0000FF"/>
          <w:lang w:val="en-GB"/>
        </w:rPr>
      </w:pPr>
      <w:r w:rsidRPr="00887A80">
        <w:rPr>
          <w:rFonts w:ascii="Calibri" w:hAnsi="Calibri" w:cs="Calibri"/>
          <w:szCs w:val="22"/>
        </w:rPr>
        <w:t xml:space="preserve">This includes organs (as Class I biologicals) and </w:t>
      </w:r>
      <w:r w:rsidR="00887A80">
        <w:rPr>
          <w:rFonts w:ascii="Calibri" w:hAnsi="Calibri" w:cs="Calibri"/>
          <w:szCs w:val="22"/>
        </w:rPr>
        <w:t>t</w:t>
      </w:r>
      <w:r w:rsidRPr="00887A80">
        <w:rPr>
          <w:rFonts w:ascii="Calibri" w:hAnsi="Calibri" w:cs="Calibri"/>
          <w:szCs w:val="22"/>
        </w:rPr>
        <w:t>issues (as Class II or Class III biologicals)</w:t>
      </w:r>
      <w:r w:rsidR="00887A80">
        <w:rPr>
          <w:rFonts w:ascii="Calibri" w:hAnsi="Calibri" w:cs="Calibri"/>
          <w:szCs w:val="22"/>
        </w:rPr>
        <w:t xml:space="preserve">, with the </w:t>
      </w:r>
      <w:r w:rsidRPr="00887A80">
        <w:rPr>
          <w:rFonts w:ascii="Calibri" w:hAnsi="Calibri" w:cs="Calibri"/>
          <w:szCs w:val="22"/>
        </w:rPr>
        <w:t xml:space="preserve">TGA </w:t>
      </w:r>
      <w:r w:rsidR="00887A80">
        <w:rPr>
          <w:rFonts w:ascii="Calibri" w:hAnsi="Calibri" w:cs="Calibri"/>
          <w:szCs w:val="22"/>
        </w:rPr>
        <w:t xml:space="preserve">required </w:t>
      </w:r>
      <w:r w:rsidRPr="00887A80">
        <w:rPr>
          <w:rFonts w:ascii="Calibri" w:hAnsi="Calibri" w:cs="Calibri"/>
          <w:szCs w:val="22"/>
        </w:rPr>
        <w:t xml:space="preserve">to either delegate or directly provide operational licenses, such as </w:t>
      </w:r>
      <w:r w:rsidR="00887A80">
        <w:rPr>
          <w:rFonts w:ascii="Calibri" w:hAnsi="Calibri" w:cs="Calibri"/>
          <w:szCs w:val="22"/>
        </w:rPr>
        <w:t xml:space="preserve">for </w:t>
      </w:r>
      <w:r w:rsidRPr="00887A80">
        <w:rPr>
          <w:rFonts w:ascii="Calibri" w:hAnsi="Calibri" w:cs="Calibri"/>
          <w:szCs w:val="22"/>
        </w:rPr>
        <w:t xml:space="preserve">eye and tissue banks, and </w:t>
      </w:r>
      <w:r w:rsidR="00887A80">
        <w:rPr>
          <w:rFonts w:ascii="Calibri" w:hAnsi="Calibri" w:cs="Calibri"/>
          <w:szCs w:val="22"/>
        </w:rPr>
        <w:t xml:space="preserve">to </w:t>
      </w:r>
      <w:r w:rsidRPr="00887A80">
        <w:rPr>
          <w:rFonts w:ascii="Calibri" w:hAnsi="Calibri" w:cs="Calibri"/>
          <w:szCs w:val="22"/>
        </w:rPr>
        <w:t xml:space="preserve">audit their compliance against established operational standards. These include strict </w:t>
      </w:r>
      <w:r w:rsidRPr="00887A80">
        <w:rPr>
          <w:rFonts w:ascii="Calibri" w:hAnsi="Calibri" w:cs="Calibri"/>
          <w:szCs w:val="22"/>
        </w:rPr>
        <w:lastRenderedPageBreak/>
        <w:t xml:space="preserve">protocols in donor risk assessment and exclusion criteria, graft processing, storage and distribution conditions. </w:t>
      </w:r>
    </w:p>
    <w:p w14:paraId="008ADCED" w14:textId="1BCC660C" w:rsidR="006C6EBA" w:rsidRPr="00887A80" w:rsidRDefault="006C6EBA" w:rsidP="00EA22AE">
      <w:pPr>
        <w:spacing w:before="240" w:after="120"/>
        <w:rPr>
          <w:rFonts w:ascii="Calibri" w:hAnsi="Calibri" w:cs="Calibri"/>
          <w:sz w:val="22"/>
          <w:szCs w:val="22"/>
        </w:rPr>
      </w:pPr>
      <w:r w:rsidRPr="00887A80">
        <w:rPr>
          <w:rFonts w:ascii="Calibri" w:hAnsi="Calibri" w:cs="Calibri"/>
          <w:sz w:val="22"/>
          <w:szCs w:val="22"/>
        </w:rPr>
        <w:t xml:space="preserve">The TGA also verifies that imported tissue grafts distributed in Australia by </w:t>
      </w:r>
      <w:r w:rsidR="00887A80" w:rsidRPr="00887A80">
        <w:rPr>
          <w:rFonts w:ascii="Calibri" w:hAnsi="Calibri" w:cs="Calibri"/>
          <w:sz w:val="22"/>
          <w:szCs w:val="22"/>
        </w:rPr>
        <w:t>ti</w:t>
      </w:r>
      <w:r w:rsidRPr="00887A80">
        <w:rPr>
          <w:rFonts w:ascii="Calibri" w:hAnsi="Calibri" w:cs="Calibri"/>
          <w:sz w:val="22"/>
          <w:szCs w:val="22"/>
        </w:rPr>
        <w:t>ssue</w:t>
      </w:r>
      <w:r w:rsidR="00887A80" w:rsidRPr="00887A80">
        <w:rPr>
          <w:rFonts w:ascii="Calibri" w:hAnsi="Calibri" w:cs="Calibri"/>
          <w:sz w:val="22"/>
          <w:szCs w:val="22"/>
        </w:rPr>
        <w:t xml:space="preserve"> banks</w:t>
      </w:r>
      <w:r w:rsidRPr="00887A80">
        <w:rPr>
          <w:rFonts w:ascii="Calibri" w:hAnsi="Calibri" w:cs="Calibri"/>
          <w:sz w:val="22"/>
          <w:szCs w:val="22"/>
        </w:rPr>
        <w:t xml:space="preserve"> or intermediated by commercial distributors meet the nationally required levels of quality and safety. Tissue transplants either donated and manufactured in Australia or imported must be approved by the TGA, in a process that includes listing on the Australian Registry of Therapeutic Goods (ARTG) before distribution to end-users</w:t>
      </w:r>
      <w:r w:rsidR="00887A80" w:rsidRPr="00887A80">
        <w:rPr>
          <w:rFonts w:ascii="Calibri" w:hAnsi="Calibri" w:cs="Calibri"/>
          <w:sz w:val="22"/>
          <w:szCs w:val="22"/>
        </w:rPr>
        <w:t xml:space="preserve"> </w:t>
      </w:r>
      <w:r w:rsidR="00887A80" w:rsidRPr="00887A80">
        <w:rPr>
          <w:rFonts w:ascii="Calibri" w:hAnsi="Calibri" w:cs="Calibri"/>
          <w:sz w:val="22"/>
          <w:szCs w:val="22"/>
          <w:u w:color="0000FF"/>
          <w:lang w:val="en-GB"/>
        </w:rPr>
        <w:t>and use in transplantation</w:t>
      </w:r>
      <w:r w:rsidRPr="00887A80">
        <w:rPr>
          <w:rFonts w:ascii="Calibri" w:hAnsi="Calibri" w:cs="Calibri"/>
          <w:sz w:val="22"/>
          <w:szCs w:val="22"/>
        </w:rPr>
        <w:t>.</w:t>
      </w:r>
    </w:p>
    <w:p w14:paraId="4E0F218D" w14:textId="77777777" w:rsidR="00887A80" w:rsidRPr="007E1B57" w:rsidRDefault="00887A80" w:rsidP="00EA22AE">
      <w:pPr>
        <w:pStyle w:val="Guidelinesnormalparagraph"/>
        <w:rPr>
          <w:rFonts w:ascii="Calibri" w:hAnsi="Calibri" w:cs="Calibri"/>
          <w:kern w:val="0"/>
          <w:szCs w:val="22"/>
          <w:u w:color="0000FF"/>
          <w:lang w:val="en-GB"/>
        </w:rPr>
      </w:pPr>
      <w:r w:rsidRPr="00887A80">
        <w:rPr>
          <w:rFonts w:ascii="Calibri" w:hAnsi="Calibri" w:cs="Calibri"/>
          <w:kern w:val="0"/>
          <w:szCs w:val="22"/>
          <w:u w:color="0000FF"/>
          <w:lang w:val="en-GB"/>
        </w:rPr>
        <w:t>The TGA also oversees tissue banks’ responses to reports of non-compliance and leads investigations and responses to adverse events or</w:t>
      </w:r>
      <w:r w:rsidRPr="007E1B57">
        <w:rPr>
          <w:rFonts w:ascii="Calibri" w:hAnsi="Calibri" w:cs="Calibri"/>
          <w:kern w:val="0"/>
          <w:szCs w:val="22"/>
          <w:u w:color="0000FF"/>
          <w:lang w:val="en-GB"/>
        </w:rPr>
        <w:t xml:space="preserve"> reactions following transplantation, including effective product re-call where required. </w:t>
      </w:r>
    </w:p>
    <w:p w14:paraId="3586FB5C" w14:textId="77777777" w:rsidR="00887A80" w:rsidRPr="00082AB2" w:rsidRDefault="00887A80"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 xml:space="preserve">For more information about the TGA, please see: </w:t>
      </w:r>
      <w:hyperlink r:id="rId17" w:history="1">
        <w:r w:rsidRPr="009006B0">
          <w:rPr>
            <w:rStyle w:val="Hyperlink"/>
            <w:rFonts w:cs="Calibri"/>
            <w:szCs w:val="22"/>
            <w:lang w:val="en-GB"/>
          </w:rPr>
          <w:t>https://www.tga.gov.au</w:t>
        </w:r>
      </w:hyperlink>
    </w:p>
    <w:p w14:paraId="2CE27D73" w14:textId="77777777" w:rsidR="006C6EBA" w:rsidRPr="00887A80" w:rsidRDefault="006C6EBA" w:rsidP="00EA22AE">
      <w:pPr>
        <w:pStyle w:val="Heading3"/>
        <w:spacing w:after="120"/>
      </w:pPr>
      <w:bookmarkStart w:id="329" w:name="_Hlk111033527"/>
      <w:r w:rsidRPr="00887A80">
        <w:t xml:space="preserve">Eye and tissue banks </w:t>
      </w:r>
    </w:p>
    <w:p w14:paraId="4E0F207B" w14:textId="77777777" w:rsidR="00887A80" w:rsidRPr="007E1B57" w:rsidRDefault="00887A8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Australia’s eye and tissue sector comprises</w:t>
      </w:r>
      <w:r>
        <w:rPr>
          <w:rFonts w:ascii="Calibri" w:hAnsi="Calibri" w:cs="Calibri"/>
          <w:kern w:val="0"/>
          <w:szCs w:val="22"/>
          <w:u w:color="0000FF"/>
          <w:lang w:val="en-GB"/>
        </w:rPr>
        <w:t>:</w:t>
      </w:r>
    </w:p>
    <w:p w14:paraId="355DFCD4" w14:textId="77777777" w:rsidR="00887A80" w:rsidRPr="007E1B57" w:rsidRDefault="00887A80" w:rsidP="00C3783C">
      <w:pPr>
        <w:pStyle w:val="Guidelinesnormalparagraph"/>
        <w:numPr>
          <w:ilvl w:val="0"/>
          <w:numId w:val="144"/>
        </w:numPr>
        <w:rPr>
          <w:rFonts w:ascii="Calibri" w:hAnsi="Calibri" w:cs="Calibri"/>
          <w:kern w:val="0"/>
          <w:szCs w:val="22"/>
          <w:u w:color="0000FF"/>
          <w:lang w:val="en-GB"/>
        </w:rPr>
      </w:pPr>
      <w:r w:rsidRPr="007E1B57">
        <w:rPr>
          <w:rFonts w:ascii="Calibri" w:hAnsi="Calibri" w:cs="Calibri"/>
          <w:kern w:val="0"/>
          <w:szCs w:val="22"/>
          <w:u w:color="0000FF"/>
          <w:lang w:val="en-GB"/>
        </w:rPr>
        <w:t xml:space="preserve">public and private not-for-profit eye and tissue banks funded from a range of private and state government resources, </w:t>
      </w:r>
    </w:p>
    <w:p w14:paraId="71B92B4D" w14:textId="77777777" w:rsidR="00887A80" w:rsidRPr="007E1B57" w:rsidRDefault="00887A80" w:rsidP="00C3783C">
      <w:pPr>
        <w:pStyle w:val="Guidelinesnormalparagraph"/>
        <w:numPr>
          <w:ilvl w:val="0"/>
          <w:numId w:val="144"/>
        </w:numPr>
        <w:rPr>
          <w:rFonts w:ascii="Calibri" w:hAnsi="Calibri" w:cs="Calibri"/>
          <w:kern w:val="0"/>
          <w:szCs w:val="22"/>
          <w:u w:color="0000FF"/>
          <w:lang w:val="en-GB"/>
        </w:rPr>
      </w:pPr>
      <w:r w:rsidRPr="007E1B57">
        <w:rPr>
          <w:rFonts w:ascii="Calibri" w:hAnsi="Calibri" w:cs="Calibri"/>
          <w:kern w:val="0"/>
          <w:szCs w:val="22"/>
          <w:u w:color="0000FF"/>
          <w:lang w:val="en-GB"/>
        </w:rPr>
        <w:t>charitable organisations promoting and facilitating eye and tissue donation and,</w:t>
      </w:r>
    </w:p>
    <w:p w14:paraId="5544C84E" w14:textId="64EC51CA" w:rsidR="006C6EBA" w:rsidRPr="00887A80" w:rsidRDefault="00887A80" w:rsidP="00C3783C">
      <w:pPr>
        <w:pStyle w:val="Guidelinesnormalparagraph"/>
        <w:numPr>
          <w:ilvl w:val="0"/>
          <w:numId w:val="144"/>
        </w:numPr>
        <w:rPr>
          <w:rFonts w:ascii="Calibri" w:hAnsi="Calibri" w:cs="Calibri"/>
          <w:kern w:val="0"/>
          <w:szCs w:val="22"/>
          <w:u w:color="0000FF"/>
          <w:lang w:val="en-GB"/>
        </w:rPr>
      </w:pPr>
      <w:r w:rsidRPr="007E1B57">
        <w:rPr>
          <w:rFonts w:ascii="Calibri" w:hAnsi="Calibri" w:cs="Calibri"/>
          <w:kern w:val="0"/>
          <w:szCs w:val="22"/>
          <w:u w:color="0000FF"/>
          <w:lang w:val="en-GB"/>
        </w:rPr>
        <w:t>a number of commercial service providers.</w:t>
      </w:r>
    </w:p>
    <w:p w14:paraId="4AC53C24" w14:textId="601578BF" w:rsidR="006C6EBA" w:rsidRPr="00887A80" w:rsidRDefault="006C6EBA" w:rsidP="00EA22AE">
      <w:pPr>
        <w:pStyle w:val="ListParagraph"/>
        <w:spacing w:after="120"/>
        <w:ind w:left="0"/>
        <w:contextualSpacing w:val="0"/>
        <w:rPr>
          <w:rFonts w:cs="Calibri"/>
          <w:szCs w:val="22"/>
        </w:rPr>
      </w:pPr>
      <w:r w:rsidRPr="00887A80">
        <w:rPr>
          <w:rFonts w:cs="Calibri"/>
          <w:szCs w:val="22"/>
        </w:rPr>
        <w:t>The sector consists of banks that may focus on both eye and tissue</w:t>
      </w:r>
      <w:r w:rsidR="00887A80">
        <w:rPr>
          <w:rFonts w:cs="Calibri"/>
          <w:szCs w:val="22"/>
        </w:rPr>
        <w:t xml:space="preserve"> grafts or tissue-derived</w:t>
      </w:r>
      <w:r w:rsidRPr="00887A80">
        <w:rPr>
          <w:rFonts w:cs="Calibri"/>
          <w:szCs w:val="22"/>
        </w:rPr>
        <w:t xml:space="preserve"> products, only eye, a single tissue, or they may collect and process different types of donated tissue. Collected tissues from a single donor are processed into numerous specialised transplants in dedicated TGA licenced facilities under controlled environments and strict protocols compliant to nationally enacted quality and safety standards. Processed grafts may be stored under appropriate conditions and distributed as needed within their own jurisdiction or nationally. </w:t>
      </w:r>
    </w:p>
    <w:bookmarkEnd w:id="329"/>
    <w:p w14:paraId="0BA108D3" w14:textId="77777777" w:rsidR="006C6EBA" w:rsidRPr="00887A80" w:rsidRDefault="006C6EBA" w:rsidP="00EA22AE">
      <w:pPr>
        <w:autoSpaceDE w:val="0"/>
        <w:autoSpaceDN w:val="0"/>
        <w:adjustRightInd w:val="0"/>
        <w:spacing w:after="120"/>
        <w:rPr>
          <w:rFonts w:ascii="Calibri" w:hAnsi="Calibri" w:cs="Calibri"/>
          <w:sz w:val="22"/>
          <w:szCs w:val="22"/>
        </w:rPr>
      </w:pPr>
      <w:r w:rsidRPr="00887A80">
        <w:rPr>
          <w:rFonts w:ascii="Calibri" w:hAnsi="Calibri" w:cs="Calibri"/>
          <w:sz w:val="22"/>
          <w:szCs w:val="22"/>
        </w:rPr>
        <w:t xml:space="preserve">Working closely with DonateLife Agencies, hospitals, and coronial services, eye and tissue banks cover all aspects of donation including the suitability assessment of potential eye and tissue donors, obtaining consent, the surgical retrieval of eye and other tissue, and the processing, manufacturing, storage and supply/ distribution of eye and other tissue for use in transplantation. </w:t>
      </w:r>
    </w:p>
    <w:p w14:paraId="08F70973" w14:textId="580974FF" w:rsidR="006C6EBA" w:rsidRPr="005A6F56" w:rsidRDefault="005A6F5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Eye and </w:t>
      </w:r>
      <w:r>
        <w:rPr>
          <w:rFonts w:ascii="Calibri" w:hAnsi="Calibri" w:cs="Calibri"/>
          <w:kern w:val="0"/>
          <w:szCs w:val="22"/>
          <w:u w:color="0000FF"/>
          <w:lang w:val="en-GB"/>
        </w:rPr>
        <w:t>t</w:t>
      </w:r>
      <w:r w:rsidRPr="007E1B57">
        <w:rPr>
          <w:rFonts w:ascii="Calibri" w:hAnsi="Calibri" w:cs="Calibri"/>
          <w:kern w:val="0"/>
          <w:szCs w:val="22"/>
          <w:u w:color="0000FF"/>
          <w:lang w:val="en-GB"/>
        </w:rPr>
        <w:t>issue banks are required to operate under the regulatory and licensing system of the TGA</w:t>
      </w:r>
      <w:r>
        <w:rPr>
          <w:rFonts w:ascii="Calibri" w:hAnsi="Calibri" w:cs="Calibri"/>
          <w:kern w:val="0"/>
          <w:szCs w:val="22"/>
          <w:u w:color="0000FF"/>
          <w:lang w:val="en-GB"/>
        </w:rPr>
        <w:t>. They</w:t>
      </w:r>
      <w:r w:rsidRPr="007E1B57">
        <w:rPr>
          <w:rFonts w:ascii="Calibri" w:hAnsi="Calibri" w:cs="Calibri"/>
          <w:kern w:val="0"/>
          <w:szCs w:val="22"/>
          <w:u w:color="0000FF"/>
          <w:lang w:val="en-GB"/>
        </w:rPr>
        <w:t xml:space="preserve"> are audited for compliance with the Code of Good Manufacturing Practice, Human Blood and Tissues</w:t>
      </w:r>
      <w:r>
        <w:rPr>
          <w:rFonts w:ascii="Calibri" w:hAnsi="Calibri" w:cs="Calibri"/>
          <w:kern w:val="0"/>
          <w:szCs w:val="22"/>
          <w:u w:color="0000FF"/>
          <w:lang w:val="en-GB"/>
        </w:rPr>
        <w:t>,</w:t>
      </w:r>
      <w:r>
        <w:rPr>
          <w:rFonts w:ascii="Calibri" w:hAnsi="Calibri" w:cs="Calibri"/>
          <w:kern w:val="0"/>
          <w:szCs w:val="22"/>
          <w:u w:color="0000FF"/>
          <w:lang w:val="en-GB"/>
        </w:rPr>
        <w:fldChar w:fldCharType="begin" w:fldLock="1"/>
      </w:r>
      <w:r w:rsidR="00C12F71">
        <w:rPr>
          <w:rFonts w:ascii="Calibri" w:hAnsi="Calibri" w:cs="Calibri"/>
          <w:kern w:val="0"/>
          <w:szCs w:val="22"/>
          <w:u w:color="0000FF"/>
          <w:lang w:val="en-GB"/>
        </w:rPr>
        <w:instrText>ADDIN CSL_CITATION {"citationItems":[{"id":"ITEM-1","itemData":{"author":[{"dropping-particle":"","family":"Therapeutic Goods Administration","given":"","non-dropping-particle":"","parse-names":false,"suffix":""}],"id":"ITEM-1","issued":{"date-parts":[["2013"]]},"title":"Australian code of good manufacturing practice for human blood and blood components, human tissues and human cellular therapy products","type":"report"},"uris":["http://www.mendeley.com/documents/?uuid=d65576a5-ea73-47ef-ad47-a1d7c273ae49"]}],"mendeley":{"formattedCitation":"(19)","plainTextFormattedCitation":"(19)","previouslyFormattedCitation":"(19)"},"properties":{"noteIndex":0},"schema":"https://github.com/citation-style-language/schema/raw/master/csl-citation.json"}</w:instrText>
      </w:r>
      <w:r>
        <w:rPr>
          <w:rFonts w:ascii="Calibri" w:hAnsi="Calibri" w:cs="Calibri"/>
          <w:kern w:val="0"/>
          <w:szCs w:val="22"/>
          <w:u w:color="0000FF"/>
          <w:lang w:val="en-GB"/>
        </w:rPr>
        <w:fldChar w:fldCharType="separate"/>
      </w:r>
      <w:r w:rsidR="000B7242" w:rsidRPr="000B7242">
        <w:rPr>
          <w:rFonts w:ascii="Calibri" w:hAnsi="Calibri" w:cs="Calibri"/>
          <w:noProof/>
          <w:kern w:val="0"/>
          <w:szCs w:val="22"/>
          <w:u w:color="0000FF"/>
          <w:lang w:val="en-GB"/>
        </w:rPr>
        <w:t>(19)</w:t>
      </w:r>
      <w:r>
        <w:rPr>
          <w:rFonts w:ascii="Calibri" w:hAnsi="Calibri" w:cs="Calibri"/>
          <w:kern w:val="0"/>
          <w:szCs w:val="22"/>
          <w:u w:color="0000FF"/>
          <w:lang w:val="en-GB"/>
        </w:rPr>
        <w:fldChar w:fldCharType="end"/>
      </w:r>
      <w:r w:rsidRPr="007E1B57">
        <w:rPr>
          <w:rFonts w:ascii="Calibri" w:hAnsi="Calibri" w:cs="Calibri"/>
          <w:kern w:val="0"/>
          <w:szCs w:val="22"/>
          <w:u w:color="0000FF"/>
          <w:lang w:val="en-GB"/>
        </w:rPr>
        <w:t xml:space="preserve"> and </w:t>
      </w:r>
      <w:r>
        <w:rPr>
          <w:rFonts w:ascii="Calibri" w:hAnsi="Calibri" w:cs="Calibri"/>
          <w:kern w:val="0"/>
          <w:szCs w:val="22"/>
          <w:u w:color="0000FF"/>
          <w:lang w:val="en-GB"/>
        </w:rPr>
        <w:t xml:space="preserve">must </w:t>
      </w:r>
      <w:r w:rsidRPr="007E1B57">
        <w:rPr>
          <w:rFonts w:ascii="Calibri" w:hAnsi="Calibri" w:cs="Calibri"/>
          <w:kern w:val="0"/>
          <w:szCs w:val="22"/>
          <w:u w:color="0000FF"/>
          <w:lang w:val="en-GB"/>
        </w:rPr>
        <w:t xml:space="preserve">be accredited to the </w:t>
      </w:r>
      <w:hyperlink r:id="rId18" w:history="1">
        <w:r w:rsidRPr="00AE4A87">
          <w:rPr>
            <w:rStyle w:val="Hyperlink"/>
            <w:rFonts w:cs="Calibri"/>
            <w:szCs w:val="22"/>
            <w:lang w:val="en-GB"/>
          </w:rPr>
          <w:t>National Association of Testing Authorities</w:t>
        </w:r>
      </w:hyperlink>
      <w:r w:rsidRPr="007E1B57">
        <w:rPr>
          <w:rFonts w:ascii="Calibri" w:hAnsi="Calibri" w:cs="Calibri"/>
          <w:kern w:val="0"/>
          <w:szCs w:val="22"/>
          <w:u w:color="0000FF"/>
          <w:lang w:val="en-GB"/>
        </w:rPr>
        <w:t>.</w:t>
      </w:r>
    </w:p>
    <w:p w14:paraId="08324484" w14:textId="2D3A313A" w:rsidR="006C6EBA" w:rsidRPr="005A6F56" w:rsidRDefault="006C6EBA" w:rsidP="00EA22AE">
      <w:pPr>
        <w:pStyle w:val="Heading3"/>
        <w:spacing w:after="120"/>
      </w:pPr>
      <w:bookmarkStart w:id="330" w:name="_Blood_and_marrow_1"/>
      <w:bookmarkEnd w:id="330"/>
      <w:r w:rsidRPr="005A6F56">
        <w:t xml:space="preserve">Blood and marrow stem cell donation and transplantation organisations </w:t>
      </w:r>
    </w:p>
    <w:p w14:paraId="08D90C3E" w14:textId="77777777" w:rsidR="005A6F56" w:rsidRPr="007E1B57" w:rsidRDefault="005A6F5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The Australian Bone Marrow Donor Registry (ABMDR) is the only organisation in Australia responsible for arranging blood or marrow stem cell donations for patients in need of a </w:t>
      </w:r>
      <w:r>
        <w:rPr>
          <w:rFonts w:ascii="Calibri" w:hAnsi="Calibri" w:cs="Calibri"/>
          <w:kern w:val="0"/>
          <w:szCs w:val="22"/>
          <w:u w:color="0000FF"/>
          <w:lang w:val="en-GB"/>
        </w:rPr>
        <w:t xml:space="preserve">HSC </w:t>
      </w:r>
      <w:r w:rsidRPr="007E1B57">
        <w:rPr>
          <w:rFonts w:ascii="Calibri" w:hAnsi="Calibri" w:cs="Calibri"/>
          <w:kern w:val="0"/>
          <w:szCs w:val="22"/>
          <w:u w:color="0000FF"/>
          <w:lang w:val="en-GB"/>
        </w:rPr>
        <w:t xml:space="preserve">transplant, who have not found a suitable match among their relatives. ABMDR recruits volunteer prospective </w:t>
      </w:r>
      <w:r>
        <w:rPr>
          <w:rFonts w:ascii="Calibri" w:hAnsi="Calibri" w:cs="Calibri"/>
          <w:kern w:val="0"/>
          <w:szCs w:val="22"/>
          <w:u w:color="0000FF"/>
          <w:lang w:val="en-GB"/>
        </w:rPr>
        <w:t>HSC</w:t>
      </w:r>
      <w:r w:rsidRPr="007E1B57">
        <w:rPr>
          <w:rFonts w:ascii="Calibri" w:hAnsi="Calibri" w:cs="Calibri"/>
          <w:kern w:val="0"/>
          <w:szCs w:val="22"/>
          <w:u w:color="0000FF"/>
          <w:lang w:val="en-GB"/>
        </w:rPr>
        <w:t xml:space="preserve"> donors within Australia, facilitates the local </w:t>
      </w:r>
      <w:r>
        <w:rPr>
          <w:rFonts w:ascii="Calibri" w:hAnsi="Calibri" w:cs="Calibri"/>
          <w:kern w:val="0"/>
          <w:szCs w:val="22"/>
          <w:u w:color="0000FF"/>
          <w:lang w:val="en-GB"/>
        </w:rPr>
        <w:t>or</w:t>
      </w:r>
      <w:r w:rsidRPr="007E1B57">
        <w:rPr>
          <w:rFonts w:ascii="Calibri" w:hAnsi="Calibri" w:cs="Calibri"/>
          <w:kern w:val="0"/>
          <w:szCs w:val="22"/>
          <w:u w:color="0000FF"/>
          <w:lang w:val="en-GB"/>
        </w:rPr>
        <w:t xml:space="preserve"> global search for suitably matched candidate donors or umbilical cord blood units for Australian patients and coordinates cell collection from selected donors and delivery to transplant centres. ABMDR is accredited by the </w:t>
      </w:r>
      <w:hyperlink r:id="rId19" w:history="1">
        <w:r w:rsidRPr="00A71978">
          <w:rPr>
            <w:rStyle w:val="Hyperlink"/>
            <w:rFonts w:cs="Calibri"/>
            <w:szCs w:val="22"/>
            <w:lang w:val="en-GB"/>
          </w:rPr>
          <w:t>World Marrow Donor Association</w:t>
        </w:r>
      </w:hyperlink>
      <w:r w:rsidRPr="007E1B57">
        <w:rPr>
          <w:rFonts w:ascii="Calibri" w:hAnsi="Calibri" w:cs="Calibri"/>
          <w:kern w:val="0"/>
          <w:szCs w:val="22"/>
          <w:u w:color="0000FF"/>
          <w:lang w:val="en-GB"/>
        </w:rPr>
        <w:t xml:space="preserve"> and sets local standards for collection and transplantation from unrelated blood and marrow stem cell donors. </w:t>
      </w:r>
    </w:p>
    <w:p w14:paraId="7D1503D7" w14:textId="77777777" w:rsidR="005A6F56" w:rsidRPr="005A6F56" w:rsidRDefault="005A6F5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Designated Australian ‘transplant centres’, such as major public hospitals within each state, are responsible for the selection of the most suitable cell source for their patient (i.e.</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blood or marrow stem cells from their selected related or unrelated donor, or umbilical cord blood); the clinical workup and collection of cells from donors related to the patient; and the transplantation of cells.  The clinical workup and collection of blood or marrow stem cells from an Australian donor unrelated </w:t>
      </w:r>
      <w:r w:rsidRPr="007E1B57">
        <w:rPr>
          <w:rFonts w:ascii="Calibri" w:hAnsi="Calibri" w:cs="Calibri"/>
          <w:kern w:val="0"/>
          <w:szCs w:val="22"/>
          <w:u w:color="0000FF"/>
          <w:lang w:val="en-GB"/>
        </w:rPr>
        <w:lastRenderedPageBreak/>
        <w:t>to the intended recipient is performed at designated ‘collection centres’ – also major public hospitals. The collection, cryopreservation, storage</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and release of cord blood within Australia is </w:t>
      </w:r>
      <w:r w:rsidRPr="005A6F56">
        <w:rPr>
          <w:rFonts w:ascii="Calibri" w:hAnsi="Calibri" w:cs="Calibri"/>
          <w:kern w:val="0"/>
          <w:szCs w:val="22"/>
          <w:u w:color="0000FF"/>
          <w:lang w:val="en-GB"/>
        </w:rPr>
        <w:t xml:space="preserve">undertaken by public cord blood banks in New South Wales, Queensland, and Victoria. </w:t>
      </w:r>
    </w:p>
    <w:p w14:paraId="213E04DF" w14:textId="77777777" w:rsidR="006C6EBA" w:rsidRPr="005A6F56" w:rsidRDefault="006C6EBA" w:rsidP="00EA22AE">
      <w:pPr>
        <w:spacing w:after="120"/>
        <w:rPr>
          <w:rFonts w:ascii="Calibri" w:hAnsi="Calibri" w:cs="Calibri"/>
          <w:color w:val="000000" w:themeColor="text1"/>
          <w:sz w:val="22"/>
          <w:szCs w:val="22"/>
        </w:rPr>
      </w:pPr>
      <w:r w:rsidRPr="005A6F56">
        <w:rPr>
          <w:rFonts w:ascii="Calibri" w:hAnsi="Calibri" w:cs="Calibri"/>
          <w:color w:val="000000" w:themeColor="text1"/>
          <w:sz w:val="22"/>
          <w:szCs w:val="22"/>
        </w:rPr>
        <w:t>The Commonwealth, State and Territory governments fund ABMDR and the public cord blood banks.</w:t>
      </w:r>
    </w:p>
    <w:p w14:paraId="634DADD6" w14:textId="77777777" w:rsidR="006C6EBA" w:rsidRPr="005A6F56" w:rsidRDefault="006C6EBA" w:rsidP="00EA22AE">
      <w:pPr>
        <w:pStyle w:val="Heading3"/>
        <w:spacing w:after="120"/>
      </w:pPr>
      <w:r w:rsidRPr="005A6F56">
        <w:t xml:space="preserve">Professional societies, colleges, and associations in Australia </w:t>
      </w:r>
    </w:p>
    <w:p w14:paraId="3612C7E1" w14:textId="0D370053" w:rsidR="006C6EBA" w:rsidRPr="00692B2F" w:rsidRDefault="006C6EBA" w:rsidP="00EA22AE">
      <w:pPr>
        <w:spacing w:after="120"/>
        <w:rPr>
          <w:rFonts w:ascii="Calibri" w:hAnsi="Calibri" w:cs="Calibri"/>
          <w:sz w:val="22"/>
          <w:szCs w:val="22"/>
        </w:rPr>
      </w:pPr>
      <w:r w:rsidRPr="00692B2F">
        <w:rPr>
          <w:rFonts w:ascii="Calibri" w:hAnsi="Calibri" w:cs="Calibri"/>
          <w:sz w:val="22"/>
          <w:szCs w:val="22"/>
        </w:rPr>
        <w:t xml:space="preserve">There are several professional organisations that have a role in donation and transplantation in Australia. These are listed </w:t>
      </w:r>
      <w:r w:rsidR="005A6F56" w:rsidRPr="00692B2F">
        <w:rPr>
          <w:rFonts w:ascii="Calibri" w:hAnsi="Calibri" w:cs="Calibri"/>
          <w:sz w:val="22"/>
          <w:szCs w:val="22"/>
        </w:rPr>
        <w:t xml:space="preserve">and briefly described below in </w:t>
      </w:r>
      <w:r w:rsidR="005A6F56" w:rsidRPr="00692B2F">
        <w:rPr>
          <w:rFonts w:ascii="Calibri" w:hAnsi="Calibri" w:cs="Calibri"/>
          <w:b/>
          <w:bCs/>
          <w:sz w:val="22"/>
          <w:szCs w:val="22"/>
        </w:rPr>
        <w:t>Table 2.5</w:t>
      </w:r>
      <w:r w:rsidR="005A6F56" w:rsidRPr="00692B2F">
        <w:rPr>
          <w:rFonts w:ascii="Calibri" w:hAnsi="Calibri" w:cs="Calibri"/>
          <w:sz w:val="22"/>
          <w:szCs w:val="22"/>
        </w:rPr>
        <w:t xml:space="preserve">. </w:t>
      </w:r>
      <w:r w:rsidRPr="00692B2F">
        <w:rPr>
          <w:rFonts w:ascii="Calibri" w:hAnsi="Calibri" w:cs="Calibri"/>
          <w:sz w:val="22"/>
          <w:szCs w:val="22"/>
        </w:rPr>
        <w:t xml:space="preserve"> </w:t>
      </w:r>
    </w:p>
    <w:p w14:paraId="098AD41D" w14:textId="7D180F9D" w:rsidR="006C6EBA" w:rsidRPr="005A6F56" w:rsidRDefault="006C6EBA" w:rsidP="00EA22AE">
      <w:pPr>
        <w:spacing w:after="120"/>
        <w:rPr>
          <w:rFonts w:ascii="Calibri" w:hAnsi="Calibri" w:cs="Calibri"/>
          <w:b/>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000" w:firstRow="0" w:lastRow="0" w:firstColumn="0" w:lastColumn="0" w:noHBand="0" w:noVBand="0"/>
      </w:tblPr>
      <w:tblGrid>
        <w:gridCol w:w="9016"/>
      </w:tblGrid>
      <w:tr w:rsidR="00692B2F" w:rsidRPr="007E1B57" w14:paraId="719F4886" w14:textId="77777777">
        <w:trPr>
          <w:jc w:val="center"/>
        </w:trPr>
        <w:tc>
          <w:tcPr>
            <w:tcW w:w="9016" w:type="dxa"/>
            <w:tcMar>
              <w:top w:w="100" w:type="nil"/>
              <w:right w:w="100" w:type="nil"/>
            </w:tcMar>
          </w:tcPr>
          <w:p w14:paraId="70FE94CC" w14:textId="1F1BE436" w:rsidR="00692B2F" w:rsidRPr="007E1B57" w:rsidRDefault="00692B2F" w:rsidP="00EA22AE">
            <w:pPr>
              <w:pStyle w:val="Guidelinesnormalparagraph"/>
              <w:rPr>
                <w:rFonts w:ascii="Calibri" w:hAnsi="Calibri" w:cs="Calibri"/>
                <w:kern w:val="0"/>
                <w:u w:color="0000FF"/>
                <w:lang w:val="en-GB"/>
              </w:rPr>
            </w:pPr>
            <w:r w:rsidRPr="005A6F56">
              <w:rPr>
                <w:rFonts w:ascii="Calibri" w:hAnsi="Calibri" w:cs="Calibri"/>
                <w:b/>
                <w:bCs/>
                <w:szCs w:val="22"/>
              </w:rPr>
              <w:t>Table 2.5 Professional societies, colleges and associations involved in donation and transplantation in Australia.</w:t>
            </w:r>
          </w:p>
        </w:tc>
      </w:tr>
      <w:tr w:rsidR="005A6F56" w:rsidRPr="007E1B57" w14:paraId="52CAECFF" w14:textId="77777777">
        <w:trPr>
          <w:jc w:val="center"/>
        </w:trPr>
        <w:tc>
          <w:tcPr>
            <w:tcW w:w="9016" w:type="dxa"/>
            <w:tcMar>
              <w:top w:w="100" w:type="nil"/>
              <w:right w:w="100" w:type="nil"/>
            </w:tcMar>
          </w:tcPr>
          <w:p w14:paraId="55770A17" w14:textId="77777777" w:rsidR="005A6F56" w:rsidRPr="007E1B57" w:rsidRDefault="005A6F56"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EF3430">
              <w:rPr>
                <w:rFonts w:ascii="Calibri" w:hAnsi="Calibri" w:cs="Calibri"/>
                <w:b/>
                <w:bCs/>
                <w:kern w:val="0"/>
                <w:u w:color="0000FF"/>
                <w:lang w:val="en-GB"/>
              </w:rPr>
              <w:t>Australian and New Zealand Intensive Care Society (ANZICS)</w:t>
            </w:r>
            <w:r w:rsidRPr="007E1B57">
              <w:rPr>
                <w:rFonts w:ascii="Calibri" w:hAnsi="Calibri" w:cs="Calibri"/>
                <w:kern w:val="0"/>
                <w:u w:color="0000FF"/>
                <w:lang w:val="en-GB"/>
              </w:rPr>
              <w:t xml:space="preserve"> seeks to advance all aspects of intensive care medicine including research, education, and resourcing. The ANZICS Death and Organ Donation Committee has developed guidelines on death determination and other processes related to organ donation.  </w:t>
            </w:r>
            <w:hyperlink r:id="rId20" w:history="1">
              <w:r w:rsidRPr="007E1B57">
                <w:rPr>
                  <w:rFonts w:ascii="Calibri" w:hAnsi="Calibri" w:cs="Calibri"/>
                  <w:color w:val="0000FF"/>
                  <w:kern w:val="0"/>
                  <w:szCs w:val="22"/>
                  <w:u w:val="single" w:color="0000FF"/>
                  <w:lang w:val="en-GB"/>
                </w:rPr>
                <w:t>https://www.anzics.com.au/</w:t>
              </w:r>
            </w:hyperlink>
          </w:p>
        </w:tc>
      </w:tr>
      <w:tr w:rsidR="005A6F56" w:rsidRPr="007E1B57" w14:paraId="795E562D" w14:textId="77777777">
        <w:trPr>
          <w:jc w:val="center"/>
        </w:trPr>
        <w:tc>
          <w:tcPr>
            <w:tcW w:w="9016" w:type="dxa"/>
            <w:tcMar>
              <w:top w:w="100" w:type="nil"/>
              <w:right w:w="100" w:type="nil"/>
            </w:tcMar>
          </w:tcPr>
          <w:p w14:paraId="4DF2DEE8" w14:textId="77777777" w:rsidR="005A6F56" w:rsidRPr="007E1B57" w:rsidRDefault="005A6F56" w:rsidP="00EA22AE">
            <w:pPr>
              <w:pStyle w:val="Guidelinesnormalparagraph"/>
              <w:rPr>
                <w:rFonts w:ascii="Calibri" w:hAnsi="Calibri" w:cs="Calibri"/>
                <w:kern w:val="0"/>
                <w:u w:color="0000FF"/>
                <w:lang w:val="en-GB"/>
              </w:rPr>
            </w:pPr>
            <w:r w:rsidRPr="00EF3430">
              <w:rPr>
                <w:rFonts w:ascii="Calibri" w:hAnsi="Calibri" w:cs="Calibri"/>
                <w:b/>
                <w:bCs/>
                <w:kern w:val="0"/>
                <w:u w:color="0000FF"/>
                <w:lang w:val="en-GB"/>
              </w:rPr>
              <w:t>Australian and New Zealand Transplant and Cellular Therapies Ltd (ANZTCT) is</w:t>
            </w:r>
            <w:r w:rsidRPr="007E1B57">
              <w:rPr>
                <w:rFonts w:ascii="Calibri" w:hAnsi="Calibri" w:cs="Calibri"/>
                <w:kern w:val="0"/>
                <w:u w:color="0000FF"/>
                <w:lang w:val="en-GB"/>
              </w:rPr>
              <w:t xml:space="preserve"> a society of clinicians, advanced trainees, scientists, medical graduates, nurses and pharmacists involved in the clinical or laboratory management of patients undergoing blood or marrow stem cell transplantation or with an interest in the field of blood or marrow or stem cell transplantation and cellular therapies research.</w:t>
            </w:r>
            <w:r>
              <w:rPr>
                <w:rFonts w:ascii="Calibri" w:hAnsi="Calibri" w:cs="Calibri"/>
                <w:kern w:val="0"/>
                <w:u w:color="0000FF"/>
                <w:lang w:val="en-GB"/>
              </w:rPr>
              <w:t xml:space="preserve"> </w:t>
            </w:r>
            <w:hyperlink r:id="rId21" w:history="1">
              <w:r w:rsidRPr="009006B0">
                <w:rPr>
                  <w:rStyle w:val="Hyperlink"/>
                  <w:rFonts w:cs="Calibri"/>
                  <w:lang w:val="en-GB"/>
                </w:rPr>
                <w:t>https://anztct.org.au/</w:t>
              </w:r>
            </w:hyperlink>
            <w:r>
              <w:rPr>
                <w:rFonts w:ascii="Calibri" w:hAnsi="Calibri" w:cs="Calibri"/>
                <w:kern w:val="0"/>
                <w:u w:color="0000FF"/>
                <w:lang w:val="en-GB"/>
              </w:rPr>
              <w:t xml:space="preserve"> </w:t>
            </w:r>
          </w:p>
        </w:tc>
      </w:tr>
      <w:tr w:rsidR="005A6F56" w:rsidRPr="007E1B57" w14:paraId="778D9BEF" w14:textId="77777777">
        <w:trPr>
          <w:jc w:val="center"/>
        </w:trPr>
        <w:tc>
          <w:tcPr>
            <w:tcW w:w="9016" w:type="dxa"/>
            <w:tcMar>
              <w:top w:w="100" w:type="nil"/>
              <w:right w:w="100" w:type="nil"/>
            </w:tcMar>
          </w:tcPr>
          <w:p w14:paraId="331CEBC4" w14:textId="77777777" w:rsidR="005A6F56" w:rsidRPr="007E1B57" w:rsidRDefault="005A6F56"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EF3430">
              <w:rPr>
                <w:rFonts w:ascii="Calibri" w:hAnsi="Calibri" w:cs="Calibri"/>
                <w:b/>
                <w:bCs/>
                <w:kern w:val="0"/>
                <w:u w:color="0000FF"/>
                <w:lang w:val="en-GB"/>
              </w:rPr>
              <w:t>Australasian Transplant Coordinators Association (ATCA)</w:t>
            </w:r>
            <w:r w:rsidRPr="007E1B57">
              <w:rPr>
                <w:rFonts w:ascii="Calibri" w:hAnsi="Calibri" w:cs="Calibri"/>
                <w:kern w:val="0"/>
                <w:u w:color="0000FF"/>
                <w:lang w:val="en-GB"/>
              </w:rPr>
              <w:t xml:space="preserve"> seeks to promote collaboration amongst organ and tissue donor coordinators and transplant professionals and contributes to the development of best practice in organ donation through guidelines and Standard Operating Procedures. </w:t>
            </w:r>
            <w:hyperlink r:id="rId22" w:history="1">
              <w:r w:rsidRPr="007E1B57">
                <w:rPr>
                  <w:rFonts w:ascii="Calibri" w:hAnsi="Calibri" w:cs="Calibri"/>
                  <w:color w:val="0000FF"/>
                  <w:kern w:val="0"/>
                  <w:szCs w:val="22"/>
                  <w:u w:val="single" w:color="0000FF"/>
                  <w:lang w:val="en-GB"/>
                </w:rPr>
                <w:t>https://ATCA.org.au/</w:t>
              </w:r>
            </w:hyperlink>
          </w:p>
        </w:tc>
      </w:tr>
      <w:tr w:rsidR="005A6F56" w:rsidRPr="007E1B57" w14:paraId="4AC38EF9" w14:textId="77777777">
        <w:trPr>
          <w:jc w:val="center"/>
        </w:trPr>
        <w:tc>
          <w:tcPr>
            <w:tcW w:w="9016" w:type="dxa"/>
            <w:tcMar>
              <w:top w:w="100" w:type="nil"/>
              <w:right w:w="100" w:type="nil"/>
            </w:tcMar>
          </w:tcPr>
          <w:p w14:paraId="0EA428F2" w14:textId="77777777" w:rsidR="005A6F56" w:rsidRPr="007E1B57" w:rsidRDefault="005A6F56"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EF3430">
              <w:rPr>
                <w:rFonts w:ascii="Calibri" w:hAnsi="Calibri" w:cs="Calibri"/>
                <w:b/>
                <w:bCs/>
                <w:kern w:val="0"/>
                <w:u w:color="0000FF"/>
                <w:lang w:val="en-GB"/>
              </w:rPr>
              <w:t>Biotherapeutics Association of Australia (BAA)</w:t>
            </w:r>
            <w:r w:rsidRPr="007E1B57">
              <w:rPr>
                <w:rFonts w:ascii="Calibri" w:hAnsi="Calibri" w:cs="Calibri"/>
                <w:kern w:val="0"/>
                <w:u w:color="0000FF"/>
                <w:lang w:val="en-GB"/>
              </w:rPr>
              <w:t xml:space="preserve"> is the peak body representing cellular therapy and tissue bankers in Australia and New Zealand. Its mission is to be a forum to promote the exchange of information towards best practice, to issue guidelines and recommended practices, to formally represent the interests of its members nationally and internationally and provide expert advice where required. </w:t>
            </w:r>
            <w:hyperlink r:id="rId23" w:history="1">
              <w:r w:rsidRPr="007E1B57">
                <w:rPr>
                  <w:rFonts w:ascii="Calibri" w:hAnsi="Calibri" w:cs="Calibri"/>
                  <w:color w:val="0000FF"/>
                  <w:kern w:val="0"/>
                  <w:szCs w:val="22"/>
                  <w:u w:val="single" w:color="0000FF"/>
                  <w:lang w:val="en-GB"/>
                </w:rPr>
                <w:t>https://Bioaa.org.au</w:t>
              </w:r>
            </w:hyperlink>
          </w:p>
        </w:tc>
      </w:tr>
      <w:tr w:rsidR="005A6F56" w:rsidRPr="007E1B57" w14:paraId="77326FA5" w14:textId="77777777">
        <w:trPr>
          <w:jc w:val="center"/>
        </w:trPr>
        <w:tc>
          <w:tcPr>
            <w:tcW w:w="9016" w:type="dxa"/>
            <w:tcMar>
              <w:top w:w="100" w:type="nil"/>
              <w:right w:w="100" w:type="nil"/>
            </w:tcMar>
          </w:tcPr>
          <w:p w14:paraId="4B50D61A" w14:textId="77777777" w:rsidR="005A6F56" w:rsidRPr="007E1B57" w:rsidRDefault="005A6F56"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EF3430">
              <w:rPr>
                <w:rFonts w:ascii="Calibri" w:hAnsi="Calibri" w:cs="Calibri"/>
                <w:b/>
                <w:bCs/>
                <w:kern w:val="0"/>
                <w:u w:color="0000FF"/>
                <w:lang w:val="en-GB"/>
              </w:rPr>
              <w:t>College of Intensive Care Medicine of Australia and New Zealand (CICM)</w:t>
            </w:r>
            <w:r w:rsidRPr="007E1B57">
              <w:rPr>
                <w:rFonts w:ascii="Calibri" w:hAnsi="Calibri" w:cs="Calibri"/>
                <w:kern w:val="0"/>
                <w:u w:color="0000FF"/>
                <w:lang w:val="en-GB"/>
              </w:rPr>
              <w:t xml:space="preserve"> is the body responsible for the intensive care medicine specialist training and education. Specialist training requirements include modules related to death determination, donation and family donation conversation communication. </w:t>
            </w:r>
            <w:hyperlink r:id="rId24" w:history="1">
              <w:r w:rsidRPr="007E1B57">
                <w:rPr>
                  <w:rFonts w:ascii="Calibri" w:hAnsi="Calibri" w:cs="Calibri"/>
                  <w:color w:val="0000FF"/>
                  <w:kern w:val="0"/>
                  <w:szCs w:val="22"/>
                  <w:u w:val="single" w:color="0000FF"/>
                  <w:lang w:val="en-GB"/>
                </w:rPr>
                <w:t>https://cicm.org.au/Home</w:t>
              </w:r>
            </w:hyperlink>
          </w:p>
        </w:tc>
      </w:tr>
      <w:tr w:rsidR="005A6F56" w:rsidRPr="007E1B57" w14:paraId="335F8817" w14:textId="77777777">
        <w:trPr>
          <w:jc w:val="center"/>
        </w:trPr>
        <w:tc>
          <w:tcPr>
            <w:tcW w:w="9016" w:type="dxa"/>
            <w:tcMar>
              <w:top w:w="100" w:type="nil"/>
              <w:right w:w="100" w:type="nil"/>
            </w:tcMar>
          </w:tcPr>
          <w:p w14:paraId="64F202BA" w14:textId="77777777" w:rsidR="005A6F56" w:rsidRPr="007E1B57" w:rsidRDefault="005A6F56"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EF3430">
              <w:rPr>
                <w:rFonts w:ascii="Calibri" w:hAnsi="Calibri" w:cs="Calibri"/>
                <w:b/>
                <w:bCs/>
                <w:kern w:val="0"/>
                <w:u w:color="0000FF"/>
                <w:lang w:val="en-GB"/>
              </w:rPr>
              <w:t>Eye Bank Association of Australia &amp; New Zealand (EBAANZ</w:t>
            </w:r>
            <w:r w:rsidRPr="007E1B57">
              <w:rPr>
                <w:rFonts w:ascii="Calibri" w:hAnsi="Calibri" w:cs="Calibri"/>
                <w:kern w:val="0"/>
                <w:u w:color="0000FF"/>
                <w:lang w:val="en-GB"/>
              </w:rPr>
              <w:t xml:space="preserve">) is the peak body for sight restoring tissue donation and transplantation within Australia and New Zealand. Through its medical Advisory Committee EBAANZ articulates national standards for quality and safety in eye banking. </w:t>
            </w:r>
            <w:hyperlink r:id="rId25" w:history="1">
              <w:r w:rsidRPr="007E1B57">
                <w:rPr>
                  <w:rFonts w:ascii="Calibri" w:hAnsi="Calibri" w:cs="Calibri"/>
                  <w:color w:val="0000FF"/>
                  <w:kern w:val="0"/>
                  <w:szCs w:val="22"/>
                  <w:u w:val="single" w:color="0000FF"/>
                  <w:lang w:val="en-GB"/>
                </w:rPr>
                <w:t>https://ebaanz.org.au</w:t>
              </w:r>
            </w:hyperlink>
          </w:p>
        </w:tc>
      </w:tr>
      <w:tr w:rsidR="005A6F56" w:rsidRPr="007E1B57" w14:paraId="303BD924" w14:textId="77777777">
        <w:trPr>
          <w:jc w:val="center"/>
        </w:trPr>
        <w:tc>
          <w:tcPr>
            <w:tcW w:w="9016" w:type="dxa"/>
            <w:tcMar>
              <w:top w:w="100" w:type="nil"/>
              <w:right w:w="100" w:type="nil"/>
            </w:tcMar>
          </w:tcPr>
          <w:p w14:paraId="72F4B11F" w14:textId="77777777" w:rsidR="005A6F56" w:rsidRPr="007E1B57" w:rsidRDefault="005A6F56"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EF3430">
              <w:rPr>
                <w:rFonts w:ascii="Calibri" w:hAnsi="Calibri" w:cs="Calibri"/>
                <w:b/>
                <w:bCs/>
                <w:kern w:val="0"/>
                <w:u w:color="0000FF"/>
                <w:lang w:val="en-GB"/>
              </w:rPr>
              <w:t>Transplant Nurses Association (TNA)</w:t>
            </w:r>
            <w:r w:rsidRPr="007E1B57">
              <w:rPr>
                <w:rFonts w:ascii="Calibri" w:hAnsi="Calibri" w:cs="Calibri"/>
                <w:kern w:val="0"/>
                <w:u w:color="0000FF"/>
                <w:lang w:val="en-GB"/>
              </w:rPr>
              <w:t xml:space="preserve"> represents nurses working in transplantation and seeks to advance opportunities for education, research and networking for its members. </w:t>
            </w:r>
            <w:hyperlink r:id="rId26" w:history="1">
              <w:r w:rsidRPr="007E1B57">
                <w:rPr>
                  <w:rFonts w:ascii="Calibri" w:hAnsi="Calibri" w:cs="Calibri"/>
                  <w:color w:val="0000FF"/>
                  <w:kern w:val="0"/>
                  <w:szCs w:val="22"/>
                  <w:u w:val="single" w:color="0000FF"/>
                  <w:lang w:val="en-GB"/>
                </w:rPr>
                <w:t>https://transplantnurses.org.au</w:t>
              </w:r>
            </w:hyperlink>
            <w:r w:rsidRPr="007E1B57">
              <w:rPr>
                <w:rFonts w:ascii="Calibri" w:hAnsi="Calibri" w:cs="Calibri"/>
                <w:kern w:val="0"/>
                <w:u w:color="0000FF"/>
                <w:lang w:val="en-GB"/>
              </w:rPr>
              <w:t xml:space="preserve"> </w:t>
            </w:r>
          </w:p>
        </w:tc>
      </w:tr>
      <w:tr w:rsidR="005A6F56" w:rsidRPr="007E1B57" w14:paraId="17BBD823" w14:textId="77777777">
        <w:trPr>
          <w:jc w:val="center"/>
        </w:trPr>
        <w:tc>
          <w:tcPr>
            <w:tcW w:w="9016" w:type="dxa"/>
            <w:tcMar>
              <w:top w:w="100" w:type="nil"/>
              <w:right w:w="100" w:type="nil"/>
            </w:tcMar>
          </w:tcPr>
          <w:p w14:paraId="0305FCB2" w14:textId="77777777" w:rsidR="005A6F56" w:rsidRPr="007E1B57" w:rsidRDefault="005A6F56"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EF3430">
              <w:rPr>
                <w:rFonts w:ascii="Calibri" w:hAnsi="Calibri" w:cs="Calibri"/>
                <w:b/>
                <w:bCs/>
                <w:kern w:val="0"/>
                <w:u w:color="0000FF"/>
                <w:lang w:val="en-GB"/>
              </w:rPr>
              <w:t>Transplantation Society of Australia and New Zealand (TSANZ)</w:t>
            </w:r>
            <w:r w:rsidRPr="007E1B57">
              <w:rPr>
                <w:rFonts w:ascii="Calibri" w:hAnsi="Calibri" w:cs="Calibri"/>
                <w:kern w:val="0"/>
                <w:u w:color="0000FF"/>
                <w:lang w:val="en-GB"/>
              </w:rPr>
              <w:t xml:space="preserve"> aims to promote research, best clinical practice and advocacy to improve outcomes for transplant recipients and increase access to organ transplantation in Australia and New Zealand. </w:t>
            </w:r>
            <w:hyperlink r:id="rId27" w:history="1">
              <w:r w:rsidRPr="007E1B57">
                <w:rPr>
                  <w:rFonts w:ascii="Calibri" w:hAnsi="Calibri" w:cs="Calibri"/>
                  <w:color w:val="0000FF"/>
                  <w:kern w:val="0"/>
                  <w:szCs w:val="22"/>
                  <w:u w:val="single" w:color="0000FF"/>
                  <w:lang w:val="en-GB"/>
                </w:rPr>
                <w:t>https://tsanz.com.au</w:t>
              </w:r>
            </w:hyperlink>
          </w:p>
        </w:tc>
      </w:tr>
      <w:tr w:rsidR="005A6F56" w:rsidRPr="007E1B57" w14:paraId="2CF50277" w14:textId="77777777">
        <w:trPr>
          <w:jc w:val="center"/>
        </w:trPr>
        <w:tc>
          <w:tcPr>
            <w:tcW w:w="9016" w:type="dxa"/>
            <w:tcMar>
              <w:top w:w="100" w:type="nil"/>
              <w:right w:w="100" w:type="nil"/>
            </w:tcMar>
          </w:tcPr>
          <w:p w14:paraId="1C5F7549" w14:textId="77777777" w:rsidR="005A6F56" w:rsidRPr="007E1B57" w:rsidRDefault="005A6F56"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Other organisations with an interest in organ donation and transplantation in Australia incl</w:t>
            </w:r>
            <w:r>
              <w:rPr>
                <w:rFonts w:ascii="Calibri" w:hAnsi="Calibri" w:cs="Calibri"/>
                <w:kern w:val="0"/>
                <w:u w:color="0000FF"/>
                <w:lang w:val="en-GB"/>
              </w:rPr>
              <w:t>ude</w:t>
            </w:r>
          </w:p>
          <w:p w14:paraId="15232F57" w14:textId="77777777" w:rsidR="005A6F56" w:rsidRPr="007E1B57" w:rsidRDefault="005A6F56" w:rsidP="00C3783C">
            <w:pPr>
              <w:pStyle w:val="Guidelinesnormalparagraph"/>
              <w:numPr>
                <w:ilvl w:val="0"/>
                <w:numId w:val="145"/>
              </w:numPr>
              <w:rPr>
                <w:rFonts w:ascii="Calibri" w:hAnsi="Calibri" w:cs="Calibri"/>
                <w:kern w:val="0"/>
                <w:u w:color="0000FF"/>
                <w:lang w:val="en-GB"/>
              </w:rPr>
            </w:pPr>
            <w:r w:rsidRPr="007E1B57">
              <w:rPr>
                <w:rFonts w:ascii="Calibri" w:hAnsi="Calibri" w:cs="Calibri"/>
                <w:kern w:val="0"/>
                <w:u w:color="0000FF"/>
                <w:lang w:val="en-GB"/>
              </w:rPr>
              <w:lastRenderedPageBreak/>
              <w:t xml:space="preserve">the Australian College of Critical Care Nurses Ltd (ACCCN) representing critical care nurses, </w:t>
            </w:r>
            <w:hyperlink r:id="rId28" w:history="1">
              <w:r w:rsidRPr="007E1B57">
                <w:rPr>
                  <w:rFonts w:ascii="Calibri" w:hAnsi="Calibri" w:cs="Calibri"/>
                  <w:color w:val="0000FF"/>
                  <w:kern w:val="0"/>
                  <w:szCs w:val="22"/>
                  <w:u w:val="single" w:color="0000FF"/>
                  <w:lang w:val="en-GB"/>
                </w:rPr>
                <w:t>https://www.acccn.com.au/</w:t>
              </w:r>
            </w:hyperlink>
          </w:p>
          <w:p w14:paraId="01DBCA77" w14:textId="77777777" w:rsidR="005A6F56" w:rsidRPr="007E1B57" w:rsidRDefault="005A6F56" w:rsidP="00C3783C">
            <w:pPr>
              <w:pStyle w:val="Guidelinesnormalparagraph"/>
              <w:numPr>
                <w:ilvl w:val="0"/>
                <w:numId w:val="145"/>
              </w:numPr>
              <w:rPr>
                <w:rFonts w:ascii="Calibri" w:hAnsi="Calibri" w:cs="Calibri"/>
                <w:kern w:val="0"/>
                <w:u w:color="0000FF"/>
                <w:lang w:val="en-GB"/>
              </w:rPr>
            </w:pPr>
            <w:r w:rsidRPr="007E1B57">
              <w:rPr>
                <w:rFonts w:ascii="Calibri" w:hAnsi="Calibri" w:cs="Calibri"/>
                <w:kern w:val="0"/>
                <w:u w:color="0000FF"/>
                <w:lang w:val="en-GB"/>
              </w:rPr>
              <w:t xml:space="preserve">the Australasian College for Emergency Medicine (ACEM) representing emergency medicine physicians, </w:t>
            </w:r>
            <w:hyperlink r:id="rId29" w:history="1">
              <w:r w:rsidRPr="007E1B57">
                <w:rPr>
                  <w:rFonts w:ascii="Calibri" w:hAnsi="Calibri" w:cs="Calibri"/>
                  <w:color w:val="0000FF"/>
                  <w:kern w:val="0"/>
                  <w:szCs w:val="22"/>
                  <w:u w:val="single" w:color="0000FF"/>
                  <w:lang w:val="en-GB"/>
                </w:rPr>
                <w:t>https://acem.org.au/</w:t>
              </w:r>
            </w:hyperlink>
          </w:p>
          <w:p w14:paraId="67F2F100" w14:textId="77777777" w:rsidR="005A6F56" w:rsidRPr="007E1B57" w:rsidRDefault="005A6F56" w:rsidP="00C3783C">
            <w:pPr>
              <w:pStyle w:val="Guidelinesnormalparagraph"/>
              <w:numPr>
                <w:ilvl w:val="0"/>
                <w:numId w:val="145"/>
              </w:numPr>
              <w:rPr>
                <w:rFonts w:ascii="Calibri" w:hAnsi="Calibri" w:cs="Calibri"/>
                <w:kern w:val="0"/>
                <w:u w:color="0000FF"/>
                <w:lang w:val="en-GB"/>
              </w:rPr>
            </w:pPr>
            <w:r w:rsidRPr="007E1B57">
              <w:rPr>
                <w:rFonts w:ascii="Calibri" w:hAnsi="Calibri" w:cs="Calibri"/>
                <w:kern w:val="0"/>
                <w:u w:color="0000FF"/>
                <w:lang w:val="en-GB"/>
              </w:rPr>
              <w:t xml:space="preserve">the Australian and New Zealand Society of Nephrology (ANZSN) for health professionals committed to the prevention and treatment of kidney disease, </w:t>
            </w:r>
            <w:hyperlink r:id="rId30" w:history="1">
              <w:r w:rsidRPr="007E1B57">
                <w:rPr>
                  <w:rFonts w:ascii="Calibri" w:hAnsi="Calibri" w:cs="Calibri"/>
                  <w:color w:val="0000FF"/>
                  <w:kern w:val="0"/>
                  <w:szCs w:val="22"/>
                  <w:u w:val="single" w:color="0000FF"/>
                  <w:lang w:val="en-GB"/>
                </w:rPr>
                <w:t>https://www.nephrology.edu.au/</w:t>
              </w:r>
            </w:hyperlink>
          </w:p>
          <w:p w14:paraId="6E146890" w14:textId="77777777" w:rsidR="005A6F56" w:rsidRPr="007E1B57" w:rsidRDefault="005A6F56" w:rsidP="00C3783C">
            <w:pPr>
              <w:pStyle w:val="Guidelinesnormalparagraph"/>
              <w:numPr>
                <w:ilvl w:val="0"/>
                <w:numId w:val="145"/>
              </w:numPr>
              <w:rPr>
                <w:rFonts w:ascii="Calibri" w:hAnsi="Calibri" w:cs="Calibri"/>
                <w:kern w:val="0"/>
                <w:u w:color="0000FF"/>
                <w:lang w:val="en-GB"/>
              </w:rPr>
            </w:pPr>
            <w:r w:rsidRPr="007E1B57">
              <w:rPr>
                <w:rFonts w:ascii="Calibri" w:hAnsi="Calibri" w:cs="Calibri"/>
                <w:kern w:val="0"/>
                <w:u w:color="0000FF"/>
                <w:lang w:val="en-GB"/>
              </w:rPr>
              <w:t xml:space="preserve">the College of Emergency Nursing Australasia (CENA) representing emergency nurses, </w:t>
            </w:r>
            <w:hyperlink r:id="rId31" w:history="1">
              <w:r w:rsidRPr="007E1B57">
                <w:rPr>
                  <w:rFonts w:ascii="Calibri" w:hAnsi="Calibri" w:cs="Calibri"/>
                  <w:color w:val="0000FF"/>
                  <w:kern w:val="0"/>
                  <w:szCs w:val="22"/>
                  <w:u w:val="single" w:color="0000FF"/>
                  <w:lang w:val="en-GB"/>
                </w:rPr>
                <w:t>https://www.cena.org.au/about/about-cena/</w:t>
              </w:r>
            </w:hyperlink>
          </w:p>
          <w:p w14:paraId="1FFC4BCF" w14:textId="77777777" w:rsidR="005A6F56" w:rsidRPr="007E1B57" w:rsidRDefault="005A6F56" w:rsidP="00C3783C">
            <w:pPr>
              <w:pStyle w:val="Guidelinesnormalparagraph"/>
              <w:numPr>
                <w:ilvl w:val="0"/>
                <w:numId w:val="145"/>
              </w:numPr>
              <w:rPr>
                <w:rFonts w:ascii="Calibri" w:hAnsi="Calibri" w:cs="Calibri"/>
                <w:kern w:val="0"/>
                <w:u w:color="0000FF"/>
                <w:lang w:val="en-GB"/>
              </w:rPr>
            </w:pPr>
            <w:r w:rsidRPr="007E1B57">
              <w:rPr>
                <w:rFonts w:ascii="Calibri" w:hAnsi="Calibri" w:cs="Calibri"/>
                <w:kern w:val="0"/>
                <w:u w:color="0000FF"/>
                <w:lang w:val="en-GB"/>
              </w:rPr>
              <w:t xml:space="preserve">the Royal Australasian college of Surgeons (RACS) for training surgeons and maintaining surgical standards. </w:t>
            </w:r>
            <w:hyperlink r:id="rId32" w:history="1">
              <w:r w:rsidRPr="007E1B57">
                <w:rPr>
                  <w:rFonts w:ascii="Calibri" w:hAnsi="Calibri" w:cs="Calibri"/>
                  <w:color w:val="0000FF"/>
                  <w:kern w:val="0"/>
                  <w:szCs w:val="22"/>
                  <w:u w:val="single" w:color="0000FF"/>
                  <w:lang w:val="en-GB"/>
                </w:rPr>
                <w:t>https://www.surgeons.org/en</w:t>
              </w:r>
            </w:hyperlink>
            <w:r w:rsidRPr="007E1B57">
              <w:rPr>
                <w:rFonts w:ascii="Calibri" w:hAnsi="Calibri" w:cs="Calibri"/>
                <w:kern w:val="0"/>
                <w:u w:color="0000FF"/>
                <w:lang w:val="en-GB"/>
              </w:rPr>
              <w:t xml:space="preserve"> </w:t>
            </w:r>
          </w:p>
        </w:tc>
      </w:tr>
    </w:tbl>
    <w:p w14:paraId="317823BB" w14:textId="77777777" w:rsidR="006C6EBA" w:rsidRPr="006720E4" w:rsidRDefault="006C6EBA" w:rsidP="00EA22AE">
      <w:pPr>
        <w:spacing w:after="120"/>
        <w:rPr>
          <w:rFonts w:ascii="Calibri" w:hAnsi="Calibri" w:cs="Calibri"/>
        </w:rPr>
      </w:pPr>
    </w:p>
    <w:p w14:paraId="68FF7C8C" w14:textId="77777777" w:rsidR="006C6EBA" w:rsidRPr="005A6F56" w:rsidRDefault="006C6EBA" w:rsidP="00EA22AE">
      <w:pPr>
        <w:pStyle w:val="Heading3"/>
        <w:spacing w:after="120"/>
      </w:pPr>
      <w:r w:rsidRPr="005A6F56">
        <w:t>Community, special interest, and advocacy groups</w:t>
      </w:r>
    </w:p>
    <w:p w14:paraId="2C59E8DE" w14:textId="77777777" w:rsidR="006C6EBA" w:rsidRPr="005A6F56" w:rsidRDefault="006C6EBA" w:rsidP="00EA22AE">
      <w:pPr>
        <w:spacing w:after="120"/>
        <w:rPr>
          <w:rFonts w:ascii="Calibri" w:hAnsi="Calibri" w:cs="Calibri"/>
          <w:sz w:val="22"/>
          <w:szCs w:val="22"/>
        </w:rPr>
      </w:pPr>
      <w:r w:rsidRPr="005A6F56">
        <w:rPr>
          <w:rFonts w:ascii="Calibri" w:hAnsi="Calibri" w:cs="Calibri"/>
          <w:sz w:val="22"/>
          <w:szCs w:val="22"/>
        </w:rPr>
        <w:t>Community, special interest, and advocacy groups play an important role in supporting donor families, transplant recipients and their families, or those with a chronic illness awaiting a transplant. These groups provide a forum for people who have or are experiencing a similar situation. Community groups are often strong advocates in promoting the importance of organ and tissue donation for transplantation. In most instances community groups are created and run by volunteers, with little monetary support other than through grants, sponsorship, and charitable donations.</w:t>
      </w:r>
    </w:p>
    <w:p w14:paraId="6F9AF8AE" w14:textId="34431EAA" w:rsidR="005A6F56" w:rsidRPr="005A6F56" w:rsidRDefault="005A6F56" w:rsidP="00EA22AE">
      <w:pPr>
        <w:pStyle w:val="Guidelinesnormalparagraph"/>
        <w:rPr>
          <w:rFonts w:ascii="Calibri" w:hAnsi="Calibri" w:cs="Calibri"/>
          <w:kern w:val="0"/>
          <w:szCs w:val="22"/>
          <w:u w:color="0000FF"/>
          <w:lang w:val="en-GB"/>
        </w:rPr>
      </w:pPr>
      <w:r w:rsidRPr="006802BF">
        <w:rPr>
          <w:rFonts w:ascii="Calibri" w:hAnsi="Calibri" w:cs="Calibri"/>
          <w:b/>
          <w:bCs/>
          <w:kern w:val="0"/>
          <w:szCs w:val="22"/>
          <w:u w:color="0000FF"/>
          <w:lang w:val="en-GB"/>
        </w:rPr>
        <w:t>Transplant Australia</w:t>
      </w:r>
      <w:r>
        <w:rPr>
          <w:rFonts w:ascii="Calibri" w:hAnsi="Calibri" w:cs="Calibri"/>
          <w:kern w:val="0"/>
          <w:szCs w:val="22"/>
          <w:u w:color="0000FF"/>
          <w:lang w:val="en-GB"/>
        </w:rPr>
        <w:t xml:space="preserve"> is a key community group supporting donors and recipients and their families: </w:t>
      </w:r>
      <w:hyperlink r:id="rId33" w:history="1">
        <w:r w:rsidRPr="009006B0">
          <w:rPr>
            <w:rStyle w:val="Hyperlink"/>
            <w:rFonts w:cs="Calibri"/>
            <w:szCs w:val="22"/>
            <w:lang w:val="en-GB"/>
          </w:rPr>
          <w:t>https://transplant.org.au</w:t>
        </w:r>
      </w:hyperlink>
      <w:r>
        <w:rPr>
          <w:rFonts w:ascii="Calibri" w:hAnsi="Calibri" w:cs="Calibri"/>
          <w:kern w:val="0"/>
          <w:szCs w:val="22"/>
          <w:u w:color="0000FF"/>
          <w:lang w:val="en-GB"/>
        </w:rPr>
        <w:t xml:space="preserve"> </w:t>
      </w:r>
      <w:r w:rsidR="001C2CB0">
        <w:rPr>
          <w:rFonts w:ascii="Calibri" w:hAnsi="Calibri" w:cs="Calibri"/>
          <w:kern w:val="0"/>
          <w:szCs w:val="22"/>
          <w:u w:color="0000FF"/>
          <w:lang w:val="en-GB"/>
        </w:rPr>
        <w:t xml:space="preserve">. </w:t>
      </w:r>
      <w:r w:rsidR="00507314">
        <w:rPr>
          <w:rFonts w:ascii="Calibri" w:hAnsi="Calibri" w:cs="Calibri"/>
          <w:kern w:val="0"/>
          <w:szCs w:val="22"/>
          <w:u w:color="0000FF"/>
          <w:lang w:val="en-GB"/>
        </w:rPr>
        <w:t xml:space="preserve">Kidney Health Australia, the peak body for kidney health </w:t>
      </w:r>
      <w:r w:rsidR="00E11A01">
        <w:rPr>
          <w:rFonts w:ascii="Calibri" w:hAnsi="Calibri" w:cs="Calibri"/>
          <w:kern w:val="0"/>
          <w:szCs w:val="22"/>
          <w:u w:color="0000FF"/>
          <w:lang w:val="en-GB"/>
        </w:rPr>
        <w:t xml:space="preserve">provides education and support </w:t>
      </w:r>
      <w:r w:rsidR="00BC2670">
        <w:rPr>
          <w:rFonts w:ascii="Calibri" w:hAnsi="Calibri" w:cs="Calibri"/>
          <w:kern w:val="0"/>
          <w:szCs w:val="22"/>
          <w:u w:color="0000FF"/>
          <w:lang w:val="en-GB"/>
        </w:rPr>
        <w:t xml:space="preserve">for those impacted by kidney disease. </w:t>
      </w:r>
      <w:r w:rsidR="0049618B">
        <w:rPr>
          <w:rFonts w:ascii="Calibri" w:hAnsi="Calibri" w:cs="Calibri"/>
          <w:kern w:val="0"/>
          <w:szCs w:val="22"/>
          <w:u w:color="0000FF"/>
          <w:lang w:val="en-GB"/>
        </w:rPr>
        <w:t xml:space="preserve">(Kidney.org.au) </w:t>
      </w:r>
    </w:p>
    <w:p w14:paraId="1047569B" w14:textId="1A9F74BC" w:rsidR="006C6EBA" w:rsidRPr="006720E4" w:rsidRDefault="00FD182A" w:rsidP="00EA22AE">
      <w:pPr>
        <w:pStyle w:val="Heading2"/>
        <w:spacing w:after="120"/>
      </w:pPr>
      <w:bookmarkStart w:id="331" w:name="_Toc135131425"/>
      <w:r>
        <w:t>Pathways to deceased donation and determination of death</w:t>
      </w:r>
      <w:bookmarkEnd w:id="331"/>
      <w:r>
        <w:t xml:space="preserve"> </w:t>
      </w:r>
    </w:p>
    <w:p w14:paraId="6A819D32" w14:textId="65C8B2C3" w:rsidR="006C6EBA" w:rsidRPr="00ED644F" w:rsidRDefault="006C6EBA" w:rsidP="00EA22AE">
      <w:pPr>
        <w:spacing w:after="120"/>
        <w:rPr>
          <w:rFonts w:ascii="Calibri" w:hAnsi="Calibri" w:cs="Calibri"/>
          <w:color w:val="000000" w:themeColor="text1"/>
          <w:sz w:val="22"/>
          <w:szCs w:val="22"/>
        </w:rPr>
      </w:pPr>
      <w:r w:rsidRPr="00ED644F">
        <w:rPr>
          <w:rFonts w:ascii="Calibri" w:hAnsi="Calibri" w:cs="Calibri"/>
          <w:color w:val="000000" w:themeColor="text1"/>
          <w:sz w:val="22"/>
          <w:szCs w:val="22"/>
        </w:rPr>
        <w:t xml:space="preserve">Donor organs and tissues need to be medically suitable for transplantation. This means being both of sufficient quality to perform the function required and free of diseases that pose a risk to the recipient. </w:t>
      </w:r>
    </w:p>
    <w:p w14:paraId="0978790F" w14:textId="383F2D3D" w:rsidR="006C6EBA" w:rsidRDefault="006C6EBA" w:rsidP="00EA22AE">
      <w:pPr>
        <w:spacing w:after="120"/>
        <w:rPr>
          <w:rFonts w:ascii="Calibri" w:hAnsi="Calibri" w:cs="Calibri"/>
          <w:sz w:val="22"/>
          <w:szCs w:val="22"/>
        </w:rPr>
      </w:pPr>
      <w:r w:rsidRPr="00ED644F">
        <w:rPr>
          <w:rFonts w:ascii="Calibri" w:hAnsi="Calibri" w:cs="Calibri"/>
          <w:sz w:val="22"/>
          <w:szCs w:val="22"/>
        </w:rPr>
        <w:t>The process</w:t>
      </w:r>
      <w:r w:rsidR="00ED644F" w:rsidRPr="00ED644F">
        <w:rPr>
          <w:rFonts w:ascii="Calibri" w:hAnsi="Calibri" w:cs="Calibri"/>
          <w:sz w:val="22"/>
          <w:szCs w:val="22"/>
        </w:rPr>
        <w:t>es</w:t>
      </w:r>
      <w:r w:rsidRPr="00ED644F">
        <w:rPr>
          <w:rFonts w:ascii="Calibri" w:hAnsi="Calibri" w:cs="Calibri"/>
          <w:sz w:val="22"/>
          <w:szCs w:val="22"/>
        </w:rPr>
        <w:t xml:space="preserve"> of organ</w:t>
      </w:r>
      <w:r w:rsidR="00ED644F" w:rsidRPr="00ED644F">
        <w:rPr>
          <w:rFonts w:ascii="Calibri" w:hAnsi="Calibri" w:cs="Calibri"/>
          <w:sz w:val="22"/>
          <w:szCs w:val="22"/>
        </w:rPr>
        <w:t xml:space="preserve"> </w:t>
      </w:r>
      <w:r w:rsidRPr="00ED644F">
        <w:rPr>
          <w:rFonts w:ascii="Calibri" w:hAnsi="Calibri" w:cs="Calibri"/>
          <w:sz w:val="22"/>
          <w:szCs w:val="22"/>
        </w:rPr>
        <w:t xml:space="preserve">and tissue donation after death share common key steps, including assessment of medical suitability and formal consents. </w:t>
      </w:r>
      <w:r w:rsidR="00ED644F" w:rsidRPr="00ED644F">
        <w:rPr>
          <w:rFonts w:ascii="Calibri" w:hAnsi="Calibri" w:cs="Calibri"/>
          <w:sz w:val="22"/>
          <w:szCs w:val="22"/>
        </w:rPr>
        <w:t>They</w:t>
      </w:r>
      <w:r w:rsidRPr="00ED644F">
        <w:rPr>
          <w:rFonts w:ascii="Calibri" w:hAnsi="Calibri" w:cs="Calibri"/>
          <w:sz w:val="22"/>
          <w:szCs w:val="22"/>
        </w:rPr>
        <w:t xml:space="preserve"> also include the determination of death, although the timing of this in the donation process and the precise details for each of these steps will differ, and additional steps may be involved, according to the setting and nature of the donation.</w:t>
      </w:r>
    </w:p>
    <w:p w14:paraId="72AC3379" w14:textId="1E0C8A77" w:rsidR="00704915" w:rsidRPr="00ED644F" w:rsidRDefault="00704915" w:rsidP="00EA22AE">
      <w:pPr>
        <w:spacing w:after="120"/>
        <w:rPr>
          <w:rFonts w:ascii="Calibri" w:hAnsi="Calibri" w:cs="Calibri"/>
          <w:sz w:val="22"/>
          <w:szCs w:val="22"/>
        </w:rPr>
      </w:pPr>
      <w:r>
        <w:rPr>
          <w:rFonts w:ascii="Calibri" w:hAnsi="Calibri" w:cs="Calibri"/>
          <w:sz w:val="22"/>
          <w:szCs w:val="22"/>
        </w:rPr>
        <w:t xml:space="preserve">Key steps in the deceased donation of organs are outlined in </w:t>
      </w:r>
      <w:hyperlink w:anchor="_Key_steps_in" w:history="1">
        <w:r w:rsidRPr="00704915">
          <w:rPr>
            <w:rStyle w:val="Hyperlink"/>
            <w:rFonts w:ascii="Calibri" w:hAnsi="Calibri" w:cs="Calibri"/>
            <w:sz w:val="22"/>
            <w:szCs w:val="22"/>
          </w:rPr>
          <w:t>Chapter 2.5</w:t>
        </w:r>
      </w:hyperlink>
      <w:r>
        <w:rPr>
          <w:rFonts w:ascii="Calibri" w:hAnsi="Calibri" w:cs="Calibri"/>
          <w:sz w:val="22"/>
          <w:szCs w:val="22"/>
        </w:rPr>
        <w:t xml:space="preserve">, and of tissues in </w:t>
      </w:r>
      <w:hyperlink w:anchor="_Key_steps_in_1" w:history="1">
        <w:r w:rsidRPr="00704915">
          <w:rPr>
            <w:rStyle w:val="Hyperlink"/>
            <w:rFonts w:ascii="Calibri" w:hAnsi="Calibri" w:cs="Calibri"/>
            <w:sz w:val="22"/>
            <w:szCs w:val="22"/>
          </w:rPr>
          <w:t>Chapter 2.7</w:t>
        </w:r>
      </w:hyperlink>
      <w:r>
        <w:rPr>
          <w:rFonts w:ascii="Calibri" w:hAnsi="Calibri" w:cs="Calibri"/>
          <w:sz w:val="22"/>
          <w:szCs w:val="22"/>
        </w:rPr>
        <w:t>.</w:t>
      </w:r>
    </w:p>
    <w:p w14:paraId="2F8DC635" w14:textId="77777777" w:rsidR="00ED644F" w:rsidRPr="00ED644F" w:rsidRDefault="00ED644F" w:rsidP="00EA22AE">
      <w:pPr>
        <w:pStyle w:val="Heading3"/>
        <w:spacing w:after="120"/>
      </w:pPr>
      <w:bookmarkStart w:id="332" w:name="_Determination_of_Death_2"/>
      <w:bookmarkStart w:id="333" w:name="_Ref133754530"/>
      <w:bookmarkEnd w:id="332"/>
      <w:r w:rsidRPr="00ED644F">
        <w:t>Determination of Death</w:t>
      </w:r>
      <w:bookmarkEnd w:id="333"/>
      <w:r w:rsidRPr="00ED644F">
        <w:t xml:space="preserve"> </w:t>
      </w:r>
    </w:p>
    <w:p w14:paraId="6CF9B62B" w14:textId="41E28A99" w:rsidR="00ED644F" w:rsidRPr="007E1B57" w:rsidRDefault="00ED644F"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The law and ethical practice require that organs and tissues only be removed after death has occurred, which is colloquially known as the “dead </w:t>
      </w:r>
      <w:r w:rsidRPr="00802BCE">
        <w:rPr>
          <w:rFonts w:ascii="Calibri" w:hAnsi="Calibri" w:cs="Calibri"/>
          <w:kern w:val="0"/>
          <w:szCs w:val="22"/>
          <w:u w:color="0000FF"/>
          <w:lang w:val="en-GB"/>
        </w:rPr>
        <w:t>donor rule” (</w:t>
      </w:r>
      <w:r>
        <w:rPr>
          <w:rFonts w:ascii="Calibri" w:hAnsi="Calibri" w:cs="Calibri"/>
          <w:kern w:val="0"/>
          <w:szCs w:val="22"/>
          <w:u w:color="0000FF"/>
          <w:lang w:val="en-GB"/>
        </w:rPr>
        <w:t xml:space="preserve">see </w:t>
      </w:r>
      <w:hyperlink r:id="rId34" w:anchor="_Understanding_the_" w:history="1">
        <w:r w:rsidRPr="00ED644F">
          <w:rPr>
            <w:rStyle w:val="Hyperlink"/>
            <w:rFonts w:ascii="Calibri" w:hAnsi="Calibri" w:cs="Calibri"/>
            <w:kern w:val="0"/>
            <w:szCs w:val="22"/>
            <w:lang w:val="en-GB"/>
          </w:rPr>
          <w:t>Chapter 11.1</w:t>
        </w:r>
      </w:hyperlink>
      <w:r>
        <w:rPr>
          <w:rFonts w:ascii="Calibri" w:hAnsi="Calibri" w:cs="Calibri"/>
          <w:kern w:val="0"/>
          <w:szCs w:val="22"/>
          <w:u w:color="0000FF"/>
          <w:lang w:val="en-GB"/>
        </w:rPr>
        <w:t>).</w:t>
      </w:r>
    </w:p>
    <w:p w14:paraId="2DFD455F" w14:textId="4A7DD7D6" w:rsidR="00B961B5" w:rsidRPr="007E1B57" w:rsidRDefault="00B961B5"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Death is determined using clinical criteria that focus either on the circulation of blood in a person’s body (see Chapter 2.4.1.2, or on</w:t>
      </w:r>
      <w:r w:rsidRPr="0071010C">
        <w:rPr>
          <w:rFonts w:ascii="Calibri" w:hAnsi="Calibri" w:cs="Calibri"/>
          <w:kern w:val="0"/>
          <w:szCs w:val="22"/>
          <w:u w:color="0000FF"/>
          <w:lang w:val="en-GB"/>
        </w:rPr>
        <w:t xml:space="preserve"> </w:t>
      </w:r>
      <w:r>
        <w:rPr>
          <w:rFonts w:ascii="Calibri" w:hAnsi="Calibri" w:cs="Calibri"/>
          <w:kern w:val="0"/>
          <w:szCs w:val="22"/>
          <w:u w:color="0000FF"/>
          <w:lang w:val="en-GB"/>
        </w:rPr>
        <w:t xml:space="preserve">the functions of a person’s brain (see </w:t>
      </w:r>
      <w:hyperlink w:anchor="_Neurological_determination_of" w:history="1">
        <w:r w:rsidRPr="00B961B5">
          <w:rPr>
            <w:rStyle w:val="Hyperlink"/>
            <w:rFonts w:ascii="Calibri" w:hAnsi="Calibri" w:cs="Calibri"/>
            <w:kern w:val="0"/>
            <w:szCs w:val="22"/>
            <w:lang w:val="en-GB"/>
          </w:rPr>
          <w:t>Chapter 2.4.1.1</w:t>
        </w:r>
      </w:hyperlink>
      <w:r>
        <w:rPr>
          <w:rFonts w:ascii="Calibri" w:hAnsi="Calibri" w:cs="Calibri"/>
          <w:kern w:val="0"/>
          <w:szCs w:val="22"/>
          <w:u w:color="0000FF"/>
          <w:lang w:val="en-GB"/>
        </w:rPr>
        <w:t>)</w:t>
      </w:r>
      <w:r w:rsidR="000B1196">
        <w:rPr>
          <w:rFonts w:ascii="Calibri" w:hAnsi="Calibri" w:cs="Calibri"/>
          <w:kern w:val="0"/>
          <w:szCs w:val="22"/>
          <w:u w:color="0000FF"/>
          <w:lang w:val="en-GB"/>
        </w:rPr>
        <w:t>)</w:t>
      </w:r>
      <w:r>
        <w:rPr>
          <w:rFonts w:ascii="Calibri" w:hAnsi="Calibri" w:cs="Calibri"/>
          <w:kern w:val="0"/>
          <w:szCs w:val="22"/>
          <w:u w:color="0000FF"/>
          <w:lang w:val="en-GB"/>
        </w:rPr>
        <w:t xml:space="preserve">.  </w:t>
      </w:r>
    </w:p>
    <w:p w14:paraId="59414031" w14:textId="14B9A4A9" w:rsidR="0013552D" w:rsidRPr="00B961B5" w:rsidRDefault="0013552D" w:rsidP="00EA22AE">
      <w:pPr>
        <w:spacing w:after="120"/>
        <w:rPr>
          <w:rFonts w:ascii="Calibri" w:hAnsi="Calibri" w:cs="Calibri"/>
          <w:color w:val="000000" w:themeColor="text1"/>
          <w:sz w:val="22"/>
          <w:szCs w:val="22"/>
        </w:rPr>
      </w:pPr>
      <w:r w:rsidRPr="00B961B5">
        <w:rPr>
          <w:rFonts w:ascii="Calibri" w:hAnsi="Calibri" w:cs="Calibri"/>
          <w:color w:val="000000" w:themeColor="text1"/>
          <w:sz w:val="22"/>
          <w:szCs w:val="22"/>
        </w:rPr>
        <w:t xml:space="preserve">Australia has a statutory definition of death that is specified in state and territory legislation </w:t>
      </w:r>
      <w:r w:rsidR="00B961B5" w:rsidRPr="00B961B5">
        <w:rPr>
          <w:rFonts w:ascii="Calibri" w:hAnsi="Calibri" w:cs="Calibri"/>
          <w:color w:val="000000" w:themeColor="text1"/>
          <w:sz w:val="22"/>
          <w:szCs w:val="22"/>
        </w:rPr>
        <w:t xml:space="preserve">(see </w:t>
      </w:r>
      <w:hyperlink w:anchor="_Determination_of_death_1" w:history="1">
        <w:r w:rsidR="00B961B5" w:rsidRPr="00B961B5">
          <w:rPr>
            <w:rStyle w:val="Hyperlink"/>
            <w:rFonts w:ascii="Calibri" w:hAnsi="Calibri" w:cs="Calibri"/>
            <w:sz w:val="22"/>
            <w:szCs w:val="22"/>
          </w:rPr>
          <w:t>Chapter 3.5.1.1</w:t>
        </w:r>
      </w:hyperlink>
      <w:r w:rsidR="00B961B5" w:rsidRPr="00B961B5">
        <w:rPr>
          <w:rFonts w:ascii="Calibri" w:hAnsi="Calibri" w:cs="Calibri"/>
          <w:color w:val="000000" w:themeColor="text1"/>
          <w:sz w:val="22"/>
          <w:szCs w:val="22"/>
        </w:rPr>
        <w:t xml:space="preserve"> ) </w:t>
      </w:r>
      <w:r w:rsidRPr="00B961B5">
        <w:rPr>
          <w:rFonts w:ascii="Calibri" w:hAnsi="Calibri" w:cs="Calibri"/>
          <w:color w:val="000000" w:themeColor="text1"/>
          <w:sz w:val="22"/>
          <w:szCs w:val="22"/>
        </w:rPr>
        <w:t>as:</w:t>
      </w:r>
    </w:p>
    <w:p w14:paraId="37486F18" w14:textId="77777777" w:rsidR="0013552D" w:rsidRPr="00B961B5" w:rsidRDefault="0013552D" w:rsidP="00C3783C">
      <w:pPr>
        <w:pStyle w:val="ListParagraph"/>
        <w:numPr>
          <w:ilvl w:val="0"/>
          <w:numId w:val="118"/>
        </w:numPr>
        <w:spacing w:after="120"/>
        <w:contextualSpacing w:val="0"/>
        <w:rPr>
          <w:rFonts w:cs="Calibri"/>
          <w:color w:val="000000" w:themeColor="text1"/>
          <w:szCs w:val="22"/>
        </w:rPr>
      </w:pPr>
      <w:r w:rsidRPr="00B961B5">
        <w:rPr>
          <w:rFonts w:cs="Calibri"/>
          <w:color w:val="000000" w:themeColor="text1"/>
          <w:szCs w:val="22"/>
        </w:rPr>
        <w:t>irreversible cessation of all function of the brain of the person; or</w:t>
      </w:r>
    </w:p>
    <w:p w14:paraId="70DAB6A5" w14:textId="77777777" w:rsidR="0013552D" w:rsidRPr="00B961B5" w:rsidRDefault="0013552D" w:rsidP="00C3783C">
      <w:pPr>
        <w:pStyle w:val="ListParagraph"/>
        <w:numPr>
          <w:ilvl w:val="0"/>
          <w:numId w:val="118"/>
        </w:numPr>
        <w:spacing w:after="120"/>
        <w:contextualSpacing w:val="0"/>
        <w:rPr>
          <w:rFonts w:cs="Calibri"/>
          <w:color w:val="000000" w:themeColor="text1"/>
          <w:szCs w:val="22"/>
        </w:rPr>
      </w:pPr>
      <w:r w:rsidRPr="00B961B5">
        <w:rPr>
          <w:rFonts w:cs="Calibri"/>
          <w:color w:val="000000" w:themeColor="text1"/>
          <w:szCs w:val="22"/>
        </w:rPr>
        <w:lastRenderedPageBreak/>
        <w:t>irreversible cessation of circulation of blood in the body of the person.</w:t>
      </w:r>
    </w:p>
    <w:p w14:paraId="34E53C26" w14:textId="3044304A" w:rsidR="0013552D" w:rsidRDefault="0013552D" w:rsidP="00EA22AE">
      <w:pPr>
        <w:spacing w:after="120"/>
        <w:rPr>
          <w:rFonts w:ascii="Calibri" w:hAnsi="Calibri" w:cs="Calibri"/>
          <w:color w:val="000000" w:themeColor="text1"/>
          <w:sz w:val="22"/>
          <w:szCs w:val="22"/>
        </w:rPr>
      </w:pPr>
      <w:r w:rsidRPr="00B961B5">
        <w:rPr>
          <w:rFonts w:ascii="Calibri" w:hAnsi="Calibri" w:cs="Calibri"/>
          <w:color w:val="000000" w:themeColor="text1"/>
          <w:sz w:val="22"/>
          <w:szCs w:val="22"/>
        </w:rPr>
        <w:t>The precise criteria and procedures for diagnosing death are determined by the medical profession, in accordance with this definition.</w:t>
      </w:r>
      <w:r w:rsidRPr="00B961B5">
        <w:rPr>
          <w:rFonts w:ascii="Calibri" w:hAnsi="Calibri" w:cs="Calibri"/>
          <w:color w:val="000000" w:themeColor="text1"/>
          <w:sz w:val="22"/>
          <w:szCs w:val="22"/>
        </w:rPr>
        <w:fldChar w:fldCharType="begin" w:fldLock="1"/>
      </w:r>
      <w:r w:rsidR="00C12F71">
        <w:rPr>
          <w:rFonts w:ascii="Calibri" w:hAnsi="Calibri" w:cs="Calibri"/>
          <w:color w:val="000000" w:themeColor="text1"/>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Pr="00B961B5">
        <w:rPr>
          <w:rFonts w:ascii="Calibri" w:hAnsi="Calibri" w:cs="Calibri"/>
          <w:color w:val="000000" w:themeColor="text1"/>
          <w:sz w:val="22"/>
          <w:szCs w:val="22"/>
        </w:rPr>
        <w:fldChar w:fldCharType="separate"/>
      </w:r>
      <w:r w:rsidR="000B7242" w:rsidRPr="000B7242">
        <w:rPr>
          <w:rFonts w:ascii="Calibri" w:hAnsi="Calibri" w:cs="Calibri"/>
          <w:noProof/>
          <w:color w:val="000000" w:themeColor="text1"/>
          <w:sz w:val="22"/>
          <w:szCs w:val="22"/>
        </w:rPr>
        <w:t>(20)</w:t>
      </w:r>
      <w:r w:rsidRPr="00B961B5">
        <w:rPr>
          <w:rFonts w:ascii="Calibri" w:hAnsi="Calibri" w:cs="Calibri"/>
          <w:color w:val="000000" w:themeColor="text1"/>
          <w:sz w:val="22"/>
          <w:szCs w:val="22"/>
        </w:rPr>
        <w:fldChar w:fldCharType="end"/>
      </w:r>
      <w:r w:rsidRPr="00B961B5">
        <w:rPr>
          <w:rFonts w:ascii="Calibri" w:hAnsi="Calibri" w:cs="Calibri"/>
          <w:color w:val="000000" w:themeColor="text1"/>
          <w:sz w:val="22"/>
          <w:szCs w:val="22"/>
        </w:rPr>
        <w:t xml:space="preserve"> </w:t>
      </w:r>
    </w:p>
    <w:p w14:paraId="6C72ADCA" w14:textId="6EF3C609" w:rsidR="00ED644F" w:rsidRDefault="00B961B5"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Organ donation is possible following death in a limited number of circumstances, estimated to be about 2% of people dying in hospitals. This is primarily due to few deaths occurring in a manner whereby organs are in a condition suitable for transplantation.</w:t>
      </w:r>
    </w:p>
    <w:p w14:paraId="6A3A490B" w14:textId="77777777" w:rsidR="006C6EBA" w:rsidRPr="006720E4" w:rsidRDefault="006C6EBA" w:rsidP="00EA22AE">
      <w:pPr>
        <w:pStyle w:val="Heading4"/>
        <w:spacing w:after="120"/>
      </w:pPr>
      <w:bookmarkStart w:id="334" w:name="_Neurological_determination_of"/>
      <w:bookmarkEnd w:id="334"/>
      <w:r w:rsidRPr="006720E4">
        <w:t>Neurological determination of death</w:t>
      </w:r>
    </w:p>
    <w:p w14:paraId="175C13F3" w14:textId="77777777" w:rsidR="00B961B5" w:rsidRDefault="006C6EBA" w:rsidP="00EA22AE">
      <w:pPr>
        <w:spacing w:after="120"/>
        <w:rPr>
          <w:rFonts w:ascii="Calibri" w:hAnsi="Calibri" w:cs="Calibri"/>
          <w:color w:val="000000" w:themeColor="text1"/>
          <w:sz w:val="22"/>
          <w:szCs w:val="22"/>
        </w:rPr>
      </w:pPr>
      <w:r w:rsidRPr="00B961B5">
        <w:rPr>
          <w:rFonts w:ascii="Calibri" w:hAnsi="Calibri" w:cs="Calibri"/>
          <w:color w:val="000000" w:themeColor="text1"/>
          <w:sz w:val="22"/>
          <w:szCs w:val="22"/>
        </w:rPr>
        <w:t>A small number of people die in hospital due to severe brain injury that culminates in irreversible cessation of all function of the brain</w:t>
      </w:r>
      <w:r w:rsidR="00B961B5" w:rsidRPr="00B961B5">
        <w:rPr>
          <w:rFonts w:ascii="Calibri" w:hAnsi="Calibri" w:cs="Calibri"/>
          <w:szCs w:val="22"/>
          <w:u w:color="0000FF"/>
          <w:lang w:val="en-GB"/>
        </w:rPr>
        <w:t xml:space="preserve"> </w:t>
      </w:r>
      <w:r w:rsidR="00B961B5" w:rsidRPr="00B961B5">
        <w:rPr>
          <w:rFonts w:ascii="Calibri" w:hAnsi="Calibri" w:cs="Calibri"/>
          <w:sz w:val="22"/>
          <w:szCs w:val="22"/>
          <w:u w:color="0000FF"/>
          <w:lang w:val="en-GB"/>
        </w:rPr>
        <w:t>while circulatory functions in the body are maintained artificially with the support of machines and medications. Death is diagnosed in these cases via clinical assessment that determines there has been irreversible cessation of all brain functions.</w:t>
      </w:r>
    </w:p>
    <w:p w14:paraId="59110EF3" w14:textId="427602A8" w:rsidR="006C6EBA" w:rsidRPr="00B961B5" w:rsidRDefault="006C6EBA" w:rsidP="00EA22AE">
      <w:pPr>
        <w:spacing w:after="120"/>
        <w:rPr>
          <w:rFonts w:ascii="Calibri" w:hAnsi="Calibri" w:cs="Calibri"/>
          <w:color w:val="000000" w:themeColor="text1"/>
          <w:sz w:val="22"/>
          <w:szCs w:val="22"/>
        </w:rPr>
      </w:pPr>
      <w:r w:rsidRPr="00B961B5">
        <w:rPr>
          <w:rFonts w:ascii="Calibri" w:hAnsi="Calibri" w:cs="Calibri"/>
          <w:color w:val="000000" w:themeColor="text1"/>
          <w:sz w:val="22"/>
          <w:szCs w:val="22"/>
        </w:rPr>
        <w:t>Commonly referred to as “brain death”, its diagnosis is more precisely referred to as the “neurological determination of death”</w:t>
      </w:r>
      <w:r w:rsidR="00B961B5">
        <w:rPr>
          <w:rFonts w:ascii="Calibri" w:hAnsi="Calibri" w:cs="Calibri"/>
          <w:color w:val="000000" w:themeColor="text1"/>
          <w:sz w:val="22"/>
          <w:szCs w:val="22"/>
        </w:rPr>
        <w:t xml:space="preserve"> </w:t>
      </w:r>
      <w:r w:rsidRPr="00B961B5">
        <w:rPr>
          <w:rFonts w:ascii="Calibri" w:hAnsi="Calibri" w:cs="Calibri"/>
          <w:color w:val="000000" w:themeColor="text1"/>
          <w:sz w:val="22"/>
          <w:szCs w:val="22"/>
        </w:rPr>
        <w:t xml:space="preserve">(see </w:t>
      </w:r>
      <w:r w:rsidRPr="00B961B5">
        <w:rPr>
          <w:rFonts w:ascii="Calibri" w:hAnsi="Calibri" w:cs="Calibri"/>
          <w:b/>
          <w:bCs/>
          <w:color w:val="000000" w:themeColor="text1"/>
          <w:sz w:val="22"/>
          <w:szCs w:val="22"/>
        </w:rPr>
        <w:t xml:space="preserve">Box </w:t>
      </w:r>
      <w:r w:rsidR="00B961B5" w:rsidRPr="00B961B5">
        <w:rPr>
          <w:rFonts w:ascii="Calibri" w:hAnsi="Calibri" w:cs="Calibri"/>
          <w:b/>
          <w:bCs/>
          <w:color w:val="000000" w:themeColor="text1"/>
          <w:sz w:val="22"/>
          <w:szCs w:val="22"/>
        </w:rPr>
        <w:t>2.</w:t>
      </w:r>
      <w:r w:rsidRPr="00B961B5">
        <w:rPr>
          <w:rFonts w:ascii="Calibri" w:hAnsi="Calibri" w:cs="Calibri"/>
          <w:b/>
          <w:bCs/>
          <w:color w:val="000000" w:themeColor="text1"/>
          <w:sz w:val="22"/>
          <w:szCs w:val="22"/>
        </w:rPr>
        <w:t>1</w:t>
      </w:r>
      <w:r w:rsidRPr="00B961B5">
        <w:rPr>
          <w:rFonts w:ascii="Calibri" w:hAnsi="Calibri" w:cs="Calibri"/>
          <w:color w:val="000000" w:themeColor="text1"/>
          <w:sz w:val="22"/>
          <w:szCs w:val="22"/>
        </w:rPr>
        <w:t xml:space="preserve">). Donation after the neurological determination of death (DNDD) comprises approximately 70% of deceased organ donation in Australia. </w:t>
      </w:r>
    </w:p>
    <w:p w14:paraId="7E7765F4" w14:textId="470F64F5" w:rsidR="006C6EBA" w:rsidRPr="00B961B5" w:rsidRDefault="006C6EBA" w:rsidP="00EA22AE">
      <w:pPr>
        <w:spacing w:after="120"/>
        <w:rPr>
          <w:rFonts w:ascii="Calibri" w:hAnsi="Calibri" w:cs="Calibri"/>
          <w:b/>
          <w:bCs/>
        </w:rPr>
      </w:pPr>
      <w:r w:rsidRPr="00B961B5">
        <w:rPr>
          <w:rFonts w:ascii="Calibri" w:hAnsi="Calibri" w:cs="Calibri"/>
          <w:b/>
          <w:bCs/>
        </w:rPr>
        <w:t xml:space="preserve">Box </w:t>
      </w:r>
      <w:r w:rsidR="00B961B5" w:rsidRPr="00B961B5">
        <w:rPr>
          <w:rFonts w:ascii="Calibri" w:hAnsi="Calibri" w:cs="Calibri"/>
          <w:b/>
          <w:bCs/>
        </w:rPr>
        <w:t>2.</w:t>
      </w:r>
      <w:r w:rsidRPr="00B961B5">
        <w:rPr>
          <w:rFonts w:ascii="Calibri" w:hAnsi="Calibri" w:cs="Calibri"/>
          <w:b/>
          <w:bCs/>
        </w:rPr>
        <w:t xml:space="preserve">1 The neurological determination of death </w:t>
      </w:r>
    </w:p>
    <w:tbl>
      <w:tblPr>
        <w:tblStyle w:val="TableGrid"/>
        <w:tblW w:w="0" w:type="auto"/>
        <w:tblLook w:val="04A0" w:firstRow="1" w:lastRow="0" w:firstColumn="1" w:lastColumn="0" w:noHBand="0" w:noVBand="1"/>
      </w:tblPr>
      <w:tblGrid>
        <w:gridCol w:w="9010"/>
      </w:tblGrid>
      <w:tr w:rsidR="006C6EBA" w:rsidRPr="006720E4" w14:paraId="1F0BDF7E" w14:textId="77777777">
        <w:tc>
          <w:tcPr>
            <w:tcW w:w="9016" w:type="dxa"/>
          </w:tcPr>
          <w:p w14:paraId="458F2E23" w14:textId="77777777" w:rsidR="006C6EBA" w:rsidRPr="0018287A" w:rsidRDefault="006C6EBA" w:rsidP="00EA22AE">
            <w:pPr>
              <w:spacing w:after="120"/>
              <w:rPr>
                <w:rFonts w:ascii="Calibri" w:hAnsi="Calibri" w:cs="Calibri"/>
                <w:sz w:val="22"/>
                <w:szCs w:val="22"/>
              </w:rPr>
            </w:pPr>
            <w:r w:rsidRPr="0018287A">
              <w:rPr>
                <w:rFonts w:ascii="Calibri" w:hAnsi="Calibri" w:cs="Calibri"/>
                <w:sz w:val="22"/>
                <w:szCs w:val="22"/>
              </w:rPr>
              <w:t>The permanent loss of all brain function and neurological determination of death follows certain types of extensive damage to the brain. This can be the result of a severe traumatic head injury, a stroke from bleeding (haemorrhage) or blockage of blood flow to the brain, brain infection, brain tumour, or following a period of prolonged lack of oxygen or blood flow to the brain.</w:t>
            </w:r>
          </w:p>
          <w:p w14:paraId="20E9CF28" w14:textId="0866B3C0" w:rsidR="006C6EBA" w:rsidRPr="0018287A" w:rsidRDefault="006C6EBA" w:rsidP="00EA22AE">
            <w:pPr>
              <w:spacing w:after="120"/>
              <w:rPr>
                <w:rFonts w:ascii="Calibri" w:hAnsi="Calibri" w:cs="Calibri"/>
                <w:sz w:val="22"/>
                <w:szCs w:val="22"/>
              </w:rPr>
            </w:pPr>
            <w:r w:rsidRPr="0018287A">
              <w:rPr>
                <w:rFonts w:ascii="Calibri" w:hAnsi="Calibri" w:cs="Calibri"/>
                <w:sz w:val="22"/>
                <w:szCs w:val="22"/>
              </w:rPr>
              <w:t>When the brain is injured, it swells, and pressure builds up due to the constraint of the surrounding rigid skull. The pressure can reach a point where blood is unable to flow to the brain. If the entire brain dies, the person’s brain will never function again – there is permanent loss of all brain function. This includes loss of vital brain functions such the ability to breathe and maintain blood pressure and body temperature. The condition differs from lesser forms of brain injury, including coma, post-coma unresponsiveness (vegetative state) and the minimally responsive state</w:t>
            </w:r>
            <w:r w:rsidR="0018287A">
              <w:rPr>
                <w:rFonts w:ascii="Calibri" w:hAnsi="Calibri" w:cs="Calibri"/>
                <w:sz w:val="22"/>
                <w:szCs w:val="22"/>
              </w:rPr>
              <w:t>.</w:t>
            </w:r>
            <w:r w:rsidR="009B6E1E">
              <w:rPr>
                <w:rFonts w:ascii="Calibri" w:hAnsi="Calibri" w:cs="Calibri"/>
                <w:sz w:val="22"/>
                <w:szCs w:val="22"/>
              </w:rPr>
              <w:fldChar w:fldCharType="begin" w:fldLock="1"/>
            </w:r>
            <w:r w:rsidR="00C12F71">
              <w:rPr>
                <w:rFonts w:ascii="Calibri" w:hAnsi="Calibri" w:cs="Calibri"/>
                <w:sz w:val="22"/>
                <w:szCs w:val="22"/>
              </w:rPr>
              <w:instrText>ADDIN CSL_CITATION {"citationItems":[{"id":"ITEM-1","itemData":{"ISBN":"1864963433","author":[{"dropping-particle":"","family":"National Health and Medical Research Council (NHMRC)","given":"","non-dropping-particle":"","parse-names":false,"suffix":""}],"id":"ITEM-1","issued":{"date-parts":[["2008"]]},"title":"Ethical guidelines for the care of people in post-coma unresponsiveness (vegetative state) or a minimally responsive state.","type":"report"},"uris":["http://www.mendeley.com/documents/?uuid=9e540a2b-0cb8-47a8-ac23-215a2d1ccdd2"]}],"mendeley":{"formattedCitation":"(21)","plainTextFormattedCitation":"(21)","previouslyFormattedCitation":"(21)"},"properties":{"noteIndex":0},"schema":"https://github.com/citation-style-language/schema/raw/master/csl-citation.json"}</w:instrText>
            </w:r>
            <w:r w:rsidR="009B6E1E">
              <w:rPr>
                <w:rFonts w:ascii="Calibri" w:hAnsi="Calibri" w:cs="Calibri"/>
                <w:sz w:val="22"/>
                <w:szCs w:val="22"/>
              </w:rPr>
              <w:fldChar w:fldCharType="separate"/>
            </w:r>
            <w:r w:rsidR="000B7242" w:rsidRPr="000B7242">
              <w:rPr>
                <w:rFonts w:ascii="Calibri" w:hAnsi="Calibri" w:cs="Calibri"/>
                <w:noProof/>
                <w:sz w:val="22"/>
                <w:szCs w:val="22"/>
              </w:rPr>
              <w:t>(21)</w:t>
            </w:r>
            <w:r w:rsidR="009B6E1E">
              <w:rPr>
                <w:rFonts w:ascii="Calibri" w:hAnsi="Calibri" w:cs="Calibri"/>
                <w:sz w:val="22"/>
                <w:szCs w:val="22"/>
              </w:rPr>
              <w:fldChar w:fldCharType="end"/>
            </w:r>
          </w:p>
          <w:p w14:paraId="510BB100" w14:textId="2C3BC78C" w:rsidR="009B6E1E" w:rsidRDefault="006C6EBA" w:rsidP="00EA22AE">
            <w:pPr>
              <w:spacing w:after="120"/>
              <w:rPr>
                <w:rFonts w:ascii="Calibri" w:hAnsi="Calibri" w:cs="Calibri"/>
                <w:sz w:val="22"/>
                <w:szCs w:val="22"/>
              </w:rPr>
            </w:pPr>
            <w:r w:rsidRPr="0018287A">
              <w:rPr>
                <w:rFonts w:ascii="Calibri" w:hAnsi="Calibri" w:cs="Calibri"/>
                <w:sz w:val="22"/>
                <w:szCs w:val="22"/>
              </w:rPr>
              <w:t xml:space="preserve">The development of </w:t>
            </w:r>
            <w:r w:rsidR="00FA7E20">
              <w:rPr>
                <w:rFonts w:ascii="Calibri" w:hAnsi="Calibri" w:cs="Calibri"/>
                <w:sz w:val="22"/>
                <w:szCs w:val="22"/>
              </w:rPr>
              <w:t>neurological</w:t>
            </w:r>
            <w:r w:rsidRPr="0018287A">
              <w:rPr>
                <w:rFonts w:ascii="Calibri" w:hAnsi="Calibri" w:cs="Calibri"/>
                <w:sz w:val="22"/>
                <w:szCs w:val="22"/>
              </w:rPr>
              <w:t xml:space="preserve"> death is only possible when a person is maintained on a mechanical ventilator, usually whilst receiving treatment in an intensive care unit (ICU). There are strict criteria and procedures for the neurological determination of death in Australia, which are outlined in the clinical guidelines of the Australian and New Zealand Intensive Care Society.</w:t>
            </w:r>
            <w:r w:rsidR="009B6E1E">
              <w:rPr>
                <w:rFonts w:ascii="Calibri" w:hAnsi="Calibri" w:cs="Calibri"/>
                <w:sz w:val="22"/>
                <w:szCs w:val="22"/>
              </w:rPr>
              <w:fldChar w:fldCharType="begin" w:fldLock="1"/>
            </w:r>
            <w:r w:rsidR="00C12F71">
              <w:rPr>
                <w:rFonts w:ascii="Calibri" w:hAnsi="Calibri" w:cs="Calibri"/>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009B6E1E">
              <w:rPr>
                <w:rFonts w:ascii="Calibri" w:hAnsi="Calibri" w:cs="Calibri"/>
                <w:sz w:val="22"/>
                <w:szCs w:val="22"/>
              </w:rPr>
              <w:fldChar w:fldCharType="separate"/>
            </w:r>
            <w:r w:rsidR="000B7242" w:rsidRPr="000B7242">
              <w:rPr>
                <w:rFonts w:ascii="Calibri" w:hAnsi="Calibri" w:cs="Calibri"/>
                <w:noProof/>
                <w:sz w:val="22"/>
                <w:szCs w:val="22"/>
              </w:rPr>
              <w:t>(20)</w:t>
            </w:r>
            <w:r w:rsidR="009B6E1E">
              <w:rPr>
                <w:rFonts w:ascii="Calibri" w:hAnsi="Calibri" w:cs="Calibri"/>
                <w:sz w:val="22"/>
                <w:szCs w:val="22"/>
              </w:rPr>
              <w:fldChar w:fldCharType="end"/>
            </w:r>
            <w:r w:rsidRPr="0018287A">
              <w:rPr>
                <w:rFonts w:ascii="Calibri" w:hAnsi="Calibri" w:cs="Calibri"/>
                <w:sz w:val="22"/>
                <w:szCs w:val="22"/>
              </w:rPr>
              <w:t xml:space="preserve"> Th</w:t>
            </w:r>
            <w:r w:rsidR="009B6E1E">
              <w:rPr>
                <w:rFonts w:ascii="Calibri" w:hAnsi="Calibri" w:cs="Calibri"/>
                <w:sz w:val="22"/>
                <w:szCs w:val="22"/>
              </w:rPr>
              <w:t>ese</w:t>
            </w:r>
            <w:r w:rsidRPr="0018287A">
              <w:rPr>
                <w:rFonts w:ascii="Calibri" w:hAnsi="Calibri" w:cs="Calibri"/>
                <w:sz w:val="22"/>
                <w:szCs w:val="22"/>
              </w:rPr>
              <w:t xml:space="preserve"> include undertaking a careful neurological examination that confirms loss of crucial brain functions such as the ability to cough, blink, pupil constriction to light, and to breathe when temporarily disconnected from the ventilator.</w:t>
            </w:r>
          </w:p>
          <w:p w14:paraId="22631FE7" w14:textId="77777777" w:rsidR="009B6E1E" w:rsidRDefault="006C6EBA" w:rsidP="00EA22AE">
            <w:pPr>
              <w:spacing w:after="120"/>
              <w:rPr>
                <w:rFonts w:ascii="Calibri" w:hAnsi="Calibri" w:cs="Calibri"/>
                <w:sz w:val="22"/>
                <w:szCs w:val="22"/>
              </w:rPr>
            </w:pPr>
            <w:r w:rsidRPr="0018287A">
              <w:rPr>
                <w:rFonts w:ascii="Calibri" w:hAnsi="Calibri" w:cs="Calibri"/>
                <w:sz w:val="22"/>
                <w:szCs w:val="22"/>
              </w:rPr>
              <w:t xml:space="preserve">It is a legal requirement if donation is to proceed, two suitably qualified medical practitioners each undertake a clinical examination and independently determine that there is no brain function. In some circumstances the neurological examination cannot be solely relied upon for the determination of death and medical imaging tests demonstrating loss of blood flow to the brain are required. </w:t>
            </w:r>
          </w:p>
          <w:p w14:paraId="44BCEE39" w14:textId="19A0EF39" w:rsidR="006C6EBA" w:rsidRPr="006720E4" w:rsidRDefault="006C6EBA" w:rsidP="00EA22AE">
            <w:pPr>
              <w:spacing w:after="120"/>
              <w:rPr>
                <w:rFonts w:ascii="Calibri" w:hAnsi="Calibri" w:cs="Calibri"/>
              </w:rPr>
            </w:pPr>
            <w:r w:rsidRPr="0018287A">
              <w:rPr>
                <w:rFonts w:ascii="Calibri" w:hAnsi="Calibri" w:cs="Calibri"/>
                <w:sz w:val="22"/>
                <w:szCs w:val="22"/>
              </w:rPr>
              <w:t xml:space="preserve">Although death has been confirmed, the person’s heart is still beating due to the oxygen provided by the mechanical ventilator and the person will feel warm and skin look pink due to blood flowing to the body. It is important that treating medical staff take time to explain the concept of </w:t>
            </w:r>
            <w:r w:rsidR="00FA7E20">
              <w:rPr>
                <w:rFonts w:ascii="Calibri" w:hAnsi="Calibri" w:cs="Calibri"/>
                <w:sz w:val="22"/>
                <w:szCs w:val="22"/>
              </w:rPr>
              <w:t xml:space="preserve">neurological </w:t>
            </w:r>
            <w:r w:rsidRPr="0018287A">
              <w:rPr>
                <w:rFonts w:ascii="Calibri" w:hAnsi="Calibri" w:cs="Calibri"/>
                <w:sz w:val="22"/>
                <w:szCs w:val="22"/>
              </w:rPr>
              <w:t xml:space="preserve">death to family as the person does not have the usual appearance commonly associated with death. </w:t>
            </w:r>
          </w:p>
        </w:tc>
      </w:tr>
    </w:tbl>
    <w:p w14:paraId="2589B5FF" w14:textId="77777777" w:rsidR="006C6EBA" w:rsidRPr="009B6E1E" w:rsidRDefault="006C6EBA" w:rsidP="00EA22AE">
      <w:pPr>
        <w:spacing w:after="120"/>
        <w:rPr>
          <w:rFonts w:ascii="Calibri" w:hAnsi="Calibri" w:cs="Calibri"/>
          <w:sz w:val="22"/>
          <w:szCs w:val="22"/>
        </w:rPr>
      </w:pPr>
    </w:p>
    <w:p w14:paraId="27E631A9" w14:textId="77777777" w:rsidR="009B6E1E" w:rsidRPr="009B6E1E" w:rsidRDefault="006C6EBA" w:rsidP="00EA22AE">
      <w:pPr>
        <w:spacing w:after="120"/>
        <w:rPr>
          <w:rFonts w:ascii="Calibri" w:hAnsi="Calibri" w:cs="Calibri"/>
          <w:sz w:val="22"/>
          <w:szCs w:val="22"/>
        </w:rPr>
      </w:pPr>
      <w:r w:rsidRPr="009B6E1E">
        <w:rPr>
          <w:rFonts w:ascii="Calibri" w:hAnsi="Calibri" w:cs="Calibri"/>
          <w:sz w:val="22"/>
          <w:szCs w:val="22"/>
        </w:rPr>
        <w:t xml:space="preserve">DNDD provides the best conditions for organ donation as the surgical procedure can begin in the operating theatre whilst blood flow continues to the organs, resulting in better transplant outcomes </w:t>
      </w:r>
      <w:r w:rsidRPr="009B6E1E">
        <w:rPr>
          <w:rFonts w:ascii="Calibri" w:hAnsi="Calibri" w:cs="Calibri"/>
          <w:sz w:val="22"/>
          <w:szCs w:val="22"/>
        </w:rPr>
        <w:lastRenderedPageBreak/>
        <w:t xml:space="preserve">for some organs, particularly the liver and heart. The DNDD process is also more predictable with only a small proportion of initiated cases not proceeding to the surgical retrieval of transplantable organs. </w:t>
      </w:r>
    </w:p>
    <w:p w14:paraId="2F17CD95" w14:textId="52EEA2BE" w:rsidR="006C6EBA" w:rsidRPr="009B6E1E" w:rsidRDefault="006C6EBA" w:rsidP="00EA22AE">
      <w:pPr>
        <w:spacing w:after="120"/>
        <w:rPr>
          <w:rFonts w:ascii="Calibri" w:hAnsi="Calibri" w:cs="Calibri"/>
          <w:sz w:val="22"/>
          <w:szCs w:val="22"/>
        </w:rPr>
      </w:pPr>
      <w:r w:rsidRPr="009B6E1E">
        <w:rPr>
          <w:rFonts w:ascii="Calibri" w:hAnsi="Calibri" w:cs="Calibri"/>
          <w:sz w:val="22"/>
          <w:szCs w:val="22"/>
        </w:rPr>
        <w:t xml:space="preserve">The number of DNDD donors is limited by the low and decreasing incidence of brain trauma, stroke and other causes of neurological death observed in many developed countries including Australia. </w:t>
      </w:r>
    </w:p>
    <w:p w14:paraId="3F368DB8" w14:textId="77777777" w:rsidR="006C6EBA" w:rsidRPr="009B6E1E" w:rsidRDefault="006C6EBA" w:rsidP="00EA22AE">
      <w:pPr>
        <w:pStyle w:val="Heading4"/>
        <w:spacing w:after="120"/>
      </w:pPr>
      <w:r w:rsidRPr="009B6E1E">
        <w:t>Circulatory determination of death</w:t>
      </w:r>
    </w:p>
    <w:p w14:paraId="394DE2E0" w14:textId="77777777" w:rsidR="00B961B5" w:rsidRDefault="00B961B5" w:rsidP="00EA22AE">
      <w:pPr>
        <w:pStyle w:val="Guidelinesnormalparagraph"/>
        <w:rPr>
          <w:rFonts w:ascii="Calibri" w:hAnsi="Calibri" w:cs="Calibri"/>
          <w:kern w:val="0"/>
          <w:szCs w:val="22"/>
          <w:u w:color="0000FF"/>
          <w:lang w:val="en-GB"/>
        </w:rPr>
      </w:pPr>
      <w:bookmarkStart w:id="335" w:name="_Hlk114067596"/>
      <w:r>
        <w:rPr>
          <w:rFonts w:ascii="Calibri" w:hAnsi="Calibri" w:cs="Calibri"/>
          <w:kern w:val="0"/>
          <w:szCs w:val="22"/>
          <w:u w:color="0000FF"/>
          <w:lang w:val="en-GB"/>
        </w:rPr>
        <w:t>T</w:t>
      </w:r>
      <w:r w:rsidRPr="007E1B57">
        <w:rPr>
          <w:rFonts w:ascii="Calibri" w:hAnsi="Calibri" w:cs="Calibri"/>
          <w:kern w:val="0"/>
          <w:szCs w:val="22"/>
          <w:u w:color="0000FF"/>
          <w:lang w:val="en-GB"/>
        </w:rPr>
        <w:t xml:space="preserve">he vast majority of deaths </w:t>
      </w:r>
      <w:r>
        <w:rPr>
          <w:rFonts w:ascii="Calibri" w:hAnsi="Calibri" w:cs="Calibri"/>
          <w:kern w:val="0"/>
          <w:szCs w:val="22"/>
          <w:u w:color="0000FF"/>
          <w:lang w:val="en-GB"/>
        </w:rPr>
        <w:t xml:space="preserve">that </w:t>
      </w:r>
      <w:r w:rsidRPr="007E1B57">
        <w:rPr>
          <w:rFonts w:ascii="Calibri" w:hAnsi="Calibri" w:cs="Calibri"/>
          <w:kern w:val="0"/>
          <w:szCs w:val="22"/>
          <w:u w:color="0000FF"/>
          <w:lang w:val="en-GB"/>
        </w:rPr>
        <w:t xml:space="preserve">occur in hospitals and </w:t>
      </w:r>
      <w:r>
        <w:rPr>
          <w:rFonts w:ascii="Calibri" w:hAnsi="Calibri" w:cs="Calibri"/>
          <w:kern w:val="0"/>
          <w:szCs w:val="22"/>
          <w:u w:color="0000FF"/>
          <w:lang w:val="en-GB"/>
        </w:rPr>
        <w:t xml:space="preserve">in </w:t>
      </w:r>
      <w:r w:rsidRPr="007E1B57">
        <w:rPr>
          <w:rFonts w:ascii="Calibri" w:hAnsi="Calibri" w:cs="Calibri"/>
          <w:kern w:val="0"/>
          <w:szCs w:val="22"/>
          <w:u w:color="0000FF"/>
          <w:lang w:val="en-GB"/>
        </w:rPr>
        <w:t>the community</w:t>
      </w:r>
      <w:r>
        <w:rPr>
          <w:rFonts w:ascii="Calibri" w:hAnsi="Calibri" w:cs="Calibri"/>
          <w:kern w:val="0"/>
          <w:szCs w:val="22"/>
          <w:u w:color="0000FF"/>
          <w:lang w:val="en-GB"/>
        </w:rPr>
        <w:t xml:space="preserve"> are determined using circulatory criteria. The “</w:t>
      </w:r>
      <w:r w:rsidRPr="007E1B57">
        <w:rPr>
          <w:rFonts w:ascii="Calibri" w:hAnsi="Calibri" w:cs="Calibri"/>
          <w:kern w:val="0"/>
          <w:szCs w:val="22"/>
          <w:u w:color="0000FF"/>
          <w:lang w:val="en-GB"/>
        </w:rPr>
        <w:t>irreversible</w:t>
      </w:r>
      <w:r>
        <w:rPr>
          <w:rFonts w:ascii="Calibri" w:hAnsi="Calibri" w:cs="Calibri"/>
          <w:kern w:val="0"/>
          <w:szCs w:val="22"/>
          <w:u w:color="0000FF"/>
          <w:lang w:val="en-GB"/>
        </w:rPr>
        <w:t>” or permanent</w:t>
      </w:r>
      <w:r w:rsidRPr="007E1B57">
        <w:rPr>
          <w:rFonts w:ascii="Calibri" w:hAnsi="Calibri" w:cs="Calibri"/>
          <w:kern w:val="0"/>
          <w:szCs w:val="22"/>
          <w:u w:color="0000FF"/>
          <w:lang w:val="en-GB"/>
        </w:rPr>
        <w:t xml:space="preserve"> cessation of circulation in the body of </w:t>
      </w:r>
      <w:r>
        <w:rPr>
          <w:rFonts w:ascii="Calibri" w:hAnsi="Calibri" w:cs="Calibri"/>
          <w:kern w:val="0"/>
          <w:szCs w:val="22"/>
          <w:u w:color="0000FF"/>
          <w:lang w:val="en-GB"/>
        </w:rPr>
        <w:t>a</w:t>
      </w:r>
      <w:r w:rsidRPr="007E1B57">
        <w:rPr>
          <w:rFonts w:ascii="Calibri" w:hAnsi="Calibri" w:cs="Calibri"/>
          <w:kern w:val="0"/>
          <w:szCs w:val="22"/>
          <w:u w:color="0000FF"/>
          <w:lang w:val="en-GB"/>
        </w:rPr>
        <w:t xml:space="preserve"> person</w:t>
      </w:r>
      <w:r>
        <w:rPr>
          <w:rFonts w:ascii="Calibri" w:hAnsi="Calibri" w:cs="Calibri"/>
          <w:kern w:val="0"/>
          <w:szCs w:val="22"/>
          <w:u w:color="0000FF"/>
          <w:lang w:val="en-GB"/>
        </w:rPr>
        <w:t xml:space="preserve"> </w:t>
      </w:r>
      <w:r w:rsidRPr="007E1B57">
        <w:rPr>
          <w:rFonts w:ascii="Calibri" w:hAnsi="Calibri" w:cs="Calibri"/>
          <w:kern w:val="0"/>
          <w:szCs w:val="22"/>
          <w:u w:color="0000FF"/>
          <w:lang w:val="en-GB"/>
        </w:rPr>
        <w:t xml:space="preserve">is </w:t>
      </w:r>
      <w:r>
        <w:rPr>
          <w:rFonts w:ascii="Calibri" w:hAnsi="Calibri" w:cs="Calibri"/>
          <w:kern w:val="0"/>
          <w:szCs w:val="22"/>
          <w:u w:color="0000FF"/>
          <w:lang w:val="en-GB"/>
        </w:rPr>
        <w:t xml:space="preserve">indicated by signs such as </w:t>
      </w:r>
      <w:r w:rsidRPr="007E1B57">
        <w:rPr>
          <w:rFonts w:ascii="Calibri" w:hAnsi="Calibri" w:cs="Calibri"/>
          <w:kern w:val="0"/>
          <w:szCs w:val="22"/>
          <w:u w:color="0000FF"/>
          <w:lang w:val="en-GB"/>
        </w:rPr>
        <w:t xml:space="preserve">absent breathing, absent pulse, and absent heart sounds, in a context where </w:t>
      </w:r>
      <w:r>
        <w:rPr>
          <w:rFonts w:ascii="Calibri" w:hAnsi="Calibri" w:cs="Calibri"/>
          <w:kern w:val="0"/>
          <w:szCs w:val="22"/>
          <w:u w:color="0000FF"/>
          <w:lang w:val="en-GB"/>
        </w:rPr>
        <w:t>efforts to restore circulation have been unsuccessful or are not planned</w:t>
      </w:r>
      <w:r w:rsidRPr="007E1B57">
        <w:rPr>
          <w:rFonts w:ascii="Calibri" w:hAnsi="Calibri" w:cs="Calibri"/>
          <w:kern w:val="0"/>
          <w:szCs w:val="22"/>
          <w:u w:color="0000FF"/>
          <w:lang w:val="en-GB"/>
        </w:rPr>
        <w:t xml:space="preserve">. </w:t>
      </w:r>
    </w:p>
    <w:p w14:paraId="58EDE3ED" w14:textId="5F0BC645" w:rsidR="00B961B5" w:rsidRPr="009B6E1E" w:rsidRDefault="00B961B5"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While most eye and tissue donation occurs following circulatory determination of death, o</w:t>
      </w:r>
      <w:r w:rsidRPr="007E1B57">
        <w:rPr>
          <w:rFonts w:ascii="Calibri" w:hAnsi="Calibri" w:cs="Calibri"/>
          <w:kern w:val="0"/>
          <w:szCs w:val="22"/>
          <w:u w:color="0000FF"/>
          <w:lang w:val="en-GB"/>
        </w:rPr>
        <w:t xml:space="preserve">rgan donation is feasible in only a very small number of </w:t>
      </w:r>
      <w:r>
        <w:rPr>
          <w:rFonts w:ascii="Calibri" w:hAnsi="Calibri" w:cs="Calibri"/>
          <w:kern w:val="0"/>
          <w:szCs w:val="22"/>
          <w:u w:color="0000FF"/>
          <w:lang w:val="en-GB"/>
        </w:rPr>
        <w:t>such</w:t>
      </w:r>
      <w:r w:rsidRPr="007E1B57">
        <w:rPr>
          <w:rFonts w:ascii="Calibri" w:hAnsi="Calibri" w:cs="Calibri"/>
          <w:kern w:val="0"/>
          <w:szCs w:val="22"/>
          <w:u w:color="0000FF"/>
          <w:lang w:val="en-GB"/>
        </w:rPr>
        <w:t xml:space="preserve"> deaths</w:t>
      </w:r>
      <w:r w:rsidR="00704915">
        <w:rPr>
          <w:rFonts w:ascii="Calibri" w:hAnsi="Calibri" w:cs="Calibri"/>
          <w:kern w:val="0"/>
          <w:szCs w:val="22"/>
          <w:u w:color="0000FF"/>
          <w:lang w:val="en-GB"/>
        </w:rPr>
        <w:t xml:space="preserve"> (</w:t>
      </w:r>
      <w:r w:rsidR="00704915" w:rsidRPr="009B6E1E">
        <w:rPr>
          <w:rFonts w:ascii="Calibri" w:hAnsi="Calibri" w:cs="Calibri"/>
          <w:color w:val="000000" w:themeColor="text1"/>
          <w:szCs w:val="22"/>
        </w:rPr>
        <w:t xml:space="preserve">see </w:t>
      </w:r>
      <w:r w:rsidR="00704915" w:rsidRPr="009B6E1E">
        <w:rPr>
          <w:rFonts w:ascii="Calibri" w:hAnsi="Calibri" w:cs="Calibri"/>
          <w:b/>
          <w:bCs/>
          <w:color w:val="000000" w:themeColor="text1"/>
          <w:szCs w:val="22"/>
        </w:rPr>
        <w:t>Box 2.2</w:t>
      </w:r>
      <w:r w:rsidR="00704915" w:rsidRPr="009B6E1E">
        <w:rPr>
          <w:rFonts w:ascii="Calibri" w:hAnsi="Calibri" w:cs="Calibri"/>
          <w:color w:val="000000" w:themeColor="text1"/>
          <w:szCs w:val="22"/>
        </w:rPr>
        <w:t xml:space="preserve"> below)</w:t>
      </w:r>
      <w:r w:rsidRPr="007E1B57">
        <w:rPr>
          <w:rFonts w:ascii="Calibri" w:hAnsi="Calibri" w:cs="Calibri"/>
          <w:kern w:val="0"/>
          <w:szCs w:val="22"/>
          <w:u w:color="0000FF"/>
          <w:lang w:val="en-GB"/>
        </w:rPr>
        <w:t>. In Australia</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donation after circulatory determination of death (DCDD) accounts for approximately 30% of deceased organ donation.</w:t>
      </w:r>
    </w:p>
    <w:p w14:paraId="2BA2AA1D" w14:textId="19A47542" w:rsidR="006C6EBA" w:rsidRPr="009B6E1E" w:rsidRDefault="006C6EBA" w:rsidP="00EA22AE">
      <w:pPr>
        <w:spacing w:after="120"/>
        <w:rPr>
          <w:rFonts w:ascii="Calibri" w:hAnsi="Calibri" w:cs="Calibri"/>
          <w:b/>
          <w:bCs/>
          <w:sz w:val="22"/>
          <w:szCs w:val="22"/>
        </w:rPr>
      </w:pPr>
      <w:r w:rsidRPr="009B6E1E">
        <w:rPr>
          <w:rFonts w:ascii="Calibri" w:hAnsi="Calibri" w:cs="Calibri"/>
          <w:b/>
          <w:bCs/>
          <w:sz w:val="22"/>
          <w:szCs w:val="22"/>
        </w:rPr>
        <w:t>Box 2</w:t>
      </w:r>
      <w:r w:rsidR="009B6E1E" w:rsidRPr="009B6E1E">
        <w:rPr>
          <w:rFonts w:ascii="Calibri" w:hAnsi="Calibri" w:cs="Calibri"/>
          <w:b/>
          <w:bCs/>
          <w:sz w:val="22"/>
          <w:szCs w:val="22"/>
        </w:rPr>
        <w:t>.2</w:t>
      </w:r>
      <w:r w:rsidRPr="009B6E1E">
        <w:rPr>
          <w:rFonts w:ascii="Calibri" w:hAnsi="Calibri" w:cs="Calibri"/>
          <w:b/>
          <w:bCs/>
          <w:sz w:val="22"/>
          <w:szCs w:val="22"/>
        </w:rPr>
        <w:t xml:space="preserve"> Determination of death using circulatory criteria in the context of organ donation </w:t>
      </w:r>
    </w:p>
    <w:tbl>
      <w:tblPr>
        <w:tblStyle w:val="TableGrid"/>
        <w:tblW w:w="0" w:type="auto"/>
        <w:jc w:val="center"/>
        <w:tblLook w:val="04A0" w:firstRow="1" w:lastRow="0" w:firstColumn="1" w:lastColumn="0" w:noHBand="0" w:noVBand="1"/>
      </w:tblPr>
      <w:tblGrid>
        <w:gridCol w:w="9010"/>
      </w:tblGrid>
      <w:tr w:rsidR="006C6EBA" w:rsidRPr="009B6E1E" w14:paraId="4E388486" w14:textId="77777777" w:rsidTr="009B6E1E">
        <w:trPr>
          <w:jc w:val="center"/>
        </w:trPr>
        <w:tc>
          <w:tcPr>
            <w:tcW w:w="9016" w:type="dxa"/>
          </w:tcPr>
          <w:p w14:paraId="1A64E3D1" w14:textId="77777777" w:rsidR="006C6EBA" w:rsidRPr="009B6E1E" w:rsidRDefault="006C6EBA" w:rsidP="00EA22AE">
            <w:pPr>
              <w:spacing w:after="120"/>
              <w:rPr>
                <w:rFonts w:ascii="Calibri" w:hAnsi="Calibri" w:cs="Calibri"/>
                <w:color w:val="000000" w:themeColor="text1"/>
                <w:sz w:val="22"/>
                <w:szCs w:val="22"/>
              </w:rPr>
            </w:pPr>
            <w:r w:rsidRPr="009B6E1E">
              <w:rPr>
                <w:rFonts w:ascii="Calibri" w:hAnsi="Calibri" w:cs="Calibri"/>
                <w:color w:val="000000" w:themeColor="text1"/>
                <w:sz w:val="22"/>
                <w:szCs w:val="22"/>
              </w:rPr>
              <w:t xml:space="preserve">The determination of death using circulatory criteria requires certainty that cessation of the circulation is “irreversible”. The term “irreversible” used in the legislation is not ideal and in practice is taken to mean “permanent”, with it either being not possible to reverse the absence of the circulation or understood that no attempt will be made to reverse it. </w:t>
            </w:r>
          </w:p>
          <w:p w14:paraId="2B849521" w14:textId="5B78E904" w:rsidR="006C6EBA" w:rsidRPr="009B6E1E" w:rsidRDefault="006C6EBA" w:rsidP="00EA22AE">
            <w:pPr>
              <w:spacing w:after="120"/>
              <w:rPr>
                <w:rFonts w:ascii="Calibri" w:hAnsi="Calibri" w:cs="Calibri"/>
                <w:color w:val="000000" w:themeColor="text1"/>
                <w:sz w:val="22"/>
                <w:szCs w:val="22"/>
              </w:rPr>
            </w:pPr>
            <w:r w:rsidRPr="009B6E1E">
              <w:rPr>
                <w:rFonts w:ascii="Calibri" w:hAnsi="Calibri" w:cs="Calibri"/>
                <w:color w:val="000000" w:themeColor="text1"/>
                <w:sz w:val="22"/>
                <w:szCs w:val="22"/>
              </w:rPr>
              <w:t>When death is anticipated following withdrawal of supportive treatments, there will be no attempt to restart the circulation and so certainty of permanence is assured when the duration of cessation of circulation has extended beyond the possibility of its spontaneous resumption, known as autoresuscitation.</w:t>
            </w:r>
            <w:r w:rsidR="00740C16">
              <w:rPr>
                <w:rFonts w:ascii="Calibri" w:hAnsi="Calibri" w:cs="Calibri"/>
                <w:color w:val="000000" w:themeColor="text1"/>
                <w:sz w:val="22"/>
                <w:szCs w:val="22"/>
              </w:rPr>
              <w:fldChar w:fldCharType="begin" w:fldLock="1"/>
            </w:r>
            <w:r w:rsidR="00C12F71">
              <w:rPr>
                <w:rFonts w:ascii="Calibri" w:hAnsi="Calibri" w:cs="Calibri"/>
                <w:color w:val="000000" w:themeColor="text1"/>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00740C16">
              <w:rPr>
                <w:rFonts w:ascii="Calibri" w:hAnsi="Calibri" w:cs="Calibri"/>
                <w:color w:val="000000" w:themeColor="text1"/>
                <w:sz w:val="22"/>
                <w:szCs w:val="22"/>
              </w:rPr>
              <w:fldChar w:fldCharType="separate"/>
            </w:r>
            <w:r w:rsidR="000B7242" w:rsidRPr="000B7242">
              <w:rPr>
                <w:rFonts w:ascii="Calibri" w:hAnsi="Calibri" w:cs="Calibri"/>
                <w:noProof/>
                <w:color w:val="000000" w:themeColor="text1"/>
                <w:sz w:val="22"/>
                <w:szCs w:val="22"/>
              </w:rPr>
              <w:t>(20)</w:t>
            </w:r>
            <w:r w:rsidR="00740C16">
              <w:rPr>
                <w:rFonts w:ascii="Calibri" w:hAnsi="Calibri" w:cs="Calibri"/>
                <w:color w:val="000000" w:themeColor="text1"/>
                <w:sz w:val="22"/>
                <w:szCs w:val="22"/>
              </w:rPr>
              <w:fldChar w:fldCharType="end"/>
            </w:r>
            <w:r w:rsidRPr="009B6E1E">
              <w:rPr>
                <w:rFonts w:ascii="Calibri" w:hAnsi="Calibri" w:cs="Calibri"/>
                <w:color w:val="000000" w:themeColor="text1"/>
                <w:sz w:val="22"/>
                <w:szCs w:val="22"/>
              </w:rPr>
              <w:t xml:space="preserve"> </w:t>
            </w:r>
          </w:p>
          <w:p w14:paraId="1859E26A" w14:textId="46874D6C" w:rsidR="006C6EBA" w:rsidRPr="009B6E1E" w:rsidRDefault="006C6EBA" w:rsidP="00EA22AE">
            <w:pPr>
              <w:spacing w:after="120"/>
              <w:rPr>
                <w:rFonts w:ascii="Calibri" w:eastAsiaTheme="minorHAnsi" w:hAnsi="Calibri" w:cs="Calibri"/>
                <w:color w:val="000000"/>
                <w:sz w:val="22"/>
                <w:szCs w:val="22"/>
                <w:lang w:eastAsia="en-US"/>
              </w:rPr>
            </w:pPr>
            <w:r w:rsidRPr="009B6E1E">
              <w:rPr>
                <w:rFonts w:ascii="Calibri" w:hAnsi="Calibri" w:cs="Calibri"/>
                <w:color w:val="000000" w:themeColor="text1"/>
                <w:sz w:val="22"/>
                <w:szCs w:val="22"/>
              </w:rPr>
              <w:t>Current evidence concludes that the circulatory determination of death requires absence of circulation for five minutes, with autoresuscitation not having been observed beyond this duration following withdrawal of supportive treatments.</w:t>
            </w:r>
            <w:r w:rsidR="00740C16">
              <w:rPr>
                <w:rFonts w:ascii="Calibri" w:hAnsi="Calibri" w:cs="Calibri"/>
                <w:color w:val="000000" w:themeColor="text1"/>
                <w:sz w:val="22"/>
                <w:szCs w:val="22"/>
              </w:rPr>
              <w:fldChar w:fldCharType="begin" w:fldLock="1"/>
            </w:r>
            <w:r w:rsidR="00C12F71">
              <w:rPr>
                <w:rFonts w:ascii="Calibri" w:hAnsi="Calibri" w:cs="Calibri"/>
                <w:color w:val="000000" w:themeColor="text1"/>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00740C16">
              <w:rPr>
                <w:rFonts w:ascii="Calibri" w:hAnsi="Calibri" w:cs="Calibri"/>
                <w:color w:val="000000" w:themeColor="text1"/>
                <w:sz w:val="22"/>
                <w:szCs w:val="22"/>
              </w:rPr>
              <w:fldChar w:fldCharType="separate"/>
            </w:r>
            <w:r w:rsidR="000B7242" w:rsidRPr="000B7242">
              <w:rPr>
                <w:rFonts w:ascii="Calibri" w:hAnsi="Calibri" w:cs="Calibri"/>
                <w:noProof/>
                <w:color w:val="000000" w:themeColor="text1"/>
                <w:sz w:val="22"/>
                <w:szCs w:val="22"/>
              </w:rPr>
              <w:t>(20)</w:t>
            </w:r>
            <w:r w:rsidR="00740C16">
              <w:rPr>
                <w:rFonts w:ascii="Calibri" w:hAnsi="Calibri" w:cs="Calibri"/>
                <w:color w:val="000000" w:themeColor="text1"/>
                <w:sz w:val="22"/>
                <w:szCs w:val="22"/>
              </w:rPr>
              <w:fldChar w:fldCharType="end"/>
            </w:r>
            <w:r w:rsidRPr="009B6E1E">
              <w:rPr>
                <w:rFonts w:ascii="Calibri" w:hAnsi="Calibri" w:cs="Calibri"/>
                <w:color w:val="000000" w:themeColor="text1"/>
                <w:sz w:val="22"/>
                <w:szCs w:val="22"/>
              </w:rPr>
              <w:t xml:space="preserve"> Given the risk of warm ischaemic damage to organs in DCDD, it is important to determine death as soon as possible and so no more than five minutes of circulatory arrest is recommended in clinical practice</w:t>
            </w:r>
            <w:r w:rsidRPr="009B6E1E">
              <w:rPr>
                <w:rFonts w:ascii="Calibri" w:eastAsiaTheme="minorHAnsi" w:hAnsi="Calibri" w:cs="Calibri"/>
                <w:color w:val="000000"/>
                <w:sz w:val="22"/>
                <w:szCs w:val="22"/>
                <w:lang w:eastAsia="en-US"/>
              </w:rPr>
              <w:t xml:space="preserve">. </w:t>
            </w:r>
          </w:p>
          <w:p w14:paraId="4B4FC4AA" w14:textId="45F4911B" w:rsidR="006C6EBA" w:rsidRPr="009B6E1E" w:rsidRDefault="006C6EBA" w:rsidP="00EA22AE">
            <w:pPr>
              <w:spacing w:after="120"/>
              <w:rPr>
                <w:rFonts w:ascii="Calibri" w:hAnsi="Calibri" w:cs="Calibri"/>
                <w:sz w:val="22"/>
                <w:szCs w:val="22"/>
              </w:rPr>
            </w:pPr>
            <w:r w:rsidRPr="009B6E1E">
              <w:rPr>
                <w:rFonts w:ascii="Calibri" w:hAnsi="Calibri" w:cs="Calibri"/>
                <w:color w:val="000000" w:themeColor="text1"/>
                <w:sz w:val="22"/>
                <w:szCs w:val="22"/>
              </w:rPr>
              <w:t>The five-minute timeframe only applies in the context of controlled DCDD following withdrawal of supportive treatments. It does not apply following cardiopulmonary resuscitative attempts where there are reports of spontaneous resumption of the circulation up to 10 minutes post cessation of cardiopulmonary resuscitation. This phenomenon may occur as a consequence of the complex effect of the resuscitative efforts on the cardio-respiratory system</w:t>
            </w:r>
            <w:r w:rsidR="00740C16" w:rsidRPr="009B6E1E">
              <w:rPr>
                <w:rFonts w:ascii="Calibri" w:hAnsi="Calibri" w:cs="Calibri"/>
                <w:color w:val="000000" w:themeColor="text1"/>
                <w:sz w:val="22"/>
                <w:szCs w:val="22"/>
              </w:rPr>
              <w:t>.</w:t>
            </w:r>
            <w:r w:rsidR="00740C16">
              <w:rPr>
                <w:rFonts w:ascii="Calibri" w:hAnsi="Calibri" w:cs="Calibri"/>
                <w:color w:val="000000" w:themeColor="text1"/>
                <w:sz w:val="22"/>
                <w:szCs w:val="22"/>
              </w:rPr>
              <w:fldChar w:fldCharType="begin" w:fldLock="1"/>
            </w:r>
            <w:r w:rsidR="00C12F71">
              <w:rPr>
                <w:rFonts w:ascii="Calibri" w:hAnsi="Calibri" w:cs="Calibri"/>
                <w:color w:val="000000" w:themeColor="text1"/>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00740C16">
              <w:rPr>
                <w:rFonts w:ascii="Calibri" w:hAnsi="Calibri" w:cs="Calibri"/>
                <w:color w:val="000000" w:themeColor="text1"/>
                <w:sz w:val="22"/>
                <w:szCs w:val="22"/>
              </w:rPr>
              <w:fldChar w:fldCharType="separate"/>
            </w:r>
            <w:r w:rsidR="000B7242" w:rsidRPr="000B7242">
              <w:rPr>
                <w:rFonts w:ascii="Calibri" w:hAnsi="Calibri" w:cs="Calibri"/>
                <w:noProof/>
                <w:color w:val="000000" w:themeColor="text1"/>
                <w:sz w:val="22"/>
                <w:szCs w:val="22"/>
              </w:rPr>
              <w:t>(20)</w:t>
            </w:r>
            <w:r w:rsidR="00740C16">
              <w:rPr>
                <w:rFonts w:ascii="Calibri" w:hAnsi="Calibri" w:cs="Calibri"/>
                <w:color w:val="000000" w:themeColor="text1"/>
                <w:sz w:val="22"/>
                <w:szCs w:val="22"/>
              </w:rPr>
              <w:fldChar w:fldCharType="end"/>
            </w:r>
            <w:r w:rsidR="00740C16" w:rsidRPr="009B6E1E">
              <w:rPr>
                <w:rFonts w:ascii="Calibri" w:hAnsi="Calibri" w:cs="Calibri"/>
                <w:color w:val="000000" w:themeColor="text1"/>
                <w:sz w:val="22"/>
                <w:szCs w:val="22"/>
              </w:rPr>
              <w:t xml:space="preserve"> </w:t>
            </w:r>
            <w:r w:rsidR="00740C16" w:rsidRPr="009B6E1E">
              <w:rPr>
                <w:rFonts w:ascii="Calibri" w:hAnsi="Calibri" w:cs="Calibri"/>
                <w:sz w:val="22"/>
                <w:szCs w:val="22"/>
              </w:rPr>
              <w:t xml:space="preserve"> </w:t>
            </w:r>
          </w:p>
        </w:tc>
      </w:tr>
      <w:bookmarkEnd w:id="335"/>
    </w:tbl>
    <w:p w14:paraId="6F199146" w14:textId="77777777" w:rsidR="006C6EBA" w:rsidRPr="006720E4" w:rsidRDefault="006C6EBA" w:rsidP="00EA22AE">
      <w:pPr>
        <w:spacing w:after="120"/>
        <w:rPr>
          <w:rFonts w:ascii="Calibri" w:hAnsi="Calibri" w:cs="Calibri"/>
        </w:rPr>
      </w:pPr>
    </w:p>
    <w:p w14:paraId="42E7138E" w14:textId="3EFFFBEE" w:rsidR="006C6EBA" w:rsidRPr="006720E4" w:rsidRDefault="006C6EBA" w:rsidP="00EA22AE">
      <w:pPr>
        <w:pStyle w:val="Heading2"/>
        <w:spacing w:after="120"/>
      </w:pPr>
      <w:bookmarkStart w:id="336" w:name="_Key_steps_in"/>
      <w:bookmarkStart w:id="337" w:name="_Toc135131426"/>
      <w:bookmarkEnd w:id="336"/>
      <w:r w:rsidRPr="006720E4">
        <w:t xml:space="preserve">Key steps in the process of </w:t>
      </w:r>
      <w:r w:rsidR="001E2957">
        <w:t xml:space="preserve">deceased </w:t>
      </w:r>
      <w:r w:rsidRPr="006720E4">
        <w:t xml:space="preserve">donation </w:t>
      </w:r>
      <w:r w:rsidR="00FD182A">
        <w:t>of organs</w:t>
      </w:r>
      <w:bookmarkEnd w:id="337"/>
    </w:p>
    <w:p w14:paraId="35E6026E" w14:textId="511FA2DF" w:rsidR="006C6EBA" w:rsidRPr="0021027F" w:rsidRDefault="006C6EBA" w:rsidP="00EA22AE">
      <w:pPr>
        <w:spacing w:after="120"/>
        <w:rPr>
          <w:rFonts w:ascii="Calibri" w:hAnsi="Calibri" w:cs="Calibri"/>
          <w:sz w:val="22"/>
          <w:szCs w:val="22"/>
        </w:rPr>
      </w:pPr>
      <w:r w:rsidRPr="0021027F">
        <w:rPr>
          <w:rFonts w:ascii="Calibri" w:hAnsi="Calibri" w:cs="Calibri"/>
          <w:sz w:val="22"/>
          <w:szCs w:val="22"/>
        </w:rPr>
        <w:t>Key steps in the process of deceased organ donation include</w:t>
      </w:r>
      <w:r w:rsidR="001E2957">
        <w:rPr>
          <w:rFonts w:ascii="Calibri" w:hAnsi="Calibri" w:cs="Calibri"/>
          <w:sz w:val="22"/>
          <w:szCs w:val="22"/>
        </w:rPr>
        <w:t>:</w:t>
      </w:r>
      <w:r w:rsidRPr="0021027F">
        <w:rPr>
          <w:rFonts w:ascii="Calibri" w:hAnsi="Calibri" w:cs="Calibri"/>
          <w:sz w:val="22"/>
          <w:szCs w:val="22"/>
        </w:rPr>
        <w:t xml:space="preserve"> </w:t>
      </w:r>
    </w:p>
    <w:p w14:paraId="53F8199D" w14:textId="23DADC64" w:rsidR="006C6EBA" w:rsidRPr="0021027F" w:rsidRDefault="006C6EBA" w:rsidP="00C3783C">
      <w:pPr>
        <w:pStyle w:val="ListParagraph"/>
        <w:numPr>
          <w:ilvl w:val="0"/>
          <w:numId w:val="119"/>
        </w:numPr>
        <w:spacing w:after="120"/>
        <w:contextualSpacing w:val="0"/>
        <w:rPr>
          <w:rFonts w:cs="Calibri"/>
          <w:szCs w:val="22"/>
        </w:rPr>
      </w:pPr>
      <w:r w:rsidRPr="0021027F">
        <w:rPr>
          <w:rFonts w:cs="Calibri"/>
          <w:szCs w:val="22"/>
        </w:rPr>
        <w:t xml:space="preserve">donor identification and referral, </w:t>
      </w:r>
      <w:r w:rsidR="00A87539">
        <w:rPr>
          <w:rFonts w:cs="Calibri"/>
          <w:szCs w:val="22"/>
        </w:rPr>
        <w:t xml:space="preserve">(see </w:t>
      </w:r>
      <w:hyperlink w:anchor="_Organ_donor_identification" w:history="1">
        <w:r w:rsidR="00A87539" w:rsidRPr="00A87539">
          <w:rPr>
            <w:rStyle w:val="Hyperlink"/>
            <w:rFonts w:cs="Calibri"/>
            <w:szCs w:val="22"/>
          </w:rPr>
          <w:t>Chapter 2.</w:t>
        </w:r>
        <w:r w:rsidR="00FD182A">
          <w:rPr>
            <w:rStyle w:val="Hyperlink"/>
            <w:rFonts w:cs="Calibri"/>
            <w:szCs w:val="22"/>
          </w:rPr>
          <w:t>5</w:t>
        </w:r>
        <w:r w:rsidR="00A87539" w:rsidRPr="00A87539">
          <w:rPr>
            <w:rStyle w:val="Hyperlink"/>
            <w:rFonts w:cs="Calibri"/>
            <w:szCs w:val="22"/>
          </w:rPr>
          <w:t>.1</w:t>
        </w:r>
      </w:hyperlink>
      <w:r w:rsidR="00A87539">
        <w:rPr>
          <w:rFonts w:cs="Calibri"/>
          <w:szCs w:val="22"/>
        </w:rPr>
        <w:t>)</w:t>
      </w:r>
    </w:p>
    <w:p w14:paraId="6FFB8C33" w14:textId="1191D1D7" w:rsidR="006C6EBA" w:rsidRPr="0021027F" w:rsidRDefault="006C6EBA" w:rsidP="00C3783C">
      <w:pPr>
        <w:pStyle w:val="ListParagraph"/>
        <w:numPr>
          <w:ilvl w:val="0"/>
          <w:numId w:val="119"/>
        </w:numPr>
        <w:spacing w:after="120"/>
        <w:contextualSpacing w:val="0"/>
        <w:rPr>
          <w:rFonts w:cs="Calibri"/>
          <w:szCs w:val="22"/>
        </w:rPr>
      </w:pPr>
      <w:r w:rsidRPr="0021027F">
        <w:rPr>
          <w:rFonts w:cs="Calibri"/>
          <w:szCs w:val="22"/>
        </w:rPr>
        <w:t xml:space="preserve">obtaining formal consents, </w:t>
      </w:r>
      <w:r w:rsidR="00A87539">
        <w:rPr>
          <w:rFonts w:cs="Calibri"/>
          <w:szCs w:val="22"/>
        </w:rPr>
        <w:t xml:space="preserve">(see </w:t>
      </w:r>
      <w:hyperlink w:anchor="_Obtaining_formal_consent" w:history="1">
        <w:r w:rsidR="00FD182A" w:rsidRPr="00FD182A">
          <w:rPr>
            <w:rStyle w:val="Hyperlink"/>
            <w:rFonts w:cs="Calibri"/>
            <w:szCs w:val="22"/>
          </w:rPr>
          <w:t>Chapter 2.5.2</w:t>
        </w:r>
      </w:hyperlink>
      <w:r w:rsidR="00A87539">
        <w:rPr>
          <w:rFonts w:cs="Calibri"/>
          <w:szCs w:val="22"/>
        </w:rPr>
        <w:t>)</w:t>
      </w:r>
    </w:p>
    <w:p w14:paraId="203E7D83" w14:textId="2D0EDF70" w:rsidR="006C6EBA" w:rsidRPr="0021027F" w:rsidRDefault="006C6EBA" w:rsidP="00C3783C">
      <w:pPr>
        <w:pStyle w:val="ListParagraph"/>
        <w:numPr>
          <w:ilvl w:val="0"/>
          <w:numId w:val="119"/>
        </w:numPr>
        <w:spacing w:after="120"/>
        <w:contextualSpacing w:val="0"/>
        <w:rPr>
          <w:rFonts w:cs="Calibri"/>
          <w:szCs w:val="22"/>
        </w:rPr>
      </w:pPr>
      <w:r w:rsidRPr="0021027F">
        <w:rPr>
          <w:rFonts w:cs="Calibri"/>
          <w:szCs w:val="22"/>
        </w:rPr>
        <w:t xml:space="preserve">assessment of medical suitability </w:t>
      </w:r>
      <w:r w:rsidR="00A87539">
        <w:rPr>
          <w:rFonts w:cs="Calibri"/>
          <w:szCs w:val="22"/>
        </w:rPr>
        <w:t xml:space="preserve">(see </w:t>
      </w:r>
      <w:hyperlink w:anchor="_Assessment_of_medical" w:history="1">
        <w:r w:rsidR="00A87539" w:rsidRPr="00A87539">
          <w:rPr>
            <w:rStyle w:val="Hyperlink"/>
            <w:rFonts w:cs="Calibri"/>
            <w:szCs w:val="22"/>
          </w:rPr>
          <w:t>Chapter 2.</w:t>
        </w:r>
        <w:r w:rsidR="00FD182A">
          <w:rPr>
            <w:rStyle w:val="Hyperlink"/>
            <w:rFonts w:cs="Calibri"/>
            <w:szCs w:val="22"/>
          </w:rPr>
          <w:t>5.3</w:t>
        </w:r>
        <w:r w:rsidR="00A87539" w:rsidRPr="00A87539">
          <w:rPr>
            <w:rStyle w:val="Hyperlink"/>
            <w:rFonts w:cs="Calibri"/>
            <w:szCs w:val="22"/>
          </w:rPr>
          <w:t>)</w:t>
        </w:r>
      </w:hyperlink>
      <w:r w:rsidR="00A87539">
        <w:rPr>
          <w:rFonts w:cs="Calibri"/>
          <w:szCs w:val="22"/>
        </w:rPr>
        <w:t xml:space="preserve"> </w:t>
      </w:r>
      <w:r w:rsidRPr="0021027F">
        <w:rPr>
          <w:rFonts w:cs="Calibri"/>
          <w:szCs w:val="22"/>
        </w:rPr>
        <w:t>and donor management</w:t>
      </w:r>
      <w:r w:rsidR="00A87539">
        <w:rPr>
          <w:rFonts w:cs="Calibri"/>
          <w:szCs w:val="22"/>
        </w:rPr>
        <w:t xml:space="preserve"> (see</w:t>
      </w:r>
      <w:r w:rsidRPr="0021027F">
        <w:rPr>
          <w:rFonts w:cs="Calibri"/>
          <w:szCs w:val="22"/>
        </w:rPr>
        <w:t xml:space="preserve"> </w:t>
      </w:r>
      <w:hyperlink w:anchor="_Donor_Management_and" w:history="1">
        <w:r w:rsidR="00FD182A" w:rsidRPr="00FD182A">
          <w:rPr>
            <w:rStyle w:val="Hyperlink"/>
            <w:rFonts w:cs="Calibri"/>
            <w:szCs w:val="22"/>
          </w:rPr>
          <w:t>Chapter 2.5.4</w:t>
        </w:r>
      </w:hyperlink>
      <w:r w:rsidR="00A87539">
        <w:rPr>
          <w:rFonts w:cs="Calibri"/>
          <w:szCs w:val="22"/>
        </w:rPr>
        <w:t>),</w:t>
      </w:r>
    </w:p>
    <w:p w14:paraId="1861BD2B" w14:textId="4363D167" w:rsidR="006C6EBA" w:rsidRPr="0021027F" w:rsidRDefault="006C6EBA" w:rsidP="00C3783C">
      <w:pPr>
        <w:pStyle w:val="ListParagraph"/>
        <w:numPr>
          <w:ilvl w:val="0"/>
          <w:numId w:val="119"/>
        </w:numPr>
        <w:spacing w:after="120"/>
        <w:contextualSpacing w:val="0"/>
        <w:rPr>
          <w:rFonts w:cs="Calibri"/>
          <w:szCs w:val="22"/>
        </w:rPr>
      </w:pPr>
      <w:r w:rsidRPr="0021027F">
        <w:rPr>
          <w:rFonts w:cs="Calibri"/>
          <w:szCs w:val="22"/>
        </w:rPr>
        <w:t xml:space="preserve">matching and allocation of organs to recipients, </w:t>
      </w:r>
      <w:r w:rsidR="00041D69">
        <w:rPr>
          <w:rFonts w:cs="Calibri"/>
          <w:szCs w:val="22"/>
        </w:rPr>
        <w:t>(</w:t>
      </w:r>
      <w:hyperlink w:anchor="_Matching_and_allocation" w:history="1">
        <w:r w:rsidR="00FD182A" w:rsidRPr="00FD182A">
          <w:rPr>
            <w:rStyle w:val="Hyperlink"/>
            <w:rFonts w:cs="Calibri"/>
            <w:szCs w:val="22"/>
          </w:rPr>
          <w:t>Chapter 2.5.5</w:t>
        </w:r>
      </w:hyperlink>
      <w:r w:rsidR="00041D69">
        <w:rPr>
          <w:rFonts w:cs="Calibri"/>
          <w:szCs w:val="22"/>
        </w:rPr>
        <w:t>)</w:t>
      </w:r>
    </w:p>
    <w:p w14:paraId="78A2E565" w14:textId="77777777" w:rsidR="006C6EBA" w:rsidRPr="0021027F" w:rsidRDefault="006C6EBA" w:rsidP="00C3783C">
      <w:pPr>
        <w:pStyle w:val="ListParagraph"/>
        <w:numPr>
          <w:ilvl w:val="0"/>
          <w:numId w:val="119"/>
        </w:numPr>
        <w:spacing w:after="120"/>
        <w:contextualSpacing w:val="0"/>
        <w:rPr>
          <w:rFonts w:cs="Calibri"/>
          <w:szCs w:val="22"/>
        </w:rPr>
      </w:pPr>
      <w:r w:rsidRPr="0021027F">
        <w:rPr>
          <w:rFonts w:cs="Calibri"/>
          <w:szCs w:val="22"/>
        </w:rPr>
        <w:t xml:space="preserve">donor management and end-of-life care, </w:t>
      </w:r>
    </w:p>
    <w:p w14:paraId="1C475E89" w14:textId="150B35C2" w:rsidR="006C6EBA" w:rsidRDefault="006C6EBA" w:rsidP="00C3783C">
      <w:pPr>
        <w:pStyle w:val="ListParagraph"/>
        <w:numPr>
          <w:ilvl w:val="0"/>
          <w:numId w:val="119"/>
        </w:numPr>
        <w:spacing w:after="120"/>
        <w:contextualSpacing w:val="0"/>
        <w:rPr>
          <w:rFonts w:cs="Calibri"/>
          <w:szCs w:val="22"/>
        </w:rPr>
      </w:pPr>
      <w:r w:rsidRPr="0021027F">
        <w:rPr>
          <w:rFonts w:cs="Calibri"/>
          <w:szCs w:val="22"/>
        </w:rPr>
        <w:lastRenderedPageBreak/>
        <w:t>the organ retrieval surgery, packaging and transportation</w:t>
      </w:r>
      <w:r w:rsidR="00FD182A">
        <w:rPr>
          <w:rFonts w:cs="Calibri"/>
          <w:szCs w:val="22"/>
        </w:rPr>
        <w:t xml:space="preserve"> (see </w:t>
      </w:r>
      <w:hyperlink w:anchor="_Organ_retrieval_surgery," w:history="1">
        <w:r w:rsidR="00FD182A" w:rsidRPr="00FD182A">
          <w:rPr>
            <w:rStyle w:val="Hyperlink"/>
            <w:rFonts w:cs="Calibri"/>
            <w:szCs w:val="22"/>
          </w:rPr>
          <w:t>Chapter 2.5.6</w:t>
        </w:r>
      </w:hyperlink>
      <w:r w:rsidR="00FD182A">
        <w:rPr>
          <w:rFonts w:cs="Calibri"/>
          <w:szCs w:val="22"/>
        </w:rPr>
        <w:t>).</w:t>
      </w:r>
    </w:p>
    <w:p w14:paraId="42569072" w14:textId="3CD366CA" w:rsidR="001E2957" w:rsidRPr="001E2957" w:rsidRDefault="001E2957" w:rsidP="00EA22AE">
      <w:pPr>
        <w:spacing w:after="120"/>
        <w:rPr>
          <w:rFonts w:ascii="Calibri" w:hAnsi="Calibri" w:cs="Calibri"/>
          <w:sz w:val="22"/>
          <w:szCs w:val="21"/>
        </w:rPr>
      </w:pPr>
      <w:r w:rsidRPr="001E2957">
        <w:rPr>
          <w:rFonts w:ascii="Calibri" w:hAnsi="Calibri" w:cs="Calibri"/>
          <w:sz w:val="22"/>
          <w:szCs w:val="21"/>
        </w:rPr>
        <w:t xml:space="preserve">The order of some of these steps and clinical practice details will vary depending on whether donation is occurring following death determined using neurological or circulatory criteria, and the specific circumstances of the donor. </w:t>
      </w:r>
      <w:r w:rsidRPr="001E2957">
        <w:rPr>
          <w:rFonts w:ascii="Calibri" w:hAnsi="Calibri" w:cs="Calibri"/>
          <w:sz w:val="22"/>
          <w:szCs w:val="21"/>
          <w:u w:color="0000FF"/>
          <w:lang w:val="en-GB"/>
        </w:rPr>
        <w:t>Some of these steps are detailed below.</w:t>
      </w:r>
    </w:p>
    <w:p w14:paraId="6EB21904" w14:textId="620D8F26" w:rsidR="006C6EBA" w:rsidRPr="00EB088B" w:rsidRDefault="001E2957" w:rsidP="00EB088B">
      <w:pPr>
        <w:pStyle w:val="Heading3"/>
      </w:pPr>
      <w:bookmarkStart w:id="338" w:name="_Organ_donor_identification"/>
      <w:bookmarkEnd w:id="338"/>
      <w:r w:rsidRPr="00EB088B">
        <w:t>Organ d</w:t>
      </w:r>
      <w:r w:rsidR="006C6EBA" w:rsidRPr="00EB088B">
        <w:t xml:space="preserve">onor identification and referral </w:t>
      </w:r>
    </w:p>
    <w:p w14:paraId="139CB7D0" w14:textId="4F1F8BE0" w:rsidR="001E2957" w:rsidRPr="007E1B57" w:rsidRDefault="001E2957"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It is important that all potential deceased </w:t>
      </w:r>
      <w:r>
        <w:rPr>
          <w:rFonts w:ascii="Calibri" w:hAnsi="Calibri" w:cs="Calibri"/>
          <w:kern w:val="0"/>
          <w:szCs w:val="22"/>
          <w:u w:color="0000FF"/>
          <w:lang w:val="en-GB"/>
        </w:rPr>
        <w:t xml:space="preserve">organ </w:t>
      </w:r>
      <w:r w:rsidRPr="007E1B57">
        <w:rPr>
          <w:rFonts w:ascii="Calibri" w:hAnsi="Calibri" w:cs="Calibri"/>
          <w:kern w:val="0"/>
          <w:szCs w:val="22"/>
          <w:u w:color="0000FF"/>
          <w:lang w:val="en-GB"/>
        </w:rPr>
        <w:t>donors are identified and referred to donation services. To support this outcome and prevent missed donor opportunities, a process of routine ‘notification’ or ‘referral’ at end-of-life to donation services has been introduced in many parts of the world. In Australia this</w:t>
      </w:r>
      <w:r>
        <w:rPr>
          <w:rFonts w:ascii="Calibri" w:hAnsi="Calibri" w:cs="Calibri"/>
          <w:kern w:val="0"/>
          <w:szCs w:val="22"/>
          <w:u w:color="0000FF"/>
          <w:lang w:val="en-GB"/>
        </w:rPr>
        <w:t xml:space="preserve"> typically</w:t>
      </w:r>
      <w:r w:rsidRPr="007E1B57">
        <w:rPr>
          <w:rFonts w:ascii="Calibri" w:hAnsi="Calibri" w:cs="Calibri"/>
          <w:kern w:val="0"/>
          <w:szCs w:val="22"/>
          <w:u w:color="0000FF"/>
          <w:lang w:val="en-GB"/>
        </w:rPr>
        <w:t xml:space="preserve"> occurs </w:t>
      </w:r>
      <w:r>
        <w:rPr>
          <w:rFonts w:ascii="Calibri" w:hAnsi="Calibri" w:cs="Calibri"/>
          <w:kern w:val="0"/>
          <w:szCs w:val="22"/>
          <w:u w:color="0000FF"/>
          <w:lang w:val="en-GB"/>
        </w:rPr>
        <w:t xml:space="preserve">in intensive care units and hospital emergency departments, when </w:t>
      </w:r>
      <w:r w:rsidRPr="007E1B57">
        <w:rPr>
          <w:rFonts w:ascii="Calibri" w:hAnsi="Calibri" w:cs="Calibri"/>
          <w:kern w:val="0"/>
          <w:szCs w:val="22"/>
          <w:u w:color="0000FF"/>
          <w:lang w:val="en-GB"/>
        </w:rPr>
        <w:t xml:space="preserve">there is medical consensus </w:t>
      </w:r>
      <w:r>
        <w:rPr>
          <w:rFonts w:ascii="Calibri" w:hAnsi="Calibri" w:cs="Calibri"/>
          <w:kern w:val="0"/>
          <w:szCs w:val="22"/>
          <w:u w:color="0000FF"/>
          <w:lang w:val="en-GB"/>
        </w:rPr>
        <w:t xml:space="preserve">that </w:t>
      </w:r>
      <w:r w:rsidRPr="007E1B57">
        <w:rPr>
          <w:rFonts w:ascii="Calibri" w:hAnsi="Calibri" w:cs="Calibri"/>
          <w:kern w:val="0"/>
          <w:szCs w:val="22"/>
          <w:u w:color="0000FF"/>
          <w:lang w:val="en-GB"/>
        </w:rPr>
        <w:t>a patient is approaching the end of their life.</w:t>
      </w:r>
      <w:r>
        <w:rPr>
          <w:rFonts w:ascii="Calibri" w:hAnsi="Calibri" w:cs="Calibri"/>
          <w:kern w:val="0"/>
          <w:szCs w:val="22"/>
          <w:u w:color="0000FF"/>
          <w:lang w:val="en-GB"/>
        </w:rPr>
        <w:fldChar w:fldCharType="begin" w:fldLock="1"/>
      </w:r>
      <w:r w:rsidR="00C12F71">
        <w:rPr>
          <w:rFonts w:ascii="Calibri" w:hAnsi="Calibri" w:cs="Calibri"/>
          <w:kern w:val="0"/>
          <w:szCs w:val="22"/>
          <w:u w:color="0000FF"/>
          <w:lang w:val="en-GB"/>
        </w:rPr>
        <w:instrText>ADDIN CSL_CITATION {"citationItems":[{"id":"ITEM-1","itemData":{"abstract":"The opportunity for organ donation is an infrequent event. It comes at an intensely emotional time for families and can be challenging for all involved. Specific knowledge is required to support families and their decision-making at this time, and it is critical that information is provided in a clear and sensitive manner that is appropriate to the needs of individuals.","author":[{"dropping-particle":"","family":"Organ and Tissue Authority","given":"","non-dropping-particle":"","parse-names":false,"suffix":""}],"id":"ITEM-1","issue":"April","issued":{"date-parts":[["2021"]]},"number-of-pages":"1-19","title":"Best Practice Guideline for Offering Organ and Tissue Donation in Australia (Edition 2)","type":"report"},"uris":["http://www.mendeley.com/documents/?uuid=aac43fb0-f65f-48ef-965c-530575934b2d"]}],"mendeley":{"formattedCitation":"(22)","plainTextFormattedCitation":"(22)","previouslyFormattedCitation":"(22)"},"properties":{"noteIndex":0},"schema":"https://github.com/citation-style-language/schema/raw/master/csl-citation.json"}</w:instrText>
      </w:r>
      <w:r>
        <w:rPr>
          <w:rFonts w:ascii="Calibri" w:hAnsi="Calibri" w:cs="Calibri"/>
          <w:kern w:val="0"/>
          <w:szCs w:val="22"/>
          <w:u w:color="0000FF"/>
          <w:lang w:val="en-GB"/>
        </w:rPr>
        <w:fldChar w:fldCharType="separate"/>
      </w:r>
      <w:r w:rsidR="000B7242" w:rsidRPr="000B7242">
        <w:rPr>
          <w:rFonts w:ascii="Calibri" w:hAnsi="Calibri" w:cs="Calibri"/>
          <w:noProof/>
          <w:kern w:val="0"/>
          <w:szCs w:val="22"/>
          <w:u w:color="0000FF"/>
          <w:lang w:val="en-GB"/>
        </w:rPr>
        <w:t>(22)</w:t>
      </w:r>
      <w:r>
        <w:rPr>
          <w:rFonts w:ascii="Calibri" w:hAnsi="Calibri" w:cs="Calibri"/>
          <w:kern w:val="0"/>
          <w:szCs w:val="22"/>
          <w:u w:color="0000FF"/>
          <w:lang w:val="en-GB"/>
        </w:rPr>
        <w:fldChar w:fldCharType="end"/>
      </w:r>
      <w:r w:rsidRPr="007E1B57">
        <w:rPr>
          <w:rFonts w:ascii="Calibri" w:hAnsi="Calibri" w:cs="Calibri"/>
          <w:kern w:val="0"/>
          <w:szCs w:val="22"/>
          <w:u w:color="0000FF"/>
          <w:lang w:val="en-GB"/>
        </w:rPr>
        <w:t xml:space="preserve"> </w:t>
      </w:r>
    </w:p>
    <w:p w14:paraId="7E446400" w14:textId="77777777" w:rsidR="001E2957" w:rsidRPr="007E1B57" w:rsidRDefault="001E2957"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This broad approach ensures all organ donation opportunities are identified and offered to the family. It also ensures that eye and tissue donation are considered and offered where appropriate.</w:t>
      </w:r>
    </w:p>
    <w:p w14:paraId="20BD521B" w14:textId="77777777" w:rsidR="001E2957" w:rsidRPr="007E1B57" w:rsidRDefault="001E2957"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Because of the complexities involved in deceased donation of organs, this process is time critical if organ donation is a possibility.</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R</w:t>
      </w:r>
      <w:r w:rsidRPr="007E1B57">
        <w:rPr>
          <w:rFonts w:ascii="Calibri" w:hAnsi="Calibri" w:cs="Calibri"/>
          <w:kern w:val="0"/>
          <w:szCs w:val="22"/>
          <w:u w:color="0000FF"/>
          <w:lang w:val="en-GB"/>
        </w:rPr>
        <w:t xml:space="preserve">eferral should occur directly after there is consensus </w:t>
      </w:r>
      <w:r>
        <w:rPr>
          <w:rFonts w:ascii="Calibri" w:hAnsi="Calibri" w:cs="Calibri"/>
          <w:kern w:val="0"/>
          <w:szCs w:val="22"/>
          <w:u w:color="0000FF"/>
          <w:lang w:val="en-GB"/>
        </w:rPr>
        <w:t>about the patient’s clinical situation</w:t>
      </w:r>
      <w:r w:rsidRPr="007E1B57">
        <w:rPr>
          <w:rFonts w:ascii="Calibri" w:hAnsi="Calibri" w:cs="Calibri"/>
          <w:kern w:val="0"/>
          <w:szCs w:val="22"/>
          <w:u w:color="0000FF"/>
          <w:lang w:val="en-GB"/>
        </w:rPr>
        <w:t xml:space="preserve">, to allow assessment of suitability, time for family approach to offer donation and, where appropriate, for the donation coordination process to occur. </w:t>
      </w:r>
    </w:p>
    <w:p w14:paraId="47039FF6" w14:textId="5A14548E" w:rsidR="006C6EBA" w:rsidRPr="00EB088B" w:rsidRDefault="006C6EBA" w:rsidP="00EB088B">
      <w:pPr>
        <w:pStyle w:val="Heading3"/>
      </w:pPr>
      <w:bookmarkStart w:id="339" w:name="_Obtaining_formal_consent"/>
      <w:bookmarkEnd w:id="339"/>
      <w:r w:rsidRPr="00EB088B">
        <w:t xml:space="preserve">Obtaining formal consent </w:t>
      </w:r>
    </w:p>
    <w:p w14:paraId="321C1AAD" w14:textId="77777777" w:rsidR="001E2957" w:rsidRPr="007E1B57" w:rsidRDefault="001E2957"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At </w:t>
      </w:r>
      <w:r>
        <w:rPr>
          <w:rFonts w:ascii="Calibri" w:hAnsi="Calibri" w:cs="Calibri"/>
          <w:kern w:val="0"/>
          <w:szCs w:val="22"/>
          <w:u w:color="0000FF"/>
          <w:lang w:val="en-GB"/>
        </w:rPr>
        <w:t xml:space="preserve">the time of </w:t>
      </w:r>
      <w:r w:rsidRPr="007E1B57">
        <w:rPr>
          <w:rFonts w:ascii="Calibri" w:hAnsi="Calibri" w:cs="Calibri"/>
          <w:kern w:val="0"/>
          <w:szCs w:val="22"/>
          <w:u w:color="0000FF"/>
          <w:lang w:val="en-GB"/>
        </w:rPr>
        <w:t xml:space="preserve">referral, Donation Specialists and Tissue Bank staff access the Australian Organ Donor Registration (AODR) to check the registration status of the patient and this information can be shared with the family to support the decision-making process if organ and/or eye and tissue donation is feasible. Even if donation is not possible, sharing this information with families has become standard practice in many hospitals to </w:t>
      </w:r>
      <w:r>
        <w:rPr>
          <w:rFonts w:ascii="Calibri" w:hAnsi="Calibri" w:cs="Calibri"/>
          <w:kern w:val="0"/>
          <w:szCs w:val="22"/>
          <w:u w:color="0000FF"/>
          <w:lang w:val="en-GB"/>
        </w:rPr>
        <w:t>avoid</w:t>
      </w:r>
      <w:r w:rsidRPr="007E1B57">
        <w:rPr>
          <w:rFonts w:ascii="Calibri" w:hAnsi="Calibri" w:cs="Calibri"/>
          <w:kern w:val="0"/>
          <w:szCs w:val="22"/>
          <w:u w:color="0000FF"/>
          <w:lang w:val="en-GB"/>
        </w:rPr>
        <w:t xml:space="preserve"> families later questioning whether the opportunity to donate may have been overlooked, particularly if the person had registered to donate.</w:t>
      </w:r>
    </w:p>
    <w:p w14:paraId="6F40C117" w14:textId="292009B6" w:rsidR="006C6EBA" w:rsidRPr="001E2957" w:rsidRDefault="006C6EBA" w:rsidP="00EA22AE">
      <w:pPr>
        <w:spacing w:after="120"/>
        <w:rPr>
          <w:rFonts w:ascii="Calibri" w:hAnsi="Calibri" w:cs="Calibri"/>
          <w:sz w:val="22"/>
          <w:szCs w:val="22"/>
        </w:rPr>
      </w:pPr>
      <w:r w:rsidRPr="00704915">
        <w:rPr>
          <w:rFonts w:ascii="Calibri" w:hAnsi="Calibri" w:cs="Calibri"/>
          <w:b/>
          <w:bCs/>
          <w:sz w:val="22"/>
          <w:szCs w:val="22"/>
        </w:rPr>
        <w:t xml:space="preserve">Box </w:t>
      </w:r>
      <w:r w:rsidR="001E2957" w:rsidRPr="00704915">
        <w:rPr>
          <w:rFonts w:ascii="Calibri" w:hAnsi="Calibri" w:cs="Calibri"/>
          <w:b/>
          <w:bCs/>
          <w:sz w:val="22"/>
          <w:szCs w:val="22"/>
        </w:rPr>
        <w:t>2.</w:t>
      </w:r>
      <w:r w:rsidRPr="00704915">
        <w:rPr>
          <w:rFonts w:ascii="Calibri" w:hAnsi="Calibri" w:cs="Calibri"/>
          <w:b/>
          <w:bCs/>
          <w:sz w:val="22"/>
          <w:szCs w:val="22"/>
        </w:rPr>
        <w:t>3</w:t>
      </w:r>
      <w:r w:rsidRPr="00704915">
        <w:rPr>
          <w:rFonts w:ascii="Calibri" w:hAnsi="Calibri" w:cs="Calibri"/>
          <w:sz w:val="22"/>
          <w:szCs w:val="22"/>
        </w:rPr>
        <w:t xml:space="preserve"> </w:t>
      </w:r>
      <w:r w:rsidRPr="00704915">
        <w:rPr>
          <w:rStyle w:val="Heading2Char"/>
          <w:color w:val="000000" w:themeColor="text1"/>
          <w:sz w:val="22"/>
          <w:szCs w:val="24"/>
        </w:rPr>
        <w:t>The</w:t>
      </w:r>
      <w:r w:rsidRPr="001E2957">
        <w:rPr>
          <w:rStyle w:val="Heading2Char"/>
          <w:color w:val="000000" w:themeColor="text1"/>
          <w:sz w:val="22"/>
          <w:szCs w:val="24"/>
        </w:rPr>
        <w:t xml:space="preserve"> Australian Organ Donor Register (AODR)</w:t>
      </w:r>
      <w:r w:rsidRPr="001E2957">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010"/>
      </w:tblGrid>
      <w:tr w:rsidR="006C6EBA" w:rsidRPr="006720E4" w14:paraId="55BED7EC" w14:textId="77777777">
        <w:tc>
          <w:tcPr>
            <w:tcW w:w="9016" w:type="dxa"/>
          </w:tcPr>
          <w:p w14:paraId="0FA1FA83" w14:textId="77777777" w:rsidR="001E2957" w:rsidRDefault="006C6EBA" w:rsidP="00EA22AE">
            <w:pPr>
              <w:spacing w:after="120"/>
              <w:rPr>
                <w:rFonts w:ascii="Calibri" w:hAnsi="Calibri" w:cs="Calibri"/>
                <w:color w:val="000000" w:themeColor="text1"/>
                <w:sz w:val="22"/>
                <w:szCs w:val="22"/>
              </w:rPr>
            </w:pPr>
            <w:r w:rsidRPr="001E2957">
              <w:rPr>
                <w:rFonts w:ascii="Calibri" w:hAnsi="Calibri" w:cs="Calibri"/>
                <w:color w:val="000000" w:themeColor="text1"/>
                <w:sz w:val="22"/>
                <w:szCs w:val="22"/>
              </w:rPr>
              <w:t xml:space="preserve">The Australian Organ Donor Register (AODR) is the national register for people to record their decision about becoming an organ and tissue donor for transplantation after death. It is administered by the federal government through Services Australia. </w:t>
            </w:r>
          </w:p>
          <w:p w14:paraId="223C8751" w14:textId="7834760E" w:rsidR="006C6EBA" w:rsidRPr="001E2957" w:rsidRDefault="006C6EBA" w:rsidP="00EA22AE">
            <w:pPr>
              <w:spacing w:after="120"/>
              <w:rPr>
                <w:rFonts w:ascii="Calibri" w:hAnsi="Calibri" w:cs="Calibri"/>
                <w:color w:val="000000" w:themeColor="text1"/>
                <w:sz w:val="22"/>
                <w:szCs w:val="22"/>
              </w:rPr>
            </w:pPr>
            <w:r w:rsidRPr="001E2957">
              <w:rPr>
                <w:rFonts w:ascii="Calibri" w:hAnsi="Calibri" w:cs="Calibri"/>
                <w:color w:val="000000" w:themeColor="text1"/>
                <w:sz w:val="22"/>
                <w:szCs w:val="22"/>
              </w:rPr>
              <w:t xml:space="preserve">There are several ways that people can register to be a donor on the AODR, including registration via </w:t>
            </w:r>
            <w:hyperlink r:id="rId35" w:history="1">
              <w:r w:rsidRPr="001E2957">
                <w:rPr>
                  <w:rStyle w:val="Hyperlink"/>
                  <w:rFonts w:ascii="Calibri" w:eastAsiaTheme="majorEastAsia" w:hAnsi="Calibri" w:cs="Calibri"/>
                  <w:color w:val="000000" w:themeColor="text1"/>
                  <w:sz w:val="22"/>
                  <w:szCs w:val="22"/>
                </w:rPr>
                <w:t>www.donatelife.gov.au</w:t>
              </w:r>
            </w:hyperlink>
            <w:r w:rsidR="001E2957">
              <w:rPr>
                <w:rStyle w:val="Hyperlink"/>
                <w:rFonts w:ascii="Calibri" w:eastAsiaTheme="majorEastAsia" w:hAnsi="Calibri" w:cs="Calibri"/>
                <w:color w:val="000000" w:themeColor="text1"/>
                <w:sz w:val="22"/>
                <w:szCs w:val="22"/>
              </w:rPr>
              <w:t xml:space="preserve"> </w:t>
            </w:r>
            <w:r w:rsidRPr="001E2957">
              <w:rPr>
                <w:rFonts w:ascii="Calibri" w:hAnsi="Calibri" w:cs="Calibri"/>
                <w:color w:val="000000" w:themeColor="text1"/>
                <w:sz w:val="22"/>
                <w:szCs w:val="22"/>
              </w:rPr>
              <w:t xml:space="preserve"> or via their </w:t>
            </w:r>
            <w:proofErr w:type="spellStart"/>
            <w:r w:rsidRPr="001E2957">
              <w:rPr>
                <w:rFonts w:ascii="Calibri" w:hAnsi="Calibri" w:cs="Calibri"/>
                <w:color w:val="000000" w:themeColor="text1"/>
                <w:sz w:val="22"/>
                <w:szCs w:val="22"/>
              </w:rPr>
              <w:t>myGov</w:t>
            </w:r>
            <w:proofErr w:type="spellEnd"/>
            <w:r w:rsidRPr="001E2957">
              <w:rPr>
                <w:rFonts w:ascii="Calibri" w:hAnsi="Calibri" w:cs="Calibri"/>
                <w:color w:val="000000" w:themeColor="text1"/>
                <w:sz w:val="22"/>
                <w:szCs w:val="22"/>
              </w:rPr>
              <w:t xml:space="preserve"> account linked to a Medicare online account. South Australian residents can also register on the AODR via their driver’s licence application or renewal.</w:t>
            </w:r>
          </w:p>
          <w:p w14:paraId="072000ED" w14:textId="77777777" w:rsidR="006C6EBA" w:rsidRPr="001E2957" w:rsidRDefault="006C6EBA" w:rsidP="00EA22AE">
            <w:pPr>
              <w:spacing w:after="120"/>
              <w:rPr>
                <w:rFonts w:ascii="Calibri" w:hAnsi="Calibri" w:cs="Calibri"/>
                <w:color w:val="000000" w:themeColor="text1"/>
                <w:sz w:val="22"/>
                <w:szCs w:val="22"/>
              </w:rPr>
            </w:pPr>
            <w:r w:rsidRPr="001E2957">
              <w:rPr>
                <w:rFonts w:ascii="Calibri" w:hAnsi="Calibri" w:cs="Calibri"/>
                <w:color w:val="000000" w:themeColor="text1"/>
                <w:sz w:val="22"/>
                <w:szCs w:val="22"/>
              </w:rPr>
              <w:t>Registering on the AODR is voluntary. A list of organs and tissues is provided with the option to donate all or just those selected. It is also possible to use the AODR to register the decision to not be a donor.</w:t>
            </w:r>
          </w:p>
          <w:p w14:paraId="71D0370C" w14:textId="77777777" w:rsidR="006C6EBA" w:rsidRPr="001E2957" w:rsidRDefault="006C6EBA" w:rsidP="00EA22AE">
            <w:pPr>
              <w:spacing w:after="120"/>
              <w:rPr>
                <w:rFonts w:ascii="Calibri" w:hAnsi="Calibri" w:cs="Calibri"/>
                <w:color w:val="000000" w:themeColor="text1"/>
                <w:sz w:val="22"/>
                <w:szCs w:val="22"/>
              </w:rPr>
            </w:pPr>
            <w:r w:rsidRPr="001E2957">
              <w:rPr>
                <w:rFonts w:ascii="Calibri" w:hAnsi="Calibri" w:cs="Calibri"/>
                <w:color w:val="000000" w:themeColor="text1"/>
                <w:sz w:val="22"/>
                <w:szCs w:val="22"/>
              </w:rPr>
              <w:t xml:space="preserve">To register, a person must be 16 years or older. </w:t>
            </w:r>
          </w:p>
          <w:p w14:paraId="5BDCB4FA" w14:textId="77777777" w:rsidR="006C6EBA" w:rsidRPr="001E2957" w:rsidRDefault="006C6EBA" w:rsidP="00EA22AE">
            <w:pPr>
              <w:spacing w:after="120"/>
              <w:rPr>
                <w:rFonts w:ascii="Calibri" w:hAnsi="Calibri" w:cs="Calibri"/>
                <w:color w:val="000000" w:themeColor="text1"/>
                <w:sz w:val="22"/>
                <w:szCs w:val="22"/>
              </w:rPr>
            </w:pPr>
            <w:r w:rsidRPr="001E2957">
              <w:rPr>
                <w:rFonts w:ascii="Calibri" w:hAnsi="Calibri" w:cs="Calibri"/>
                <w:color w:val="000000" w:themeColor="text1"/>
                <w:sz w:val="22"/>
                <w:szCs w:val="22"/>
              </w:rPr>
              <w:t xml:space="preserve">People are encouraged to register their wishes on the AODR and to tell their family about their decision about being an organ and tissue donor. The AODR is checked by </w:t>
            </w:r>
            <w:r w:rsidRPr="001E2957">
              <w:rPr>
                <w:rFonts w:ascii="Calibri" w:hAnsi="Calibri" w:cs="Calibri"/>
                <w:color w:val="000000"/>
                <w:sz w:val="22"/>
                <w:szCs w:val="22"/>
              </w:rPr>
              <w:t xml:space="preserve">authorised clinical personnel, usually </w:t>
            </w:r>
            <w:r w:rsidRPr="001E2957">
              <w:rPr>
                <w:rFonts w:ascii="Calibri" w:hAnsi="Calibri" w:cs="Calibri"/>
                <w:color w:val="000000" w:themeColor="text1"/>
                <w:sz w:val="22"/>
                <w:szCs w:val="22"/>
              </w:rPr>
              <w:t xml:space="preserve">donation specialist staff, and the patient’s registration status is shared with the family as part of the donation discussion seeking informed consent. It is practice in Australia to not proceed with donation if the family maintain an objection, even when the person has registered to donate. Families are more likely to follow a person’s wishes if they know about them from prior conversations. </w:t>
            </w:r>
          </w:p>
          <w:p w14:paraId="3D17D122" w14:textId="29BF8750" w:rsidR="006C6EBA" w:rsidRPr="001E2957" w:rsidRDefault="006C6EBA" w:rsidP="00EA22AE">
            <w:pPr>
              <w:pStyle w:val="Guidelinesnormalparagraph"/>
            </w:pPr>
            <w:r w:rsidRPr="001E2957">
              <w:t xml:space="preserve">See </w:t>
            </w:r>
            <w:hyperlink w:anchor="_Ethical_considerations_in_5" w:history="1">
              <w:r w:rsidR="001E2957" w:rsidRPr="001E2957">
                <w:rPr>
                  <w:rStyle w:val="Hyperlink"/>
                </w:rPr>
                <w:t>Chapter 4.4.2</w:t>
              </w:r>
            </w:hyperlink>
            <w:r w:rsidR="001E2957" w:rsidRPr="001E2957">
              <w:t xml:space="preserve"> </w:t>
            </w:r>
            <w:r w:rsidRPr="001E2957">
              <w:t>for a discussion of ethical considerations relating to donor registration and consent for deceased donation.</w:t>
            </w:r>
          </w:p>
        </w:tc>
      </w:tr>
    </w:tbl>
    <w:p w14:paraId="156E5905" w14:textId="77777777" w:rsidR="006C6EBA" w:rsidRPr="006720E4" w:rsidRDefault="006C6EBA" w:rsidP="00EA22AE">
      <w:pPr>
        <w:spacing w:after="120"/>
        <w:rPr>
          <w:rFonts w:ascii="Calibri" w:hAnsi="Calibri" w:cs="Calibri"/>
        </w:rPr>
      </w:pPr>
    </w:p>
    <w:p w14:paraId="4559D7F4" w14:textId="159EA0BA" w:rsidR="006C6EBA" w:rsidRPr="001E2957" w:rsidRDefault="006C6EBA" w:rsidP="00EA22AE">
      <w:pPr>
        <w:spacing w:after="120"/>
        <w:rPr>
          <w:rFonts w:ascii="Calibri" w:hAnsi="Calibri" w:cs="Calibri"/>
          <w:sz w:val="22"/>
          <w:szCs w:val="22"/>
        </w:rPr>
      </w:pPr>
      <w:r w:rsidRPr="001E2957">
        <w:rPr>
          <w:rFonts w:ascii="Calibri" w:hAnsi="Calibri" w:cs="Calibri"/>
          <w:sz w:val="22"/>
          <w:szCs w:val="22"/>
        </w:rPr>
        <w:t>The context in which organ, eye and tissue donation is possible is most often where a death has occurred suddenly and unexpectedly. Family members are experiencing enormous stress and grief and require support, compassion, and care. The donation process takes time and alters the family’s experience of the end-of-life of their loved one. The participation and assistance of family members is required for providing vital health and lifestyle information that is important for improving the safety of the donation and transplantation.</w:t>
      </w:r>
      <w:r w:rsidR="001E2957" w:rsidRPr="001E2957">
        <w:rPr>
          <w:rFonts w:ascii="Calibri" w:hAnsi="Calibri" w:cs="Calibri"/>
          <w:sz w:val="22"/>
          <w:szCs w:val="22"/>
          <w:u w:color="0000FF"/>
          <w:lang w:val="en-GB"/>
        </w:rPr>
        <w:t xml:space="preserve"> Guidelines and professional education have been developed to ensure clinicians and donation specialists have the knowledge and skills to best support and communicate with potential donor families at this time.</w:t>
      </w:r>
      <w:r w:rsidR="001E2957" w:rsidRPr="001E2957">
        <w:rPr>
          <w:rFonts w:ascii="Calibri" w:hAnsi="Calibri" w:cs="Calibri"/>
          <w:sz w:val="22"/>
          <w:szCs w:val="22"/>
          <w:u w:color="0000FF"/>
          <w:lang w:val="en-GB"/>
        </w:rPr>
        <w:fldChar w:fldCharType="begin" w:fldLock="1"/>
      </w:r>
      <w:r w:rsidR="00C12F71">
        <w:rPr>
          <w:rFonts w:ascii="Calibri" w:hAnsi="Calibri" w:cs="Calibri"/>
          <w:sz w:val="22"/>
          <w:szCs w:val="22"/>
          <w:u w:color="0000FF"/>
          <w:lang w:val="en-GB"/>
        </w:rPr>
        <w:instrText>ADDIN CSL_CITATION {"citationItems":[{"id":"ITEM-1","itemData":{"abstract":"The opportunity for organ donation is an infrequent event. It comes at an intensely emotional time for families and can be challenging for all involved. Specific knowledge is required to support families and their decision-making at this time, and it is critical that information is provided in a clear and sensitive manner that is appropriate to the needs of individuals.","author":[{"dropping-particle":"","family":"Organ and Tissue Authority","given":"","non-dropping-particle":"","parse-names":false,"suffix":""}],"id":"ITEM-1","issue":"April","issued":{"date-parts":[["2021"]]},"number-of-pages":"1-19","title":"Best Practice Guideline for Offering Organ and Tissue Donation in Australia (Edition 2)","type":"report"},"uris":["http://www.mendeley.com/documents/?uuid=aac43fb0-f65f-48ef-965c-530575934b2d"]}],"mendeley":{"formattedCitation":"(22)","plainTextFormattedCitation":"(22)","previouslyFormattedCitation":"(22)"},"properties":{"noteIndex":0},"schema":"https://github.com/citation-style-language/schema/raw/master/csl-citation.json"}</w:instrText>
      </w:r>
      <w:r w:rsidR="001E2957" w:rsidRPr="001E2957">
        <w:rPr>
          <w:rFonts w:ascii="Calibri" w:hAnsi="Calibri" w:cs="Calibri"/>
          <w:sz w:val="22"/>
          <w:szCs w:val="22"/>
          <w:u w:color="0000FF"/>
          <w:lang w:val="en-GB"/>
        </w:rPr>
        <w:fldChar w:fldCharType="separate"/>
      </w:r>
      <w:r w:rsidR="000B7242" w:rsidRPr="000B7242">
        <w:rPr>
          <w:rFonts w:ascii="Calibri" w:hAnsi="Calibri" w:cs="Calibri"/>
          <w:noProof/>
          <w:sz w:val="22"/>
          <w:szCs w:val="22"/>
          <w:u w:color="0000FF"/>
          <w:lang w:val="en-GB"/>
        </w:rPr>
        <w:t>(22)</w:t>
      </w:r>
      <w:r w:rsidR="001E2957" w:rsidRPr="001E2957">
        <w:rPr>
          <w:rFonts w:ascii="Calibri" w:hAnsi="Calibri" w:cs="Calibri"/>
          <w:sz w:val="22"/>
          <w:szCs w:val="22"/>
          <w:u w:color="0000FF"/>
          <w:lang w:val="en-GB"/>
        </w:rPr>
        <w:fldChar w:fldCharType="end"/>
      </w:r>
      <w:r w:rsidRPr="001E2957">
        <w:rPr>
          <w:rFonts w:ascii="Calibri" w:hAnsi="Calibri" w:cs="Calibri"/>
          <w:sz w:val="22"/>
          <w:szCs w:val="22"/>
        </w:rPr>
        <w:t xml:space="preserve"> </w:t>
      </w:r>
    </w:p>
    <w:p w14:paraId="22BE7BE4" w14:textId="117CB215" w:rsidR="006C6EBA" w:rsidRPr="001E2957" w:rsidRDefault="006C6EBA" w:rsidP="00EA22AE">
      <w:pPr>
        <w:spacing w:after="120"/>
        <w:rPr>
          <w:rFonts w:ascii="Calibri" w:hAnsi="Calibri" w:cs="Calibri"/>
          <w:sz w:val="22"/>
          <w:szCs w:val="22"/>
        </w:rPr>
      </w:pPr>
      <w:r w:rsidRPr="001E2957">
        <w:rPr>
          <w:rFonts w:ascii="Calibri" w:hAnsi="Calibri" w:cs="Calibri"/>
          <w:sz w:val="22"/>
          <w:szCs w:val="22"/>
        </w:rPr>
        <w:t>The timing and approach to decision making about deceased organ</w:t>
      </w:r>
      <w:r w:rsidR="004F79CF">
        <w:rPr>
          <w:rFonts w:ascii="Calibri" w:hAnsi="Calibri" w:cs="Calibri"/>
          <w:sz w:val="22"/>
          <w:szCs w:val="22"/>
        </w:rPr>
        <w:t xml:space="preserve"> </w:t>
      </w:r>
      <w:r w:rsidRPr="001E2957">
        <w:rPr>
          <w:rFonts w:ascii="Calibri" w:hAnsi="Calibri" w:cs="Calibri"/>
          <w:sz w:val="22"/>
          <w:szCs w:val="22"/>
        </w:rPr>
        <w:t xml:space="preserve">donation may vary depending on the relevant donation pathway, </w:t>
      </w:r>
      <w:r w:rsidR="004F79CF">
        <w:rPr>
          <w:rFonts w:ascii="Calibri" w:hAnsi="Calibri" w:cs="Calibri"/>
          <w:sz w:val="22"/>
          <w:szCs w:val="22"/>
        </w:rPr>
        <w:t xml:space="preserve">as discussed below, </w:t>
      </w:r>
      <w:r w:rsidRPr="001E2957">
        <w:rPr>
          <w:rFonts w:ascii="Calibri" w:hAnsi="Calibri" w:cs="Calibri"/>
          <w:sz w:val="22"/>
          <w:szCs w:val="22"/>
        </w:rPr>
        <w:t>as well as the preferences of the potential donor or donation decision-makers.</w:t>
      </w:r>
    </w:p>
    <w:p w14:paraId="73728C1B" w14:textId="0D10FEBA" w:rsidR="001E2957" w:rsidRPr="001E2957" w:rsidRDefault="001E2957"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Further authorisation is also required from the </w:t>
      </w:r>
      <w:r w:rsidR="005E4E90">
        <w:rPr>
          <w:rFonts w:ascii="Calibri" w:hAnsi="Calibri" w:cs="Calibri"/>
          <w:kern w:val="0"/>
          <w:szCs w:val="22"/>
          <w:u w:color="0000FF"/>
          <w:lang w:val="en-GB"/>
        </w:rPr>
        <w:t>c</w:t>
      </w:r>
      <w:r w:rsidRPr="007E1B57">
        <w:rPr>
          <w:rFonts w:ascii="Calibri" w:hAnsi="Calibri" w:cs="Calibri"/>
          <w:kern w:val="0"/>
          <w:szCs w:val="22"/>
          <w:u w:color="0000FF"/>
          <w:lang w:val="en-GB"/>
        </w:rPr>
        <w:t>oroner for coroner reportable cases and a Designated Office</w:t>
      </w:r>
      <w:r>
        <w:rPr>
          <w:rFonts w:ascii="Calibri" w:hAnsi="Calibri" w:cs="Calibri"/>
          <w:kern w:val="0"/>
          <w:szCs w:val="22"/>
          <w:u w:color="0000FF"/>
          <w:lang w:val="en-GB"/>
        </w:rPr>
        <w:t>r</w:t>
      </w:r>
      <w:r w:rsidRPr="007E1B57">
        <w:rPr>
          <w:rFonts w:ascii="Calibri" w:hAnsi="Calibri" w:cs="Calibri"/>
          <w:kern w:val="0"/>
          <w:szCs w:val="22"/>
          <w:u w:color="0000FF"/>
          <w:lang w:val="en-GB"/>
        </w:rPr>
        <w:t xml:space="preserve"> (see </w:t>
      </w:r>
      <w:hyperlink w:anchor="_Authorisation_of_deceased" w:history="1">
        <w:r w:rsidRPr="001E2957">
          <w:rPr>
            <w:rStyle w:val="Hyperlink"/>
            <w:rFonts w:ascii="Calibri" w:hAnsi="Calibri" w:cs="Calibri"/>
            <w:kern w:val="0"/>
            <w:szCs w:val="22"/>
            <w:lang w:val="en-GB"/>
          </w:rPr>
          <w:t>Chapter 2.4.3.3</w:t>
        </w:r>
      </w:hyperlink>
      <w:r>
        <w:rPr>
          <w:rFonts w:ascii="Calibri" w:hAnsi="Calibri" w:cs="Calibri"/>
          <w:kern w:val="0"/>
          <w:szCs w:val="22"/>
          <w:u w:color="0000FF"/>
          <w:lang w:val="en-GB"/>
        </w:rPr>
        <w:t>)</w:t>
      </w:r>
    </w:p>
    <w:p w14:paraId="00A3A1EA" w14:textId="77777777" w:rsidR="006C6EBA" w:rsidRPr="00EB088B" w:rsidRDefault="006C6EBA" w:rsidP="00EB088B">
      <w:pPr>
        <w:pStyle w:val="Heading4"/>
      </w:pPr>
      <w:r w:rsidRPr="00EB088B">
        <w:t>Timing of decision making in DNDD</w:t>
      </w:r>
    </w:p>
    <w:p w14:paraId="20873772" w14:textId="3BE703C9" w:rsidR="006C6EBA" w:rsidRPr="004F79CF" w:rsidRDefault="006C6EBA" w:rsidP="00EA22AE">
      <w:pPr>
        <w:spacing w:after="120"/>
        <w:rPr>
          <w:rFonts w:ascii="Calibri" w:hAnsi="Calibri" w:cs="Calibri"/>
          <w:sz w:val="22"/>
          <w:szCs w:val="22"/>
        </w:rPr>
      </w:pPr>
      <w:r w:rsidRPr="004F79CF">
        <w:rPr>
          <w:rFonts w:ascii="Calibri" w:hAnsi="Calibri" w:cs="Calibri"/>
          <w:sz w:val="22"/>
          <w:szCs w:val="22"/>
        </w:rPr>
        <w:t>I</w:t>
      </w:r>
      <w:r w:rsidR="004F79CF">
        <w:rPr>
          <w:rFonts w:ascii="Calibri" w:hAnsi="Calibri" w:cs="Calibri"/>
          <w:sz w:val="22"/>
          <w:szCs w:val="22"/>
        </w:rPr>
        <w:t>n the context of DNDD, it</w:t>
      </w:r>
      <w:r w:rsidRPr="004F79CF">
        <w:rPr>
          <w:rFonts w:ascii="Calibri" w:hAnsi="Calibri" w:cs="Calibri"/>
          <w:sz w:val="22"/>
          <w:szCs w:val="22"/>
        </w:rPr>
        <w:t xml:space="preserve"> is usual practice for attending staff, including the Donation Specialist, to raise donation with family only once the person has been confirmed deceased, as the certainty of death may assist families in subsequent decision-making about donation. If the family consent to donation, the assessment for donation suitability and organisation of the surgical donation procedure occurs after death and many families use this time to undertake end-of-life rituals and to spend time with their relative. The donor is taken to the operating theatre attached to the mechanical ventilator with their heart beating and circulation present. </w:t>
      </w:r>
    </w:p>
    <w:p w14:paraId="4015DF6A" w14:textId="150D626B" w:rsidR="004F79CF" w:rsidRDefault="006C6EBA" w:rsidP="00EA22AE">
      <w:pPr>
        <w:spacing w:after="120"/>
        <w:rPr>
          <w:rFonts w:ascii="Calibri" w:hAnsi="Calibri" w:cs="Calibri"/>
          <w:sz w:val="22"/>
          <w:szCs w:val="22"/>
        </w:rPr>
      </w:pPr>
      <w:r w:rsidRPr="004F79CF">
        <w:rPr>
          <w:rFonts w:ascii="Calibri" w:hAnsi="Calibri" w:cs="Calibri"/>
          <w:sz w:val="22"/>
          <w:szCs w:val="22"/>
        </w:rPr>
        <w:t xml:space="preserve">Donation is sometimes raised by family prior to </w:t>
      </w:r>
      <w:r w:rsidR="00FA7E20">
        <w:rPr>
          <w:rFonts w:ascii="Calibri" w:hAnsi="Calibri" w:cs="Calibri"/>
          <w:sz w:val="22"/>
          <w:szCs w:val="22"/>
        </w:rPr>
        <w:t xml:space="preserve">neurological </w:t>
      </w:r>
      <w:r w:rsidRPr="004F79CF">
        <w:rPr>
          <w:rFonts w:ascii="Calibri" w:hAnsi="Calibri" w:cs="Calibri"/>
          <w:sz w:val="22"/>
          <w:szCs w:val="22"/>
        </w:rPr>
        <w:t xml:space="preserve">death developing, often to express interest in donation and sometimes to indicate a lack of support. Staff may also raise donation prior to </w:t>
      </w:r>
      <w:r w:rsidR="00FA7E20">
        <w:rPr>
          <w:rFonts w:ascii="Calibri" w:hAnsi="Calibri" w:cs="Calibri"/>
          <w:sz w:val="22"/>
          <w:szCs w:val="22"/>
        </w:rPr>
        <w:t xml:space="preserve">neurological </w:t>
      </w:r>
      <w:r w:rsidRPr="004F79CF">
        <w:rPr>
          <w:rFonts w:ascii="Calibri" w:hAnsi="Calibri" w:cs="Calibri"/>
          <w:sz w:val="22"/>
          <w:szCs w:val="22"/>
        </w:rPr>
        <w:t xml:space="preserve">death developing when it is necessary to decide whether to continue supportive treatments that are deemed no longer medically beneficial to the patient. </w:t>
      </w:r>
    </w:p>
    <w:p w14:paraId="7E66D50C" w14:textId="20791A3F" w:rsidR="006C6EBA" w:rsidRPr="004F79CF" w:rsidRDefault="006C6EBA" w:rsidP="00EA22AE">
      <w:pPr>
        <w:spacing w:after="120"/>
        <w:rPr>
          <w:rFonts w:ascii="Calibri" w:hAnsi="Calibri" w:cs="Calibri"/>
          <w:sz w:val="22"/>
          <w:szCs w:val="22"/>
        </w:rPr>
      </w:pPr>
      <w:r w:rsidRPr="004F79CF">
        <w:rPr>
          <w:rFonts w:ascii="Calibri" w:hAnsi="Calibri" w:cs="Calibri"/>
          <w:sz w:val="22"/>
          <w:szCs w:val="22"/>
        </w:rPr>
        <w:t>In these situations, continu</w:t>
      </w:r>
      <w:r w:rsidR="004F79CF">
        <w:rPr>
          <w:rFonts w:ascii="Calibri" w:hAnsi="Calibri" w:cs="Calibri"/>
          <w:sz w:val="22"/>
          <w:szCs w:val="22"/>
        </w:rPr>
        <w:t>ation of</w:t>
      </w:r>
      <w:r w:rsidRPr="004F79CF">
        <w:rPr>
          <w:rFonts w:ascii="Calibri" w:hAnsi="Calibri" w:cs="Calibri"/>
          <w:sz w:val="22"/>
          <w:szCs w:val="22"/>
        </w:rPr>
        <w:t xml:space="preserve"> supportive treatments </w:t>
      </w:r>
      <w:r w:rsidR="004F79CF">
        <w:rPr>
          <w:rFonts w:ascii="Calibri" w:hAnsi="Calibri" w:cs="Calibri"/>
          <w:sz w:val="22"/>
          <w:szCs w:val="22"/>
        </w:rPr>
        <w:t xml:space="preserve">may be offered </w:t>
      </w:r>
      <w:r w:rsidRPr="004F79CF">
        <w:rPr>
          <w:rFonts w:ascii="Calibri" w:hAnsi="Calibri" w:cs="Calibri"/>
          <w:sz w:val="22"/>
          <w:szCs w:val="22"/>
        </w:rPr>
        <w:t xml:space="preserve">to see if loss of brain function will occur for the purpose of subsequently facilitating donation, with a mutually agreed time for review of this plan, for example, in 12 to 24 hours. This discussion should include an explanation of the differences in donation and recipient outcomes that might occur under DNDD and DCDD conditions if both options are possible. (See </w:t>
      </w:r>
      <w:hyperlink w:anchor="_Pre-mortem_interventions_for_1" w:history="1">
        <w:r w:rsidR="004F79CF" w:rsidRPr="004F79CF">
          <w:rPr>
            <w:rStyle w:val="Hyperlink"/>
            <w:rFonts w:ascii="Calibri" w:hAnsi="Calibri" w:cs="Calibri"/>
            <w:sz w:val="22"/>
            <w:szCs w:val="22"/>
          </w:rPr>
          <w:t>Chapter 11.4</w:t>
        </w:r>
      </w:hyperlink>
      <w:r w:rsidR="004F79CF" w:rsidRPr="004F79CF">
        <w:rPr>
          <w:rFonts w:ascii="Calibri" w:hAnsi="Calibri" w:cs="Calibri"/>
          <w:sz w:val="22"/>
          <w:szCs w:val="22"/>
        </w:rPr>
        <w:t xml:space="preserve"> </w:t>
      </w:r>
      <w:r w:rsidRPr="004F79CF">
        <w:rPr>
          <w:rFonts w:ascii="Calibri" w:hAnsi="Calibri" w:cs="Calibri"/>
          <w:sz w:val="22"/>
          <w:szCs w:val="22"/>
        </w:rPr>
        <w:t xml:space="preserve">for discussion of ethical considerations relating to intensive care efforts aimed at preserving opportunities for organ donation). </w:t>
      </w:r>
    </w:p>
    <w:p w14:paraId="4A082163" w14:textId="5DEB83D6" w:rsidR="006C6EBA" w:rsidRPr="00EB088B" w:rsidRDefault="006C6EBA" w:rsidP="00EB088B">
      <w:pPr>
        <w:pStyle w:val="Heading4"/>
      </w:pPr>
      <w:r w:rsidRPr="00EB088B">
        <w:t>Timing and decision making in DCDD</w:t>
      </w:r>
    </w:p>
    <w:p w14:paraId="782E3A8E" w14:textId="77777777" w:rsidR="004F79CF" w:rsidRPr="004F79CF" w:rsidRDefault="006C6EBA" w:rsidP="00EA22AE">
      <w:pPr>
        <w:spacing w:after="120"/>
        <w:rPr>
          <w:rFonts w:ascii="Calibri" w:hAnsi="Calibri" w:cs="Calibri"/>
          <w:color w:val="000000" w:themeColor="text1"/>
          <w:sz w:val="22"/>
          <w:szCs w:val="22"/>
        </w:rPr>
      </w:pPr>
      <w:r w:rsidRPr="004F79CF">
        <w:rPr>
          <w:rFonts w:ascii="Calibri" w:hAnsi="Calibri" w:cs="Calibri"/>
          <w:color w:val="000000" w:themeColor="text1"/>
          <w:sz w:val="22"/>
          <w:szCs w:val="22"/>
        </w:rPr>
        <w:t>When DCDD is considered feasible, it is only raised with family once there has been agreement to withdraw treatments because the</w:t>
      </w:r>
      <w:r w:rsidR="004F79CF" w:rsidRPr="004F79CF">
        <w:rPr>
          <w:rFonts w:ascii="Calibri" w:hAnsi="Calibri" w:cs="Calibri"/>
          <w:color w:val="000000" w:themeColor="text1"/>
          <w:sz w:val="22"/>
          <w:szCs w:val="22"/>
        </w:rPr>
        <w:t>y no longer offer</w:t>
      </w:r>
      <w:r w:rsidRPr="004F79CF">
        <w:rPr>
          <w:rFonts w:ascii="Calibri" w:hAnsi="Calibri" w:cs="Calibri"/>
          <w:color w:val="000000" w:themeColor="text1"/>
          <w:sz w:val="22"/>
          <w:szCs w:val="22"/>
        </w:rPr>
        <w:t xml:space="preserve"> medical benefit</w:t>
      </w:r>
      <w:r w:rsidR="004F79CF" w:rsidRPr="004F79CF">
        <w:rPr>
          <w:rFonts w:ascii="Calibri" w:hAnsi="Calibri" w:cs="Calibri"/>
          <w:color w:val="000000" w:themeColor="text1"/>
          <w:sz w:val="22"/>
          <w:szCs w:val="22"/>
        </w:rPr>
        <w:t>s</w:t>
      </w:r>
      <w:r w:rsidRPr="004F79CF">
        <w:rPr>
          <w:rFonts w:ascii="Calibri" w:hAnsi="Calibri" w:cs="Calibri"/>
          <w:color w:val="000000" w:themeColor="text1"/>
          <w:sz w:val="22"/>
          <w:szCs w:val="22"/>
        </w:rPr>
        <w:t xml:space="preserve"> </w:t>
      </w:r>
      <w:r w:rsidR="004F79CF" w:rsidRPr="004F79CF">
        <w:rPr>
          <w:rFonts w:ascii="Calibri" w:hAnsi="Calibri" w:cs="Calibri"/>
          <w:color w:val="000000" w:themeColor="text1"/>
          <w:sz w:val="22"/>
          <w:szCs w:val="22"/>
        </w:rPr>
        <w:t>for</w:t>
      </w:r>
      <w:r w:rsidRPr="004F79CF">
        <w:rPr>
          <w:rFonts w:ascii="Calibri" w:hAnsi="Calibri" w:cs="Calibri"/>
          <w:color w:val="000000" w:themeColor="text1"/>
          <w:sz w:val="22"/>
          <w:szCs w:val="22"/>
        </w:rPr>
        <w:t xml:space="preserve"> the patient</w:t>
      </w:r>
      <w:r w:rsidR="004F79CF" w:rsidRPr="004F79CF">
        <w:rPr>
          <w:rFonts w:ascii="Calibri" w:hAnsi="Calibri" w:cs="Calibri"/>
          <w:color w:val="000000" w:themeColor="text1"/>
          <w:sz w:val="22"/>
          <w:szCs w:val="22"/>
        </w:rPr>
        <w:t>,</w:t>
      </w:r>
      <w:r w:rsidRPr="004F79CF">
        <w:rPr>
          <w:rFonts w:ascii="Calibri" w:hAnsi="Calibri" w:cs="Calibri"/>
          <w:color w:val="000000" w:themeColor="text1"/>
          <w:sz w:val="22"/>
          <w:szCs w:val="22"/>
        </w:rPr>
        <w:t xml:space="preserve"> given the</w:t>
      </w:r>
      <w:r w:rsidR="004F79CF" w:rsidRPr="004F79CF">
        <w:rPr>
          <w:rFonts w:ascii="Calibri" w:hAnsi="Calibri" w:cs="Calibri"/>
          <w:color w:val="000000" w:themeColor="text1"/>
          <w:sz w:val="22"/>
          <w:szCs w:val="22"/>
        </w:rPr>
        <w:t xml:space="preserve"> patient’s</w:t>
      </w:r>
      <w:r w:rsidRPr="004F79CF">
        <w:rPr>
          <w:rFonts w:ascii="Calibri" w:hAnsi="Calibri" w:cs="Calibri"/>
          <w:color w:val="000000" w:themeColor="text1"/>
          <w:sz w:val="22"/>
          <w:szCs w:val="22"/>
        </w:rPr>
        <w:t xml:space="preserve"> prognosis. This separation </w:t>
      </w:r>
      <w:r w:rsidR="004F79CF" w:rsidRPr="004F79CF">
        <w:rPr>
          <w:rFonts w:ascii="Calibri" w:hAnsi="Calibri" w:cs="Calibri"/>
          <w:color w:val="000000" w:themeColor="text1"/>
          <w:sz w:val="22"/>
          <w:szCs w:val="22"/>
        </w:rPr>
        <w:t xml:space="preserve">of decision-making </w:t>
      </w:r>
      <w:r w:rsidRPr="004F79CF">
        <w:rPr>
          <w:rFonts w:ascii="Calibri" w:hAnsi="Calibri" w:cs="Calibri"/>
          <w:color w:val="000000" w:themeColor="text1"/>
          <w:sz w:val="22"/>
          <w:szCs w:val="22"/>
        </w:rPr>
        <w:t xml:space="preserve">is important to avoid any perceived conflict of interest regarding the decision-making for proceeding to withdrawal of treatment, end-of-life care, and that about donation. </w:t>
      </w:r>
    </w:p>
    <w:p w14:paraId="36FEA3ED" w14:textId="77777777" w:rsidR="004F79CF" w:rsidRDefault="006C6EBA" w:rsidP="00EA22AE">
      <w:pPr>
        <w:spacing w:after="120"/>
        <w:rPr>
          <w:rFonts w:ascii="Calibri" w:hAnsi="Calibri" w:cs="Calibri"/>
          <w:sz w:val="22"/>
          <w:szCs w:val="22"/>
        </w:rPr>
      </w:pPr>
      <w:r w:rsidRPr="004F79CF">
        <w:rPr>
          <w:rFonts w:ascii="Calibri" w:hAnsi="Calibri" w:cs="Calibri"/>
          <w:color w:val="000000" w:themeColor="text1"/>
          <w:sz w:val="22"/>
          <w:szCs w:val="22"/>
        </w:rPr>
        <w:t>If the family (or rarely the conscious, competent patient</w:t>
      </w:r>
      <w:r w:rsidR="004F79CF" w:rsidRPr="004F79CF">
        <w:rPr>
          <w:rFonts w:ascii="Calibri" w:hAnsi="Calibri" w:cs="Calibri"/>
          <w:color w:val="000000" w:themeColor="text1"/>
          <w:sz w:val="22"/>
          <w:szCs w:val="22"/>
        </w:rPr>
        <w:t xml:space="preserve"> (see </w:t>
      </w:r>
      <w:hyperlink w:anchor="_Deceased_donation_by" w:history="1">
        <w:r w:rsidR="004F79CF" w:rsidRPr="004F79CF">
          <w:rPr>
            <w:rStyle w:val="Hyperlink"/>
            <w:rFonts w:ascii="Calibri" w:hAnsi="Calibri" w:cs="Calibri"/>
            <w:sz w:val="22"/>
            <w:szCs w:val="22"/>
          </w:rPr>
          <w:t>Chapter 11.6</w:t>
        </w:r>
      </w:hyperlink>
      <w:r w:rsidRPr="004F79CF">
        <w:rPr>
          <w:rFonts w:ascii="Calibri" w:hAnsi="Calibri" w:cs="Calibri"/>
          <w:color w:val="000000" w:themeColor="text1"/>
          <w:sz w:val="22"/>
          <w:szCs w:val="22"/>
        </w:rPr>
        <w:t xml:space="preserve">) agrees to donation, the </w:t>
      </w:r>
      <w:r w:rsidRPr="004F79CF">
        <w:rPr>
          <w:rFonts w:ascii="Calibri" w:hAnsi="Calibri" w:cs="Calibri"/>
          <w:sz w:val="22"/>
          <w:szCs w:val="22"/>
        </w:rPr>
        <w:t xml:space="preserve">assessment for donation suitability and organisation of the surgical donation procedure occurs prior to death. Families often use this time to undertake end-of-life rituals and to spend time with their relative. The family may be with their relative at the time that treatment is withdrawn and during the dying process. </w:t>
      </w:r>
    </w:p>
    <w:p w14:paraId="6A704C2E" w14:textId="77777777" w:rsidR="00C3783C" w:rsidRDefault="006C6EBA" w:rsidP="00C3783C">
      <w:pPr>
        <w:spacing w:after="120"/>
        <w:rPr>
          <w:rFonts w:ascii="Calibri" w:hAnsi="Calibri" w:cs="Calibri"/>
          <w:sz w:val="22"/>
          <w:szCs w:val="22"/>
        </w:rPr>
      </w:pPr>
      <w:r w:rsidRPr="004F79CF">
        <w:rPr>
          <w:rFonts w:ascii="Calibri" w:hAnsi="Calibri" w:cs="Calibri"/>
          <w:sz w:val="22"/>
          <w:szCs w:val="22"/>
        </w:rPr>
        <w:t xml:space="preserve">It is explained to family that organ donation procedures and retrieval surgery need to begin with minimal delay following death to limit any deterioration of organs due to lack of blood flow, so they will have limited time with their relative after the circulation has ceased and death has been </w:t>
      </w:r>
      <w:r w:rsidRPr="004F79CF">
        <w:rPr>
          <w:rFonts w:ascii="Calibri" w:hAnsi="Calibri" w:cs="Calibri"/>
          <w:sz w:val="22"/>
          <w:szCs w:val="22"/>
        </w:rPr>
        <w:lastRenderedPageBreak/>
        <w:t>confirmed. It is also explained to families that if death does not occur within the required timeframe, organ donation will not occur, although eye and tissue donation may still be possible.</w:t>
      </w:r>
      <w:bookmarkStart w:id="340" w:name="_Authorisation_of_deceased"/>
      <w:bookmarkEnd w:id="340"/>
    </w:p>
    <w:p w14:paraId="4EA5BB82" w14:textId="59C80B8F" w:rsidR="006C6EBA" w:rsidRPr="00C3783C" w:rsidRDefault="006C6EBA" w:rsidP="00C3783C">
      <w:pPr>
        <w:pStyle w:val="Heading4"/>
        <w:rPr>
          <w:rFonts w:eastAsia="Times New Roman"/>
          <w:szCs w:val="22"/>
        </w:rPr>
      </w:pPr>
      <w:r w:rsidRPr="00C3783C">
        <w:t xml:space="preserve">Authorisation of deceased donation </w:t>
      </w:r>
    </w:p>
    <w:p w14:paraId="4717554D" w14:textId="324C8C9A" w:rsidR="006C6EBA" w:rsidRPr="004F79CF" w:rsidRDefault="006C6EBA" w:rsidP="00EA22AE">
      <w:pPr>
        <w:spacing w:after="120"/>
        <w:rPr>
          <w:rFonts w:ascii="Calibri" w:hAnsi="Calibri" w:cs="Calibri"/>
          <w:sz w:val="22"/>
          <w:szCs w:val="22"/>
        </w:rPr>
      </w:pPr>
      <w:r w:rsidRPr="004F79CF">
        <w:rPr>
          <w:rFonts w:ascii="Calibri" w:hAnsi="Calibri" w:cs="Calibri"/>
          <w:sz w:val="22"/>
          <w:szCs w:val="22"/>
        </w:rPr>
        <w:t>There are several agreements required before donation can proceed after death. These are undertaken according to law and current best clinical practice guidance.</w:t>
      </w:r>
      <w:r w:rsidR="004F79CF">
        <w:rPr>
          <w:rFonts w:ascii="Calibri" w:hAnsi="Calibri" w:cs="Calibri"/>
          <w:sz w:val="22"/>
          <w:szCs w:val="22"/>
        </w:rPr>
        <w:fldChar w:fldCharType="begin" w:fldLock="1"/>
      </w:r>
      <w:r w:rsidR="00C12F71">
        <w:rPr>
          <w:rFonts w:ascii="Calibri" w:hAnsi="Calibri" w:cs="Calibri"/>
          <w:sz w:val="22"/>
          <w:szCs w:val="22"/>
        </w:rPr>
        <w:instrText>ADDIN CSL_CITATION {"citationItems":[{"id":"ITEM-1","itemData":{"abstract":"The opportunity for organ donation is an infrequent event. It comes at an intensely emotional time for families and can be challenging for all involved. Specific knowledge is required to support families and their decision-making at this time, and it is critical that information is provided in a clear and sensitive manner that is appropriate to the needs of individuals.","author":[{"dropping-particle":"","family":"Organ and Tissue Authority","given":"","non-dropping-particle":"","parse-names":false,"suffix":""}],"id":"ITEM-1","issue":"April","issued":{"date-parts":[["2021"]]},"number-of-pages":"1-19","title":"Best Practice Guideline for Offering Organ and Tissue Donation in Australia (Edition 2)","type":"report"},"uris":["http://www.mendeley.com/documents/?uuid=aac43fb0-f65f-48ef-965c-530575934b2d"]}],"mendeley":{"formattedCitation":"(22)","plainTextFormattedCitation":"(22)","previouslyFormattedCitation":"(22)"},"properties":{"noteIndex":0},"schema":"https://github.com/citation-style-language/schema/raw/master/csl-citation.json"}</w:instrText>
      </w:r>
      <w:r w:rsidR="004F79CF">
        <w:rPr>
          <w:rFonts w:ascii="Calibri" w:hAnsi="Calibri" w:cs="Calibri"/>
          <w:sz w:val="22"/>
          <w:szCs w:val="22"/>
        </w:rPr>
        <w:fldChar w:fldCharType="separate"/>
      </w:r>
      <w:r w:rsidR="000B7242" w:rsidRPr="000B7242">
        <w:rPr>
          <w:rFonts w:ascii="Calibri" w:hAnsi="Calibri" w:cs="Calibri"/>
          <w:noProof/>
          <w:sz w:val="22"/>
          <w:szCs w:val="22"/>
        </w:rPr>
        <w:t>(22)</w:t>
      </w:r>
      <w:r w:rsidR="004F79CF">
        <w:rPr>
          <w:rFonts w:ascii="Calibri" w:hAnsi="Calibri" w:cs="Calibri"/>
          <w:sz w:val="22"/>
          <w:szCs w:val="22"/>
        </w:rPr>
        <w:fldChar w:fldCharType="end"/>
      </w:r>
      <w:r w:rsidRPr="004F79CF">
        <w:rPr>
          <w:rFonts w:ascii="Calibri" w:hAnsi="Calibri" w:cs="Calibri"/>
          <w:sz w:val="22"/>
          <w:szCs w:val="22"/>
        </w:rPr>
        <w:t xml:space="preserve"> In all Australian jurisdictions there is a legal basis for the removal of organs (and tissues) after death, for the purpose of transplantation (see </w:t>
      </w:r>
      <w:hyperlink w:anchor="_Human_tissue_legislation_1" w:history="1">
        <w:r w:rsidR="004F79CF" w:rsidRPr="004F79CF">
          <w:rPr>
            <w:rStyle w:val="Hyperlink"/>
            <w:rFonts w:ascii="Calibri" w:hAnsi="Calibri" w:cs="Calibri"/>
            <w:sz w:val="22"/>
            <w:szCs w:val="22"/>
          </w:rPr>
          <w:t>Chapter 3.5.1</w:t>
        </w:r>
      </w:hyperlink>
      <w:r w:rsidR="004F79CF" w:rsidRPr="004F79CF">
        <w:rPr>
          <w:rFonts w:ascii="Calibri" w:hAnsi="Calibri" w:cs="Calibri"/>
          <w:sz w:val="22"/>
          <w:szCs w:val="22"/>
        </w:rPr>
        <w:t>)</w:t>
      </w:r>
      <w:r w:rsidRPr="004F79CF">
        <w:rPr>
          <w:rFonts w:ascii="Calibri" w:hAnsi="Calibri" w:cs="Calibri"/>
          <w:sz w:val="22"/>
          <w:szCs w:val="22"/>
        </w:rPr>
        <w:t xml:space="preserve"> </w:t>
      </w:r>
    </w:p>
    <w:p w14:paraId="6530341A" w14:textId="74E1958D" w:rsidR="006C6EBA" w:rsidRPr="004F79CF" w:rsidRDefault="006C6EBA" w:rsidP="00EA22AE">
      <w:pPr>
        <w:spacing w:after="120"/>
        <w:rPr>
          <w:rFonts w:ascii="Calibri" w:hAnsi="Calibri" w:cs="Calibri"/>
          <w:sz w:val="22"/>
          <w:szCs w:val="22"/>
        </w:rPr>
      </w:pPr>
      <w:r w:rsidRPr="004F79CF">
        <w:rPr>
          <w:rFonts w:ascii="Calibri" w:hAnsi="Calibri" w:cs="Calibri"/>
          <w:sz w:val="22"/>
          <w:szCs w:val="22"/>
        </w:rPr>
        <w:t xml:space="preserve">Ethical considerations in deceased donation decision-making, including discussion of the implications of donor registration, and the requirements for consent for donation are explored in detail in </w:t>
      </w:r>
      <w:hyperlink w:anchor="_Consent_for_deceased" w:history="1">
        <w:r w:rsidR="004F79CF" w:rsidRPr="004F79CF">
          <w:rPr>
            <w:rStyle w:val="Hyperlink"/>
            <w:rFonts w:ascii="Calibri" w:hAnsi="Calibri" w:cs="Calibri"/>
            <w:sz w:val="22"/>
            <w:szCs w:val="22"/>
          </w:rPr>
          <w:t>Chapter 4.4.</w:t>
        </w:r>
      </w:hyperlink>
    </w:p>
    <w:p w14:paraId="054BAE14" w14:textId="5DF1442E" w:rsidR="006C6EBA" w:rsidRPr="004F79CF" w:rsidRDefault="006C6EBA" w:rsidP="00EA22AE">
      <w:pPr>
        <w:spacing w:after="120"/>
        <w:rPr>
          <w:rFonts w:ascii="Calibri" w:hAnsi="Calibri" w:cs="Calibri"/>
          <w:sz w:val="22"/>
          <w:szCs w:val="22"/>
        </w:rPr>
      </w:pPr>
      <w:r w:rsidRPr="004F79CF">
        <w:rPr>
          <w:rFonts w:ascii="Calibri" w:hAnsi="Calibri" w:cs="Calibri"/>
          <w:sz w:val="22"/>
          <w:szCs w:val="22"/>
        </w:rPr>
        <w:t xml:space="preserve">From a procedural perspective, authorisation for donation from the designated officer (see </w:t>
      </w:r>
      <w:r w:rsidRPr="004F79CF">
        <w:rPr>
          <w:rFonts w:ascii="Calibri" w:hAnsi="Calibri" w:cs="Calibri"/>
          <w:b/>
          <w:bCs/>
          <w:sz w:val="22"/>
          <w:szCs w:val="22"/>
        </w:rPr>
        <w:t xml:space="preserve">Box </w:t>
      </w:r>
      <w:r w:rsidR="001E2957" w:rsidRPr="004F79CF">
        <w:rPr>
          <w:rFonts w:ascii="Calibri" w:hAnsi="Calibri" w:cs="Calibri"/>
          <w:b/>
          <w:bCs/>
          <w:sz w:val="22"/>
          <w:szCs w:val="22"/>
        </w:rPr>
        <w:t>3.</w:t>
      </w:r>
      <w:r w:rsidRPr="004F79CF">
        <w:rPr>
          <w:rFonts w:ascii="Calibri" w:hAnsi="Calibri" w:cs="Calibri"/>
          <w:b/>
          <w:bCs/>
          <w:sz w:val="22"/>
          <w:szCs w:val="22"/>
        </w:rPr>
        <w:t>4</w:t>
      </w:r>
      <w:r w:rsidRPr="004F79CF">
        <w:rPr>
          <w:rFonts w:ascii="Calibri" w:hAnsi="Calibri" w:cs="Calibri"/>
          <w:sz w:val="22"/>
          <w:szCs w:val="22"/>
        </w:rPr>
        <w:t xml:space="preserve">) is required before donation can proceed. If the circumstances of death meet criteria for it to be reported to the coroner, consent from the coroner for donation to proceed will need to be sought </w:t>
      </w:r>
      <w:r w:rsidR="00F77570">
        <w:rPr>
          <w:rFonts w:ascii="Calibri" w:hAnsi="Calibri" w:cs="Calibri"/>
          <w:sz w:val="22"/>
          <w:szCs w:val="22"/>
        </w:rPr>
        <w:t xml:space="preserve">(see </w:t>
      </w:r>
      <w:hyperlink w:anchor="_Role_of_the" w:history="1">
        <w:r w:rsidR="00F77570" w:rsidRPr="00F77570">
          <w:rPr>
            <w:rStyle w:val="Hyperlink"/>
            <w:rFonts w:ascii="Calibri" w:hAnsi="Calibri" w:cs="Calibri"/>
            <w:sz w:val="22"/>
            <w:szCs w:val="22"/>
          </w:rPr>
          <w:t>Chapter 4.4.1.1</w:t>
        </w:r>
      </w:hyperlink>
      <w:r w:rsidR="00F77570">
        <w:rPr>
          <w:rFonts w:ascii="Calibri" w:hAnsi="Calibri" w:cs="Calibri"/>
          <w:sz w:val="22"/>
          <w:szCs w:val="22"/>
        </w:rPr>
        <w:t>).</w:t>
      </w:r>
      <w:r w:rsidRPr="004F79CF">
        <w:rPr>
          <w:rFonts w:ascii="Calibri" w:hAnsi="Calibri" w:cs="Calibri"/>
          <w:sz w:val="22"/>
          <w:szCs w:val="22"/>
        </w:rPr>
        <w:t xml:space="preserve"> In Australia approximately 50% of all donors have a cause of death that is reportable to the coroner and in the vast majority the coroner places no limitations on donation.   </w:t>
      </w:r>
    </w:p>
    <w:p w14:paraId="4361E692" w14:textId="190EE7BB" w:rsidR="006C6EBA" w:rsidRPr="006720E4" w:rsidRDefault="006C6EBA" w:rsidP="00EA22AE">
      <w:pPr>
        <w:spacing w:after="120"/>
        <w:rPr>
          <w:rFonts w:ascii="Calibri" w:hAnsi="Calibri" w:cs="Calibri"/>
          <w:b/>
          <w:bCs/>
        </w:rPr>
      </w:pPr>
      <w:r w:rsidRPr="006720E4">
        <w:rPr>
          <w:rFonts w:ascii="Calibri" w:hAnsi="Calibri" w:cs="Calibri"/>
          <w:b/>
          <w:bCs/>
        </w:rPr>
        <w:t xml:space="preserve">Box </w:t>
      </w:r>
      <w:r w:rsidR="00513896">
        <w:rPr>
          <w:rFonts w:ascii="Calibri" w:hAnsi="Calibri" w:cs="Calibri"/>
          <w:b/>
          <w:bCs/>
        </w:rPr>
        <w:t>2</w:t>
      </w:r>
      <w:r w:rsidR="001E2957">
        <w:rPr>
          <w:rFonts w:ascii="Calibri" w:hAnsi="Calibri" w:cs="Calibri"/>
          <w:b/>
          <w:bCs/>
        </w:rPr>
        <w:t>.</w:t>
      </w:r>
      <w:r w:rsidRPr="006720E4">
        <w:rPr>
          <w:rFonts w:ascii="Calibri" w:hAnsi="Calibri" w:cs="Calibri"/>
          <w:b/>
          <w:bCs/>
        </w:rPr>
        <w:t xml:space="preserve">4 Role of the Designated Officer </w:t>
      </w:r>
    </w:p>
    <w:tbl>
      <w:tblPr>
        <w:tblStyle w:val="TableGrid"/>
        <w:tblW w:w="0" w:type="auto"/>
        <w:tblLook w:val="04A0" w:firstRow="1" w:lastRow="0" w:firstColumn="1" w:lastColumn="0" w:noHBand="0" w:noVBand="1"/>
      </w:tblPr>
      <w:tblGrid>
        <w:gridCol w:w="9010"/>
      </w:tblGrid>
      <w:tr w:rsidR="006C6EBA" w:rsidRPr="006720E4" w14:paraId="0E6F5E1E" w14:textId="77777777">
        <w:tc>
          <w:tcPr>
            <w:tcW w:w="9016" w:type="dxa"/>
          </w:tcPr>
          <w:p w14:paraId="1DD73673" w14:textId="77777777" w:rsidR="006C6EBA" w:rsidRPr="00F77570" w:rsidRDefault="006C6EBA" w:rsidP="00EA22AE">
            <w:pPr>
              <w:spacing w:after="120"/>
              <w:rPr>
                <w:rFonts w:ascii="Calibri" w:hAnsi="Calibri" w:cs="Calibri"/>
                <w:sz w:val="22"/>
                <w:szCs w:val="22"/>
              </w:rPr>
            </w:pPr>
            <w:r w:rsidRPr="00F77570">
              <w:rPr>
                <w:rFonts w:ascii="Calibri" w:hAnsi="Calibri" w:cs="Calibri"/>
                <w:sz w:val="22"/>
                <w:szCs w:val="22"/>
              </w:rPr>
              <w:t>All Australian state and territory laws recognise the specific role within a hospital of a designated officer responsible for authorising the removal of organs and tissue for the purpose of transplantation, or other therapeutic, medical, or scientific purposes. The designated officer has the responsibility to ensure that the removal of organ and tissues is in accordance with the law.</w:t>
            </w:r>
          </w:p>
          <w:p w14:paraId="64509139" w14:textId="77777777" w:rsidR="006C6EBA" w:rsidRPr="00F77570" w:rsidRDefault="006C6EBA" w:rsidP="00EA22AE">
            <w:pPr>
              <w:spacing w:after="120"/>
              <w:rPr>
                <w:rFonts w:ascii="Calibri" w:hAnsi="Calibri" w:cs="Calibri"/>
                <w:sz w:val="22"/>
                <w:szCs w:val="22"/>
              </w:rPr>
            </w:pPr>
            <w:r w:rsidRPr="00F77570">
              <w:rPr>
                <w:rFonts w:ascii="Calibri" w:hAnsi="Calibri" w:cs="Calibri"/>
                <w:sz w:val="22"/>
                <w:szCs w:val="22"/>
              </w:rPr>
              <w:t>The designated officer needs to determine that the requirements of the legislation are met, which include those related to death determination, individual or family consent or lack of objection and, where relevant, coronial agreement to donation.</w:t>
            </w:r>
          </w:p>
          <w:p w14:paraId="01E0216F" w14:textId="77777777" w:rsidR="006C6EBA" w:rsidRPr="006720E4" w:rsidRDefault="006C6EBA" w:rsidP="00EA22AE">
            <w:pPr>
              <w:spacing w:after="120"/>
              <w:rPr>
                <w:rFonts w:ascii="Calibri" w:hAnsi="Calibri" w:cs="Calibri"/>
              </w:rPr>
            </w:pPr>
            <w:r w:rsidRPr="00F77570">
              <w:rPr>
                <w:rFonts w:ascii="Calibri" w:hAnsi="Calibri" w:cs="Calibri"/>
                <w:sz w:val="22"/>
                <w:szCs w:val="22"/>
              </w:rPr>
              <w:t>The officer must ensure that the deceased patient wished to consent to donation or had no objection to donation, or that the deceased patient did not object and a senior available next-of-kin consents or has no objection to donation (according to state/territory legislation). For reportable deaths they must also determine that the coroner has provided consent or conditional approval to donation organs and/ or tissues, or the coroner has advised that consent is not required (as permitted by jurisdictional legislation).</w:t>
            </w:r>
          </w:p>
        </w:tc>
      </w:tr>
    </w:tbl>
    <w:p w14:paraId="617A609E" w14:textId="77777777" w:rsidR="006C6EBA" w:rsidRPr="006720E4" w:rsidRDefault="006C6EBA" w:rsidP="00EA22AE">
      <w:pPr>
        <w:spacing w:after="120"/>
        <w:rPr>
          <w:rFonts w:ascii="Calibri" w:hAnsi="Calibri" w:cs="Calibri"/>
        </w:rPr>
      </w:pPr>
    </w:p>
    <w:p w14:paraId="2ED97553" w14:textId="77777777" w:rsidR="006C6EBA" w:rsidRPr="00EB088B" w:rsidRDefault="006C6EBA" w:rsidP="00EB088B">
      <w:pPr>
        <w:pStyle w:val="Heading3"/>
      </w:pPr>
      <w:bookmarkStart w:id="341" w:name="_Assessment_of_medical"/>
      <w:bookmarkEnd w:id="341"/>
      <w:r w:rsidRPr="00EB088B">
        <w:t xml:space="preserve">Assessment of medical suitability for deceased donation </w:t>
      </w:r>
    </w:p>
    <w:p w14:paraId="07D155F6" w14:textId="77777777" w:rsidR="00F77570" w:rsidRPr="007E1B57" w:rsidRDefault="00F7757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Donor medical suitability assessment includes individual organ assessment for transplant suitability as well as determining whether there are disease risks that may preclude donation</w:t>
      </w:r>
      <w:r>
        <w:rPr>
          <w:rFonts w:ascii="Calibri" w:hAnsi="Calibri" w:cs="Calibri"/>
          <w:kern w:val="0"/>
          <w:szCs w:val="22"/>
          <w:u w:color="0000FF"/>
          <w:lang w:val="en-GB"/>
        </w:rPr>
        <w:t xml:space="preserve"> of specific organs or tissues</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Different medical criteria may apply depending on which organs are being considered for donation, and the characteristics of individuals awaiting transplantation at a particular time.</w:t>
      </w:r>
    </w:p>
    <w:p w14:paraId="442C8580" w14:textId="77777777" w:rsidR="00F77570" w:rsidRDefault="00F7757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Criteria for donor suitability ha</w:t>
      </w:r>
      <w:r>
        <w:rPr>
          <w:rFonts w:ascii="Calibri" w:hAnsi="Calibri" w:cs="Calibri"/>
          <w:kern w:val="0"/>
          <w:szCs w:val="22"/>
          <w:u w:color="0000FF"/>
          <w:lang w:val="en-GB"/>
        </w:rPr>
        <w:t>ve</w:t>
      </w:r>
      <w:r w:rsidRPr="007E1B57">
        <w:rPr>
          <w:rFonts w:ascii="Calibri" w:hAnsi="Calibri" w:cs="Calibri"/>
          <w:kern w:val="0"/>
          <w:szCs w:val="22"/>
          <w:u w:color="0000FF"/>
          <w:lang w:val="en-GB"/>
        </w:rPr>
        <w:t xml:space="preserve"> expanded over time, including </w:t>
      </w:r>
      <w:r>
        <w:rPr>
          <w:rFonts w:ascii="Calibri" w:hAnsi="Calibri" w:cs="Calibri"/>
          <w:kern w:val="0"/>
          <w:szCs w:val="22"/>
          <w:u w:color="0000FF"/>
          <w:lang w:val="en-GB"/>
        </w:rPr>
        <w:t>those relating to</w:t>
      </w:r>
      <w:r w:rsidRPr="007E1B57">
        <w:rPr>
          <w:rFonts w:ascii="Calibri" w:hAnsi="Calibri" w:cs="Calibri"/>
          <w:kern w:val="0"/>
          <w:szCs w:val="22"/>
          <w:u w:color="0000FF"/>
          <w:lang w:val="en-GB"/>
        </w:rPr>
        <w:t xml:space="preserve"> age (young and old), chronic health conditions</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and other conditions that</w:t>
      </w:r>
      <w:r>
        <w:rPr>
          <w:rFonts w:ascii="Calibri" w:hAnsi="Calibri" w:cs="Calibri"/>
          <w:kern w:val="0"/>
          <w:szCs w:val="22"/>
          <w:u w:color="0000FF"/>
          <w:lang w:val="en-GB"/>
        </w:rPr>
        <w:t xml:space="preserve"> may</w:t>
      </w:r>
      <w:r w:rsidRPr="007E1B57">
        <w:rPr>
          <w:rFonts w:ascii="Calibri" w:hAnsi="Calibri" w:cs="Calibri"/>
          <w:kern w:val="0"/>
          <w:szCs w:val="22"/>
          <w:u w:color="0000FF"/>
          <w:lang w:val="en-GB"/>
        </w:rPr>
        <w:t xml:space="preserve"> pose an increased risk of disease transmission to recipients. </w:t>
      </w:r>
      <w:r>
        <w:rPr>
          <w:rFonts w:ascii="Calibri" w:hAnsi="Calibri" w:cs="Calibri"/>
          <w:kern w:val="0"/>
          <w:szCs w:val="22"/>
          <w:u w:color="0000FF"/>
          <w:lang w:val="en-GB"/>
        </w:rPr>
        <w:t>A</w:t>
      </w:r>
      <w:r w:rsidRPr="007E1B57">
        <w:rPr>
          <w:rFonts w:ascii="Calibri" w:hAnsi="Calibri" w:cs="Calibri"/>
          <w:kern w:val="0"/>
          <w:szCs w:val="22"/>
          <w:u w:color="0000FF"/>
          <w:lang w:val="en-GB"/>
        </w:rPr>
        <w:t xml:space="preserve">dvances in </w:t>
      </w:r>
      <w:r>
        <w:rPr>
          <w:rFonts w:ascii="Calibri" w:hAnsi="Calibri" w:cs="Calibri"/>
          <w:kern w:val="0"/>
          <w:szCs w:val="22"/>
          <w:u w:color="0000FF"/>
          <w:lang w:val="en-GB"/>
        </w:rPr>
        <w:t xml:space="preserve">organ </w:t>
      </w:r>
      <w:r w:rsidRPr="007E1B57">
        <w:rPr>
          <w:rFonts w:ascii="Calibri" w:hAnsi="Calibri" w:cs="Calibri"/>
          <w:kern w:val="0"/>
          <w:szCs w:val="22"/>
          <w:u w:color="0000FF"/>
          <w:lang w:val="en-GB"/>
        </w:rPr>
        <w:t>transplantation medicine</w:t>
      </w:r>
      <w:r>
        <w:rPr>
          <w:rFonts w:ascii="Calibri" w:hAnsi="Calibri" w:cs="Calibri"/>
          <w:kern w:val="0"/>
          <w:szCs w:val="22"/>
          <w:u w:color="0000FF"/>
          <w:lang w:val="en-GB"/>
        </w:rPr>
        <w:t>, for example,</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have led</w:t>
      </w:r>
      <w:r w:rsidRPr="007E1B57">
        <w:rPr>
          <w:rFonts w:ascii="Calibri" w:hAnsi="Calibri" w:cs="Calibri"/>
          <w:kern w:val="0"/>
          <w:szCs w:val="22"/>
          <w:u w:color="0000FF"/>
          <w:lang w:val="en-GB"/>
        </w:rPr>
        <w:t xml:space="preserve"> to improved survival and quality of life</w:t>
      </w:r>
      <w:r>
        <w:rPr>
          <w:rFonts w:ascii="Calibri" w:hAnsi="Calibri" w:cs="Calibri"/>
          <w:kern w:val="0"/>
          <w:szCs w:val="22"/>
          <w:u w:color="0000FF"/>
          <w:lang w:val="en-GB"/>
        </w:rPr>
        <w:t xml:space="preserve"> for organ recipients</w:t>
      </w:r>
      <w:r w:rsidRPr="007E1B57">
        <w:rPr>
          <w:rFonts w:ascii="Calibri" w:hAnsi="Calibri" w:cs="Calibri"/>
          <w:kern w:val="0"/>
          <w:szCs w:val="22"/>
          <w:u w:color="0000FF"/>
          <w:lang w:val="en-GB"/>
        </w:rPr>
        <w:t xml:space="preserve">, even when proceeding with the transplantation of non-ideal organs. There are very few absolute medical exclusions to organ donation with the main contraindication being metastatic cancer. </w:t>
      </w:r>
    </w:p>
    <w:p w14:paraId="776ED224" w14:textId="77777777" w:rsidR="00F77570" w:rsidRDefault="00F77570"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Relevant d</w:t>
      </w:r>
      <w:r w:rsidRPr="007E1B57">
        <w:rPr>
          <w:rFonts w:ascii="Calibri" w:hAnsi="Calibri" w:cs="Calibri"/>
          <w:kern w:val="0"/>
          <w:szCs w:val="22"/>
          <w:u w:color="0000FF"/>
          <w:lang w:val="en-GB"/>
        </w:rPr>
        <w:t>onation staff undertake a careful evaluation of the potential donor that is critically important to the quality, safety, and efficacy of donation. This</w:t>
      </w:r>
      <w:r>
        <w:rPr>
          <w:rFonts w:ascii="Calibri" w:hAnsi="Calibri" w:cs="Calibri"/>
          <w:kern w:val="0"/>
          <w:szCs w:val="22"/>
          <w:u w:color="0000FF"/>
          <w:lang w:val="en-GB"/>
        </w:rPr>
        <w:t xml:space="preserve"> may</w:t>
      </w:r>
      <w:r w:rsidRPr="007E1B57">
        <w:rPr>
          <w:rFonts w:ascii="Calibri" w:hAnsi="Calibri" w:cs="Calibri"/>
          <w:kern w:val="0"/>
          <w:szCs w:val="22"/>
          <w:u w:color="0000FF"/>
          <w:lang w:val="en-GB"/>
        </w:rPr>
        <w:t xml:space="preserve"> include obtaining a thorough health, lifestyle, and travel history of the donor from the next-of-kin, performing a clinical examination, and undertaking additional tests including blood testing for infectious diseases and </w:t>
      </w:r>
      <w:r w:rsidRPr="007E1B57">
        <w:rPr>
          <w:rFonts w:ascii="Calibri" w:hAnsi="Calibri" w:cs="Calibri"/>
          <w:kern w:val="0"/>
          <w:szCs w:val="22"/>
          <w:u w:color="0000FF"/>
          <w:lang w:val="en-GB"/>
        </w:rPr>
        <w:lastRenderedPageBreak/>
        <w:t xml:space="preserve">radiological investigations. </w:t>
      </w:r>
      <w:r>
        <w:rPr>
          <w:rFonts w:ascii="Calibri" w:hAnsi="Calibri" w:cs="Calibri"/>
          <w:kern w:val="0"/>
          <w:szCs w:val="22"/>
          <w:u w:color="0000FF"/>
          <w:lang w:val="en-GB"/>
        </w:rPr>
        <w:t xml:space="preserve">The potential donor’s </w:t>
      </w:r>
      <w:r w:rsidRPr="007E1B57">
        <w:rPr>
          <w:rFonts w:ascii="Calibri" w:hAnsi="Calibri" w:cs="Calibri"/>
          <w:kern w:val="0"/>
          <w:szCs w:val="22"/>
          <w:u w:color="0000FF"/>
          <w:lang w:val="en-GB"/>
        </w:rPr>
        <w:t xml:space="preserve">medical records </w:t>
      </w:r>
      <w:r>
        <w:rPr>
          <w:rFonts w:ascii="Calibri" w:hAnsi="Calibri" w:cs="Calibri"/>
          <w:kern w:val="0"/>
          <w:szCs w:val="22"/>
          <w:u w:color="0000FF"/>
          <w:lang w:val="en-GB"/>
        </w:rPr>
        <w:t>may be</w:t>
      </w:r>
      <w:r w:rsidRPr="007E1B57">
        <w:rPr>
          <w:rFonts w:ascii="Calibri" w:hAnsi="Calibri" w:cs="Calibri"/>
          <w:kern w:val="0"/>
          <w:szCs w:val="22"/>
          <w:u w:color="0000FF"/>
          <w:lang w:val="en-GB"/>
        </w:rPr>
        <w:t xml:space="preserve"> accessed</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and additional health information </w:t>
      </w:r>
      <w:r>
        <w:rPr>
          <w:rFonts w:ascii="Calibri" w:hAnsi="Calibri" w:cs="Calibri"/>
          <w:kern w:val="0"/>
          <w:szCs w:val="22"/>
          <w:u w:color="0000FF"/>
          <w:lang w:val="en-GB"/>
        </w:rPr>
        <w:t>may be sought</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from</w:t>
      </w:r>
      <w:r w:rsidRPr="007E1B57">
        <w:rPr>
          <w:rFonts w:ascii="Calibri" w:hAnsi="Calibri" w:cs="Calibri"/>
          <w:kern w:val="0"/>
          <w:szCs w:val="22"/>
          <w:u w:color="0000FF"/>
          <w:lang w:val="en-GB"/>
        </w:rPr>
        <w:t xml:space="preserve"> the patient’s general practitioner and other health</w:t>
      </w:r>
      <w:r>
        <w:rPr>
          <w:rFonts w:ascii="Calibri" w:hAnsi="Calibri" w:cs="Calibri"/>
          <w:kern w:val="0"/>
          <w:szCs w:val="22"/>
          <w:u w:color="0000FF"/>
          <w:lang w:val="en-GB"/>
        </w:rPr>
        <w:t>care</w:t>
      </w:r>
      <w:r w:rsidRPr="007E1B57">
        <w:rPr>
          <w:rFonts w:ascii="Calibri" w:hAnsi="Calibri" w:cs="Calibri"/>
          <w:kern w:val="0"/>
          <w:szCs w:val="22"/>
          <w:u w:color="0000FF"/>
          <w:lang w:val="en-GB"/>
        </w:rPr>
        <w:t xml:space="preserve"> providers</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 xml:space="preserve">if necessary, </w:t>
      </w:r>
      <w:r w:rsidRPr="007E1B57">
        <w:rPr>
          <w:rFonts w:ascii="Calibri" w:hAnsi="Calibri" w:cs="Calibri"/>
          <w:kern w:val="0"/>
          <w:szCs w:val="22"/>
          <w:u w:color="0000FF"/>
          <w:lang w:val="en-GB"/>
        </w:rPr>
        <w:t xml:space="preserve">to ensure that a thorough assessment can be made </w:t>
      </w:r>
      <w:r>
        <w:rPr>
          <w:rFonts w:ascii="Calibri" w:hAnsi="Calibri" w:cs="Calibri"/>
          <w:kern w:val="0"/>
          <w:szCs w:val="22"/>
          <w:u w:color="0000FF"/>
          <w:lang w:val="en-GB"/>
        </w:rPr>
        <w:t>of</w:t>
      </w:r>
      <w:r w:rsidRPr="007E1B57">
        <w:rPr>
          <w:rFonts w:ascii="Calibri" w:hAnsi="Calibri" w:cs="Calibri"/>
          <w:kern w:val="0"/>
          <w:szCs w:val="22"/>
          <w:u w:color="0000FF"/>
          <w:lang w:val="en-GB"/>
        </w:rPr>
        <w:t xml:space="preserve"> donor suitability</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w:t>
      </w:r>
    </w:p>
    <w:p w14:paraId="662BDF16" w14:textId="372091CA" w:rsidR="00F77570" w:rsidRPr="00F77570" w:rsidRDefault="00F77570" w:rsidP="00EA22AE">
      <w:pPr>
        <w:spacing w:after="120"/>
        <w:rPr>
          <w:rFonts w:ascii="Calibri" w:hAnsi="Calibri" w:cs="Calibri"/>
          <w:sz w:val="22"/>
          <w:szCs w:val="22"/>
        </w:rPr>
      </w:pPr>
      <w:bookmarkStart w:id="342" w:name="_Hlk113358060"/>
      <w:r w:rsidRPr="00F77570">
        <w:rPr>
          <w:rFonts w:ascii="Calibri" w:hAnsi="Calibri" w:cs="Calibri"/>
          <w:sz w:val="22"/>
          <w:szCs w:val="22"/>
        </w:rPr>
        <w:t xml:space="preserve">Any tests are conducted with the agreement of the family after suitable explanations and may occur after (in DNDD) or before (in DCDD) death is certified. </w:t>
      </w:r>
      <w:bookmarkEnd w:id="342"/>
    </w:p>
    <w:p w14:paraId="7CB64480" w14:textId="439FB96F" w:rsidR="00F77570" w:rsidRPr="007E1B57" w:rsidRDefault="00F7757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The ‘donor work-up’ process that includes all these steps can take many hours. </w:t>
      </w:r>
      <w:r w:rsidRPr="006720E4">
        <w:rPr>
          <w:rFonts w:ascii="Calibri" w:hAnsi="Calibri" w:cs="Calibri"/>
        </w:rPr>
        <w:t xml:space="preserve">Liaison with donation medical specialists, transplant specialists, and other experts may occur if advice on specific disease risks is required. </w:t>
      </w:r>
      <w:r w:rsidRPr="007E1B57">
        <w:rPr>
          <w:rFonts w:ascii="Calibri" w:hAnsi="Calibri" w:cs="Calibri"/>
          <w:kern w:val="0"/>
          <w:szCs w:val="22"/>
          <w:u w:color="0000FF"/>
          <w:lang w:val="en-GB"/>
        </w:rPr>
        <w:t xml:space="preserve">There must be a reasonable prospect of at least one organ being transplantable before the decision is made to proceed to </w:t>
      </w:r>
      <w:r>
        <w:rPr>
          <w:rFonts w:ascii="Calibri" w:hAnsi="Calibri" w:cs="Calibri"/>
          <w:kern w:val="0"/>
          <w:szCs w:val="22"/>
          <w:u w:color="0000FF"/>
          <w:lang w:val="en-GB"/>
        </w:rPr>
        <w:t xml:space="preserve">organ </w:t>
      </w:r>
      <w:r w:rsidRPr="007E1B57">
        <w:rPr>
          <w:rFonts w:ascii="Calibri" w:hAnsi="Calibri" w:cs="Calibri"/>
          <w:kern w:val="0"/>
          <w:szCs w:val="22"/>
          <w:u w:color="0000FF"/>
          <w:lang w:val="en-GB"/>
        </w:rPr>
        <w:t xml:space="preserve">retrieval surgery. The scheduling of the </w:t>
      </w:r>
      <w:r>
        <w:rPr>
          <w:rFonts w:ascii="Calibri" w:hAnsi="Calibri" w:cs="Calibri"/>
          <w:kern w:val="0"/>
          <w:szCs w:val="22"/>
          <w:u w:color="0000FF"/>
          <w:lang w:val="en-GB"/>
        </w:rPr>
        <w:t xml:space="preserve">organ </w:t>
      </w:r>
      <w:r w:rsidRPr="007E1B57">
        <w:rPr>
          <w:rFonts w:ascii="Calibri" w:hAnsi="Calibri" w:cs="Calibri"/>
          <w:kern w:val="0"/>
          <w:szCs w:val="22"/>
          <w:u w:color="0000FF"/>
          <w:lang w:val="en-GB"/>
        </w:rPr>
        <w:t>donation operation is influenced by access to the operating theatre at the donor hospital, and the availability of the surgical retrieval team(s) who usually travel from the transplant hospital(s). This can typically mean a 24 hour or longer period between the family approach to offer donation and the donation surgery.</w:t>
      </w:r>
    </w:p>
    <w:p w14:paraId="04E0AA31" w14:textId="1018D553" w:rsidR="006C6EBA" w:rsidRPr="00EB088B" w:rsidRDefault="006C6EBA" w:rsidP="00EB088B">
      <w:pPr>
        <w:pStyle w:val="Heading3"/>
      </w:pPr>
      <w:bookmarkStart w:id="343" w:name="_Donor_Management_and"/>
      <w:bookmarkEnd w:id="343"/>
      <w:r w:rsidRPr="00EB088B">
        <w:t xml:space="preserve">Donor </w:t>
      </w:r>
      <w:r w:rsidR="00FD182A" w:rsidRPr="00EB088B">
        <w:t>m</w:t>
      </w:r>
      <w:r w:rsidRPr="00EB088B">
        <w:t xml:space="preserve">anagement and end-of-life care </w:t>
      </w:r>
    </w:p>
    <w:p w14:paraId="17E84E4D" w14:textId="6683F75A" w:rsidR="00A87539" w:rsidRDefault="006C6EBA" w:rsidP="00EA22AE">
      <w:pPr>
        <w:spacing w:after="120"/>
        <w:rPr>
          <w:rFonts w:ascii="Calibri" w:hAnsi="Calibri" w:cs="Calibri"/>
          <w:sz w:val="22"/>
          <w:szCs w:val="22"/>
        </w:rPr>
      </w:pPr>
      <w:r w:rsidRPr="00F77570">
        <w:rPr>
          <w:rFonts w:ascii="Calibri" w:hAnsi="Calibri" w:cs="Calibri"/>
          <w:sz w:val="22"/>
          <w:szCs w:val="22"/>
        </w:rPr>
        <w:t>The development and sequalae of</w:t>
      </w:r>
      <w:r w:rsidR="00FA7E20">
        <w:rPr>
          <w:rFonts w:ascii="Calibri" w:hAnsi="Calibri" w:cs="Calibri"/>
          <w:sz w:val="22"/>
          <w:szCs w:val="22"/>
        </w:rPr>
        <w:t xml:space="preserve"> neurological death</w:t>
      </w:r>
      <w:r w:rsidRPr="00F77570">
        <w:rPr>
          <w:rFonts w:ascii="Calibri" w:hAnsi="Calibri" w:cs="Calibri"/>
          <w:sz w:val="22"/>
          <w:szCs w:val="22"/>
        </w:rPr>
        <w:t xml:space="preserve"> can be associated with physiological changes that require careful monitoring and supportive treatment. It is usual for treatments to be maintained or even increased in order to preserve the possibility of donation. Where donation will occur following the circulatory determination of death, it is equally important that careful and expert intensive care treatment continue up until the time of withdrawal of treatment for planned DCDD. </w:t>
      </w:r>
    </w:p>
    <w:p w14:paraId="39EDBFB7" w14:textId="2DC0D28B" w:rsidR="006C6EBA" w:rsidRDefault="006C6EBA" w:rsidP="00EA22AE">
      <w:pPr>
        <w:spacing w:after="120"/>
        <w:rPr>
          <w:rFonts w:ascii="Calibri" w:hAnsi="Calibri" w:cs="Calibri"/>
          <w:sz w:val="22"/>
          <w:szCs w:val="22"/>
        </w:rPr>
      </w:pPr>
      <w:r w:rsidRPr="00F77570">
        <w:rPr>
          <w:rFonts w:ascii="Calibri" w:hAnsi="Calibri" w:cs="Calibri"/>
          <w:sz w:val="22"/>
          <w:szCs w:val="22"/>
        </w:rPr>
        <w:t>This approach continues until it is appropriate for donation to be raised with the family. If the family decline donation, supportive treatments are ceased at an agreed time with the family present and it is then that the person’s circulation will stop, noting that the time of death is earlier if neurological determination of death has occurred. If the family agree to donation, treatment will continue in intensive care until the donor assessment and work up is complete and the organ donation surgery can be commenced.</w:t>
      </w:r>
    </w:p>
    <w:p w14:paraId="1D30B5F3" w14:textId="5959DFC2" w:rsidR="00A87539" w:rsidRPr="00F77570" w:rsidRDefault="00A87539" w:rsidP="00EA22AE">
      <w:pPr>
        <w:spacing w:after="120"/>
        <w:rPr>
          <w:rFonts w:ascii="Calibri" w:hAnsi="Calibri" w:cs="Calibri"/>
          <w:sz w:val="22"/>
          <w:szCs w:val="22"/>
        </w:rPr>
      </w:pPr>
      <w:r w:rsidRPr="00A87539">
        <w:rPr>
          <w:rFonts w:ascii="Calibri" w:hAnsi="Calibri" w:cs="Calibri"/>
          <w:sz w:val="22"/>
          <w:szCs w:val="22"/>
          <w:u w:color="0000FF"/>
          <w:lang w:val="en-GB"/>
        </w:rPr>
        <w:t>Treatments that are continued or procedures undertaken before death for the specific purpose of facilitating organ donation, may be described as “</w:t>
      </w:r>
      <w:r w:rsidRPr="00A87539">
        <w:rPr>
          <w:rFonts w:ascii="Calibri" w:hAnsi="Calibri" w:cs="Calibri"/>
          <w:b/>
          <w:bCs/>
          <w:sz w:val="22"/>
          <w:szCs w:val="22"/>
          <w:u w:color="0000FF"/>
          <w:lang w:val="en-GB"/>
        </w:rPr>
        <w:t>premortem interventions</w:t>
      </w:r>
      <w:r w:rsidRPr="00A87539">
        <w:rPr>
          <w:rFonts w:ascii="Calibri" w:hAnsi="Calibri" w:cs="Calibri"/>
          <w:sz w:val="22"/>
          <w:szCs w:val="22"/>
          <w:u w:color="0000FF"/>
          <w:lang w:val="en-GB"/>
        </w:rPr>
        <w:t>” for donation.</w:t>
      </w:r>
      <w:r w:rsidRPr="00A87539">
        <w:rPr>
          <w:rFonts w:ascii="Calibri" w:hAnsi="Calibri" w:cs="Calibri"/>
          <w:sz w:val="22"/>
          <w:szCs w:val="22"/>
        </w:rPr>
        <w:t xml:space="preserve"> These treatments</w:t>
      </w:r>
      <w:r w:rsidRPr="00F77570">
        <w:rPr>
          <w:rFonts w:ascii="Calibri" w:hAnsi="Calibri" w:cs="Calibri"/>
          <w:sz w:val="22"/>
          <w:szCs w:val="22"/>
        </w:rPr>
        <w:t xml:space="preserve"> include mechanical ventilation, the use of intravenous fluids and medications to support blood pressure and circulation, as well as other general treatments that are standard in intensive care. </w:t>
      </w:r>
    </w:p>
    <w:p w14:paraId="70E0A5DF" w14:textId="5378DE90" w:rsidR="006C6EBA" w:rsidRPr="00F77570" w:rsidRDefault="006C6EBA" w:rsidP="00EA22AE">
      <w:pPr>
        <w:spacing w:after="120"/>
        <w:rPr>
          <w:rFonts w:ascii="Calibri" w:hAnsi="Calibri" w:cs="Calibri"/>
          <w:sz w:val="22"/>
          <w:szCs w:val="22"/>
        </w:rPr>
      </w:pPr>
      <w:r w:rsidRPr="00F77570">
        <w:rPr>
          <w:rFonts w:ascii="Calibri" w:hAnsi="Calibri" w:cs="Calibri"/>
          <w:sz w:val="22"/>
          <w:szCs w:val="22"/>
        </w:rPr>
        <w:t>In DCDD cases, pre-mortem interventions are sometimes viewed more narrowly as those targeted at limiting ischaemic damage to transplantable organs, such as the administration of a blood thinner medication just prior to death to reduce blood clots forming in organs for transplantation. Laws relevant to consent for pre-mortem interventions are not uniform in Australia</w:t>
      </w:r>
      <w:r w:rsidR="00A87539">
        <w:rPr>
          <w:rFonts w:ascii="Calibri" w:hAnsi="Calibri" w:cs="Calibri"/>
          <w:sz w:val="22"/>
          <w:szCs w:val="22"/>
        </w:rPr>
        <w:t xml:space="preserve"> (see </w:t>
      </w:r>
      <w:hyperlink w:anchor="_Legal_aspects_of_2" w:history="1">
        <w:r w:rsidR="00A87539" w:rsidRPr="006720E4">
          <w:rPr>
            <w:rStyle w:val="Hyperlink"/>
            <w:rFonts w:ascii="Calibri" w:hAnsi="Calibri" w:cs="Calibri"/>
            <w:sz w:val="22"/>
            <w:szCs w:val="22"/>
          </w:rPr>
          <w:t>Chapter 11.4.1</w:t>
        </w:r>
      </w:hyperlink>
      <w:r w:rsidR="00A87539" w:rsidRPr="006720E4">
        <w:rPr>
          <w:rFonts w:ascii="Calibri" w:hAnsi="Calibri" w:cs="Calibri"/>
          <w:sz w:val="22"/>
          <w:szCs w:val="22"/>
        </w:rPr>
        <w:t>)</w:t>
      </w:r>
      <w:r w:rsidRPr="00F77570">
        <w:rPr>
          <w:rFonts w:ascii="Calibri" w:hAnsi="Calibri" w:cs="Calibri"/>
          <w:sz w:val="22"/>
          <w:szCs w:val="22"/>
        </w:rPr>
        <w:t xml:space="preserve">. Clinicians must ensure </w:t>
      </w:r>
      <w:r w:rsidRPr="00A87539">
        <w:rPr>
          <w:rFonts w:ascii="Calibri" w:hAnsi="Calibri" w:cs="Calibri"/>
          <w:sz w:val="22"/>
          <w:szCs w:val="22"/>
        </w:rPr>
        <w:t xml:space="preserve">that pre-mortem interventions comply with jurisdictional legislation, guidelines, and hospital protocols. See </w:t>
      </w:r>
      <w:hyperlink w:anchor="_Pre-mortem_interventions_for_1" w:history="1">
        <w:r w:rsidR="00A87539" w:rsidRPr="00A87539">
          <w:rPr>
            <w:rStyle w:val="Hyperlink"/>
            <w:rFonts w:ascii="Calibri" w:hAnsi="Calibri" w:cs="Calibri"/>
            <w:sz w:val="22"/>
            <w:szCs w:val="22"/>
          </w:rPr>
          <w:t>Chapter 11.4</w:t>
        </w:r>
      </w:hyperlink>
      <w:r w:rsidR="00A87539" w:rsidRPr="00A87539">
        <w:rPr>
          <w:rFonts w:ascii="Calibri" w:hAnsi="Calibri" w:cs="Calibri"/>
          <w:sz w:val="22"/>
          <w:szCs w:val="22"/>
        </w:rPr>
        <w:t xml:space="preserve"> </w:t>
      </w:r>
      <w:r w:rsidRPr="00A87539">
        <w:rPr>
          <w:rFonts w:ascii="Calibri" w:hAnsi="Calibri" w:cs="Calibri"/>
          <w:sz w:val="22"/>
          <w:szCs w:val="22"/>
        </w:rPr>
        <w:t>for a discussion of ethical considerations relating to pre-mortem interventions for donation.</w:t>
      </w:r>
    </w:p>
    <w:p w14:paraId="634C582C" w14:textId="77777777" w:rsidR="00041D69" w:rsidRDefault="00A87539" w:rsidP="00EA22AE">
      <w:pPr>
        <w:spacing w:after="120"/>
        <w:rPr>
          <w:rFonts w:ascii="Calibri" w:hAnsi="Calibri" w:cs="Calibri"/>
          <w:sz w:val="22"/>
          <w:szCs w:val="22"/>
        </w:rPr>
      </w:pPr>
      <w:r w:rsidRPr="00041D69">
        <w:rPr>
          <w:rFonts w:ascii="Calibri" w:hAnsi="Calibri" w:cs="Calibri"/>
          <w:sz w:val="22"/>
          <w:szCs w:val="22"/>
        </w:rPr>
        <w:t>When treatment is withdrawn (ceased) in</w:t>
      </w:r>
      <w:r w:rsidR="006C6EBA" w:rsidRPr="00041D69">
        <w:rPr>
          <w:rFonts w:ascii="Calibri" w:hAnsi="Calibri" w:cs="Calibri"/>
          <w:sz w:val="22"/>
          <w:szCs w:val="22"/>
        </w:rPr>
        <w:t xml:space="preserve"> DCDD cases</w:t>
      </w:r>
      <w:r w:rsidRPr="00041D69">
        <w:rPr>
          <w:rFonts w:ascii="Calibri" w:hAnsi="Calibri" w:cs="Calibri"/>
          <w:sz w:val="22"/>
          <w:szCs w:val="22"/>
        </w:rPr>
        <w:t>,</w:t>
      </w:r>
      <w:r w:rsidR="006C6EBA" w:rsidRPr="00041D69">
        <w:rPr>
          <w:rFonts w:ascii="Calibri" w:hAnsi="Calibri" w:cs="Calibri"/>
          <w:sz w:val="22"/>
          <w:szCs w:val="22"/>
        </w:rPr>
        <w:t xml:space="preserve"> i</w:t>
      </w:r>
      <w:r w:rsidRPr="00041D69">
        <w:rPr>
          <w:rFonts w:ascii="Calibri" w:hAnsi="Calibri" w:cs="Calibri"/>
          <w:sz w:val="22"/>
          <w:szCs w:val="22"/>
        </w:rPr>
        <w:t>t is usual practice for</w:t>
      </w:r>
      <w:r w:rsidR="006C6EBA" w:rsidRPr="00041D69">
        <w:rPr>
          <w:rFonts w:ascii="Calibri" w:hAnsi="Calibri" w:cs="Calibri"/>
          <w:sz w:val="22"/>
          <w:szCs w:val="22"/>
        </w:rPr>
        <w:t xml:space="preserve"> there to be simultaneous cessation of mechanical ventilatory support, usually with removal of the breathing tube, along with ceasing any intravenous infusions being administered to support the circulation. Staff associated with retrieval teams or transplant units have no role in guiding any aspects of this care. Donation and treating healthcare staff continue to monitor and observe the patient and provide support to family if they have chosen to be present. </w:t>
      </w:r>
    </w:p>
    <w:p w14:paraId="75484668" w14:textId="1D589FA3" w:rsidR="006C6EBA" w:rsidRPr="00041D69" w:rsidRDefault="006C6EBA" w:rsidP="00EA22AE">
      <w:pPr>
        <w:spacing w:after="120"/>
        <w:rPr>
          <w:rFonts w:ascii="Calibri" w:hAnsi="Calibri" w:cs="Calibri"/>
          <w:sz w:val="22"/>
          <w:szCs w:val="22"/>
        </w:rPr>
      </w:pPr>
      <w:r w:rsidRPr="00041D69">
        <w:rPr>
          <w:rFonts w:ascii="Calibri" w:hAnsi="Calibri" w:cs="Calibri"/>
          <w:sz w:val="22"/>
          <w:szCs w:val="22"/>
        </w:rPr>
        <w:t xml:space="preserve">Once circulatory arrest has been observed for five minutes, an attending doctor formally examines the patient and declares death, and the deceased patient is moved to the operating theatre. If death does not occur within the timeframe required for successful organ donation and transplantation, the </w:t>
      </w:r>
      <w:r w:rsidRPr="00041D69">
        <w:rPr>
          <w:rFonts w:ascii="Calibri" w:hAnsi="Calibri" w:cs="Calibri"/>
          <w:sz w:val="22"/>
          <w:szCs w:val="22"/>
        </w:rPr>
        <w:lastRenderedPageBreak/>
        <w:t xml:space="preserve">family are informed, and end-of-life care continues to be provided by attending staff. Eye and tissue donation may still be possible. </w:t>
      </w:r>
    </w:p>
    <w:p w14:paraId="70C20149" w14:textId="77777777" w:rsidR="006C6EBA" w:rsidRPr="00EB088B" w:rsidRDefault="006C6EBA" w:rsidP="00EB088B">
      <w:pPr>
        <w:pStyle w:val="Heading3"/>
      </w:pPr>
      <w:bookmarkStart w:id="344" w:name="_Matching_and_allocation"/>
      <w:bookmarkEnd w:id="344"/>
      <w:r w:rsidRPr="00EB088B">
        <w:t xml:space="preserve">Matching and allocation of organs to recipients </w:t>
      </w:r>
    </w:p>
    <w:p w14:paraId="786FC54C" w14:textId="77777777" w:rsidR="00041D69" w:rsidRPr="00041D69" w:rsidRDefault="006C6EBA" w:rsidP="00EA22AE">
      <w:pPr>
        <w:pStyle w:val="Guidelinesnormalparagraph"/>
        <w:rPr>
          <w:rFonts w:ascii="Calibri" w:hAnsi="Calibri" w:cs="Calibri"/>
          <w:kern w:val="0"/>
          <w:szCs w:val="22"/>
          <w:u w:color="0000FF"/>
          <w:lang w:val="en-GB"/>
        </w:rPr>
      </w:pPr>
      <w:r w:rsidRPr="006720E4">
        <w:rPr>
          <w:rFonts w:ascii="Calibri" w:hAnsi="Calibri" w:cs="Calibri"/>
          <w:color w:val="192228"/>
          <w:sz w:val="24"/>
        </w:rPr>
        <w:t xml:space="preserve">The organ allocation process is designed to provide the greatest benefit from available organs </w:t>
      </w:r>
      <w:r w:rsidRPr="006720E4">
        <w:rPr>
          <w:rFonts w:ascii="Calibri" w:hAnsi="Calibri" w:cs="Calibri"/>
          <w:color w:val="211D1E"/>
          <w:sz w:val="24"/>
        </w:rPr>
        <w:t xml:space="preserve">while also considering </w:t>
      </w:r>
      <w:r w:rsidRPr="006720E4">
        <w:rPr>
          <w:rFonts w:ascii="Calibri" w:hAnsi="Calibri" w:cs="Calibri"/>
          <w:color w:val="192228"/>
          <w:sz w:val="24"/>
        </w:rPr>
        <w:t xml:space="preserve">equity of access to transplantation. </w:t>
      </w:r>
      <w:r w:rsidR="00041D69" w:rsidRPr="007E1B57">
        <w:rPr>
          <w:rFonts w:ascii="Calibri" w:hAnsi="Calibri" w:cs="Calibri"/>
          <w:kern w:val="0"/>
          <w:szCs w:val="22"/>
          <w:u w:color="0000FF"/>
          <w:lang w:val="en-GB"/>
        </w:rPr>
        <w:t>The allocation process is a complex and time-critical process influenced by a range of factors including</w:t>
      </w:r>
      <w:r w:rsidR="00041D69">
        <w:rPr>
          <w:rFonts w:ascii="Calibri" w:hAnsi="Calibri" w:cs="Calibri"/>
          <w:kern w:val="0"/>
          <w:szCs w:val="22"/>
          <w:u w:color="0000FF"/>
          <w:lang w:val="en-GB"/>
        </w:rPr>
        <w:t xml:space="preserve"> characteristics of potential transplant recipients – “transplant candidates” – such as</w:t>
      </w:r>
      <w:r w:rsidR="00041D69" w:rsidRPr="007E1B57">
        <w:rPr>
          <w:rFonts w:ascii="Calibri" w:hAnsi="Calibri" w:cs="Calibri"/>
          <w:kern w:val="0"/>
          <w:szCs w:val="22"/>
          <w:u w:color="0000FF"/>
          <w:lang w:val="en-GB"/>
        </w:rPr>
        <w:t xml:space="preserve"> medical need, urgency, wait list </w:t>
      </w:r>
      <w:r w:rsidR="00041D69" w:rsidRPr="00041D69">
        <w:rPr>
          <w:rFonts w:ascii="Calibri" w:hAnsi="Calibri" w:cs="Calibri"/>
          <w:kern w:val="0"/>
          <w:szCs w:val="22"/>
          <w:u w:color="0000FF"/>
          <w:lang w:val="en-GB"/>
        </w:rPr>
        <w:t xml:space="preserve">time; donor/recipient suitability; and logistics. </w:t>
      </w:r>
    </w:p>
    <w:p w14:paraId="5DB830F3" w14:textId="72F0EE5D" w:rsidR="006C6EBA" w:rsidRPr="00041D69" w:rsidRDefault="006C6EBA" w:rsidP="00EA22AE">
      <w:pPr>
        <w:pStyle w:val="NormalWeb"/>
        <w:shd w:val="clear" w:color="auto" w:fill="FFFFFF"/>
        <w:spacing w:before="0" w:beforeAutospacing="0" w:after="120" w:afterAutospacing="0"/>
        <w:rPr>
          <w:rFonts w:cs="Calibri"/>
          <w:color w:val="192228"/>
          <w:szCs w:val="22"/>
        </w:rPr>
      </w:pPr>
      <w:r w:rsidRPr="00041D69">
        <w:rPr>
          <w:rFonts w:cs="Calibri"/>
          <w:color w:val="192228"/>
          <w:szCs w:val="22"/>
        </w:rPr>
        <w:t xml:space="preserve">Organ allocation takes no account of race, religion, gender, social status, disability or age (unless age is relevant to the organ matching criteria). </w:t>
      </w:r>
    </w:p>
    <w:p w14:paraId="4B581F46" w14:textId="5FF6345B" w:rsidR="00041D69" w:rsidRDefault="006C6EBA" w:rsidP="00EA22AE">
      <w:pPr>
        <w:pStyle w:val="NormalWeb"/>
        <w:shd w:val="clear" w:color="auto" w:fill="FFFFFF"/>
        <w:spacing w:before="0" w:beforeAutospacing="0" w:after="120" w:afterAutospacing="0"/>
        <w:rPr>
          <w:rFonts w:cs="Calibri"/>
          <w:color w:val="192228"/>
          <w:szCs w:val="22"/>
        </w:rPr>
      </w:pPr>
      <w:r w:rsidRPr="00041D69">
        <w:rPr>
          <w:rFonts w:cs="Calibri"/>
          <w:color w:val="192228"/>
          <w:szCs w:val="22"/>
        </w:rPr>
        <w:t>Specific criteria for the allocation of organs have been developed by professional groups to ensure an equitable and transparent access to transplantation.</w:t>
      </w:r>
      <w:r w:rsidR="00041D69" w:rsidRPr="00041D69">
        <w:rPr>
          <w:rFonts w:cs="Calibri"/>
          <w:color w:val="000000" w:themeColor="text1"/>
          <w:szCs w:val="22"/>
        </w:rPr>
        <w:fldChar w:fldCharType="begin" w:fldLock="1"/>
      </w:r>
      <w:r w:rsidR="000B7242">
        <w:rPr>
          <w:rFonts w:cs="Calibri"/>
          <w:color w:val="000000" w:themeColor="text1"/>
          <w:szCs w:val="22"/>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00041D69" w:rsidRPr="00041D69">
        <w:rPr>
          <w:rFonts w:cs="Calibri"/>
          <w:color w:val="000000" w:themeColor="text1"/>
          <w:szCs w:val="22"/>
        </w:rPr>
        <w:fldChar w:fldCharType="separate"/>
      </w:r>
      <w:r w:rsidR="00041D69" w:rsidRPr="00041D69">
        <w:rPr>
          <w:rFonts w:cs="Calibri"/>
          <w:noProof/>
          <w:color w:val="000000" w:themeColor="text1"/>
          <w:szCs w:val="22"/>
        </w:rPr>
        <w:t>(12)</w:t>
      </w:r>
      <w:r w:rsidR="00041D69" w:rsidRPr="00041D69">
        <w:rPr>
          <w:rFonts w:cs="Calibri"/>
          <w:color w:val="000000" w:themeColor="text1"/>
          <w:szCs w:val="22"/>
        </w:rPr>
        <w:fldChar w:fldCharType="end"/>
      </w:r>
      <w:r w:rsidRPr="00041D69">
        <w:rPr>
          <w:rFonts w:cs="Calibri"/>
          <w:color w:val="192228"/>
          <w:szCs w:val="22"/>
        </w:rPr>
        <w:t xml:space="preserve"> Organs such as the heart, lungs, liver and pancreas are matched to recipients by blood group, size, compatibility and urgency. There is national allocation mechanism that prioritises for ‘urgent’ listed patients with a high risk of imminent death. </w:t>
      </w:r>
    </w:p>
    <w:p w14:paraId="2C20B12B" w14:textId="635EEA87" w:rsidR="00041D69" w:rsidRPr="00041D69" w:rsidRDefault="006C6EBA" w:rsidP="00EA22AE">
      <w:pPr>
        <w:pStyle w:val="NormalWeb"/>
        <w:shd w:val="clear" w:color="auto" w:fill="FFFFFF"/>
        <w:spacing w:before="0" w:beforeAutospacing="0" w:after="120" w:afterAutospacing="0"/>
        <w:rPr>
          <w:rFonts w:cs="Calibri"/>
          <w:color w:val="000000" w:themeColor="text1"/>
          <w:szCs w:val="22"/>
        </w:rPr>
      </w:pPr>
      <w:r w:rsidRPr="00041D69">
        <w:rPr>
          <w:rFonts w:cs="Calibri"/>
          <w:color w:val="192228"/>
          <w:szCs w:val="22"/>
        </w:rPr>
        <w:t>Kidneys are matched according to blood group and immunological compatibility, urgency, wait list time and more recently “survival matching”. Survival matching involves preferentially allocating better quality donor kidneys to recipients predicted to have a longer life-expectancy after transplantation, and donor kidneys with shorter estimated survival to recipients predicted to have a shorter life expectancy.</w:t>
      </w:r>
      <w:r w:rsidRPr="00041D69">
        <w:rPr>
          <w:rFonts w:cs="Calibri"/>
          <w:color w:val="000000" w:themeColor="text1"/>
          <w:szCs w:val="22"/>
        </w:rPr>
        <w:t xml:space="preserve"> </w:t>
      </w:r>
    </w:p>
    <w:p w14:paraId="5C572E81" w14:textId="6E17699E" w:rsidR="00041D69" w:rsidRPr="00041D69" w:rsidRDefault="006C6EBA" w:rsidP="00EA22AE">
      <w:pPr>
        <w:pStyle w:val="NormalWeb"/>
        <w:shd w:val="clear" w:color="auto" w:fill="FFFFFF"/>
        <w:spacing w:before="0" w:beforeAutospacing="0" w:after="120" w:afterAutospacing="0"/>
        <w:rPr>
          <w:rFonts w:cs="Calibri"/>
          <w:color w:val="000000" w:themeColor="text1"/>
          <w:szCs w:val="22"/>
        </w:rPr>
      </w:pPr>
      <w:proofErr w:type="spellStart"/>
      <w:r w:rsidRPr="00041D69">
        <w:rPr>
          <w:rFonts w:cs="Calibri"/>
          <w:color w:val="000000" w:themeColor="text1"/>
          <w:szCs w:val="22"/>
        </w:rPr>
        <w:t>OrganMatch</w:t>
      </w:r>
      <w:proofErr w:type="spellEnd"/>
      <w:r w:rsidRPr="00041D69">
        <w:rPr>
          <w:rFonts w:cs="Calibri"/>
          <w:color w:val="000000" w:themeColor="text1"/>
          <w:szCs w:val="22"/>
        </w:rPr>
        <w:t>® is a recently developed electronic system in Australia that manages transplant waiting lists and enables optimal matching and allocation of organs according to the agreed criteria.</w:t>
      </w:r>
      <w:r w:rsidR="00041D69" w:rsidRPr="00041D69">
        <w:rPr>
          <w:rFonts w:cs="Calibri"/>
          <w:color w:val="000000" w:themeColor="text1"/>
          <w:szCs w:val="22"/>
        </w:rPr>
        <w:fldChar w:fldCharType="begin" w:fldLock="1"/>
      </w:r>
      <w:r w:rsidR="000B7242">
        <w:rPr>
          <w:rFonts w:cs="Calibri"/>
          <w:color w:val="000000" w:themeColor="text1"/>
          <w:szCs w:val="22"/>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00041D69" w:rsidRPr="00041D69">
        <w:rPr>
          <w:rFonts w:cs="Calibri"/>
          <w:color w:val="000000" w:themeColor="text1"/>
          <w:szCs w:val="22"/>
        </w:rPr>
        <w:fldChar w:fldCharType="separate"/>
      </w:r>
      <w:r w:rsidR="00041D69" w:rsidRPr="00041D69">
        <w:rPr>
          <w:rFonts w:cs="Calibri"/>
          <w:noProof/>
          <w:color w:val="000000" w:themeColor="text1"/>
          <w:szCs w:val="22"/>
        </w:rPr>
        <w:t>(12)</w:t>
      </w:r>
      <w:r w:rsidR="00041D69" w:rsidRPr="00041D69">
        <w:rPr>
          <w:rFonts w:cs="Calibri"/>
          <w:color w:val="000000" w:themeColor="text1"/>
          <w:szCs w:val="22"/>
        </w:rPr>
        <w:fldChar w:fldCharType="end"/>
      </w:r>
    </w:p>
    <w:p w14:paraId="2D5631FC" w14:textId="77777777" w:rsidR="006C6EBA" w:rsidRPr="00EB088B" w:rsidRDefault="006C6EBA" w:rsidP="00EB088B">
      <w:pPr>
        <w:pStyle w:val="Heading3"/>
      </w:pPr>
      <w:bookmarkStart w:id="345" w:name="_Organ_retrieval_surgery,"/>
      <w:bookmarkEnd w:id="345"/>
      <w:r w:rsidRPr="00EB088B">
        <w:t xml:space="preserve">Organ retrieval surgery, organ packaging and transplantation </w:t>
      </w:r>
    </w:p>
    <w:p w14:paraId="5EC86464" w14:textId="77777777" w:rsidR="006C6EBA" w:rsidRPr="00041D69" w:rsidRDefault="006C6EBA" w:rsidP="00EA22AE">
      <w:pPr>
        <w:pStyle w:val="Pa4"/>
        <w:spacing w:after="120" w:line="240" w:lineRule="auto"/>
        <w:rPr>
          <w:rFonts w:ascii="Calibri" w:hAnsi="Calibri" w:cs="Calibri"/>
          <w:sz w:val="22"/>
          <w:szCs w:val="22"/>
        </w:rPr>
      </w:pPr>
      <w:r w:rsidRPr="00041D69">
        <w:rPr>
          <w:rFonts w:ascii="Calibri" w:hAnsi="Calibri" w:cs="Calibri"/>
          <w:sz w:val="22"/>
          <w:szCs w:val="22"/>
        </w:rPr>
        <w:t xml:space="preserve">There are processes in place within each state and territory for the mobilisation of surgical retrieval teams who attend the donor hospital operating theatre to undertake the donation surgical procedure. Key staff who attend from transplant units include surgeons, anaesthetists, perfusion technicians and transplant coordinators. Team members from the local donation hospital include theatre nursing staff, operating theatre technicians, anaesthetists and surgical assistants. The donation specialist nurse also attends the retrieval surgery to coordinate the retrieval surgery, including coordinating the retrieval surgery, manage logistical arrangements, documentation of the process and patient advocacy. </w:t>
      </w:r>
    </w:p>
    <w:p w14:paraId="48C033FC" w14:textId="208A5F97" w:rsidR="006C6EBA" w:rsidRPr="00041D69" w:rsidRDefault="006C6EBA" w:rsidP="00EA22AE">
      <w:pPr>
        <w:pStyle w:val="Pa4"/>
        <w:spacing w:after="120" w:line="240" w:lineRule="auto"/>
        <w:rPr>
          <w:rFonts w:ascii="Calibri" w:hAnsi="Calibri" w:cs="Calibri"/>
          <w:sz w:val="22"/>
          <w:szCs w:val="22"/>
        </w:rPr>
      </w:pPr>
      <w:r w:rsidRPr="00041D69">
        <w:rPr>
          <w:rFonts w:ascii="Calibri" w:hAnsi="Calibri" w:cs="Calibri"/>
          <w:sz w:val="22"/>
          <w:szCs w:val="22"/>
        </w:rPr>
        <w:t>During the retrieval surgery, organs are further assessed for suitability by retrieval surgeons in consultation with transplant surgeons and physicians. Arrangements for the transportation of organs are made according to the organ type and whether organs are for local use or for transport interstate or between Australia and New Zealand</w:t>
      </w:r>
      <w:r w:rsidR="00041D69">
        <w:rPr>
          <w:rFonts w:ascii="Calibri" w:hAnsi="Calibri" w:cs="Calibri"/>
          <w:sz w:val="22"/>
          <w:szCs w:val="22"/>
        </w:rPr>
        <w:t xml:space="preserve"> (see </w:t>
      </w:r>
      <w:hyperlink w:anchor="_Regional_self-sufficiency_in" w:history="1">
        <w:r w:rsidR="00041D69" w:rsidRPr="00041D69">
          <w:rPr>
            <w:rStyle w:val="Hyperlink"/>
            <w:rFonts w:ascii="Calibri" w:hAnsi="Calibri" w:cs="Calibri"/>
            <w:sz w:val="22"/>
            <w:szCs w:val="22"/>
          </w:rPr>
          <w:t>Chapter 9.1.2</w:t>
        </w:r>
      </w:hyperlink>
      <w:r w:rsidR="00041D69">
        <w:rPr>
          <w:rFonts w:ascii="Calibri" w:hAnsi="Calibri" w:cs="Calibri"/>
          <w:sz w:val="22"/>
          <w:szCs w:val="22"/>
        </w:rPr>
        <w:t>)</w:t>
      </w:r>
      <w:r w:rsidRPr="00041D69">
        <w:rPr>
          <w:rFonts w:ascii="Calibri" w:hAnsi="Calibri" w:cs="Calibri"/>
          <w:sz w:val="22"/>
          <w:szCs w:val="22"/>
        </w:rPr>
        <w:t>.</w:t>
      </w:r>
    </w:p>
    <w:p w14:paraId="1097145B" w14:textId="77777777" w:rsidR="006C6EBA" w:rsidRPr="00041D69" w:rsidRDefault="006C6EBA" w:rsidP="00EA22AE">
      <w:pPr>
        <w:pStyle w:val="Pa4"/>
        <w:spacing w:after="120" w:line="240" w:lineRule="auto"/>
        <w:rPr>
          <w:rFonts w:ascii="Calibri" w:hAnsi="Calibri" w:cs="Calibri"/>
          <w:sz w:val="22"/>
          <w:szCs w:val="22"/>
        </w:rPr>
      </w:pPr>
      <w:r w:rsidRPr="00041D69">
        <w:rPr>
          <w:rFonts w:ascii="Calibri" w:hAnsi="Calibri" w:cs="Calibri"/>
          <w:sz w:val="22"/>
          <w:szCs w:val="22"/>
        </w:rPr>
        <w:t xml:space="preserve">At completion of the retrieval surgery the operating theatre staff and donation specialist nurses will ensure the deceased has appropriate dressings in place and prepare the deceased for transfer to the mortuary or another suitable viewing area where the family can spend time with their relative if they have elected to do so. The family are advised about the donor’s appearance, which is minimally affected by the donation procedure, and provided with support at the time of the viewing by hospital or donation staff. </w:t>
      </w:r>
    </w:p>
    <w:p w14:paraId="583DC85B" w14:textId="177F8940" w:rsidR="00FD182A" w:rsidRPr="00A5062A" w:rsidRDefault="00041D69"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After</w:t>
      </w:r>
      <w:r w:rsidRPr="007E1B57">
        <w:rPr>
          <w:rFonts w:ascii="Calibri" w:hAnsi="Calibri" w:cs="Calibri"/>
          <w:kern w:val="0"/>
          <w:szCs w:val="22"/>
          <w:u w:color="0000FF"/>
          <w:lang w:val="en-GB"/>
        </w:rPr>
        <w:t xml:space="preserve"> donation</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family follow up and support is offered as per the </w:t>
      </w:r>
      <w:proofErr w:type="spellStart"/>
      <w:r w:rsidRPr="007E1B57">
        <w:rPr>
          <w:rFonts w:ascii="Calibri" w:hAnsi="Calibri" w:cs="Calibri"/>
          <w:kern w:val="0"/>
          <w:szCs w:val="22"/>
          <w:u w:color="0000FF"/>
          <w:lang w:val="en-GB"/>
        </w:rPr>
        <w:t>DonateLife</w:t>
      </w:r>
      <w:proofErr w:type="spellEnd"/>
      <w:r w:rsidRPr="007E1B57">
        <w:rPr>
          <w:rFonts w:ascii="Calibri" w:hAnsi="Calibri" w:cs="Calibri"/>
          <w:kern w:val="0"/>
          <w:szCs w:val="22"/>
          <w:u w:color="0000FF"/>
          <w:lang w:val="en-GB"/>
        </w:rPr>
        <w:t xml:space="preserve"> agency Family Support Service.</w:t>
      </w:r>
    </w:p>
    <w:p w14:paraId="585DB100" w14:textId="65B1274E" w:rsidR="006C6EBA" w:rsidRPr="00EB088B" w:rsidRDefault="006C6EBA" w:rsidP="00EB088B">
      <w:pPr>
        <w:pStyle w:val="Heading2"/>
      </w:pPr>
      <w:bookmarkStart w:id="346" w:name="_Assessment_for_organ"/>
      <w:bookmarkStart w:id="347" w:name="_Toc135131427"/>
      <w:bookmarkEnd w:id="346"/>
      <w:r w:rsidRPr="00EB088B">
        <w:lastRenderedPageBreak/>
        <w:t>Assessment for organ transplant waiting list</w:t>
      </w:r>
      <w:bookmarkEnd w:id="347"/>
      <w:r w:rsidRPr="00EB088B">
        <w:t xml:space="preserve"> </w:t>
      </w:r>
    </w:p>
    <w:p w14:paraId="3B4C0F44" w14:textId="77777777" w:rsidR="00A5062A" w:rsidRPr="007E1B57" w:rsidRDefault="00A5062A"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To be wait-listed for organ transplantation</w:t>
      </w:r>
      <w:r>
        <w:rPr>
          <w:rFonts w:ascii="Calibri" w:hAnsi="Calibri" w:cs="Calibri"/>
          <w:kern w:val="0"/>
          <w:szCs w:val="22"/>
          <w:u w:color="0000FF"/>
          <w:lang w:val="en-GB"/>
        </w:rPr>
        <w:t xml:space="preserve"> from a deceased donor</w:t>
      </w:r>
      <w:r w:rsidRPr="007E1B57">
        <w:rPr>
          <w:rFonts w:ascii="Calibri" w:hAnsi="Calibri" w:cs="Calibri"/>
          <w:kern w:val="0"/>
          <w:szCs w:val="22"/>
          <w:u w:color="0000FF"/>
          <w:lang w:val="en-GB"/>
        </w:rPr>
        <w:t xml:space="preserve">, patients must be referred to a transplant unit for assessment and meet the relevant eligibility criteria. Patients are usually referred for assessment for transplant suitability when they have end-stage organ failure, all other treatments have failed, and their medical specialist believes they will benefit from a transplant. </w:t>
      </w:r>
    </w:p>
    <w:p w14:paraId="6FF28914" w14:textId="59C11815" w:rsidR="00A5062A" w:rsidRPr="007E1B57" w:rsidRDefault="00A5062A"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The process of determining eligibility for transplantation involves assessment against eligibility criteria by a multidisciplinary team at the transplant unit — this takes into consideration medical history and other relevant factors (such as the ability to adhere to medical therapy) that affect transplantation outcomes</w:t>
      </w:r>
      <w:r>
        <w:rPr>
          <w:rFonts w:ascii="Calibri" w:hAnsi="Calibri" w:cs="Calibri"/>
          <w:kern w:val="0"/>
          <w:szCs w:val="22"/>
          <w:u w:color="0000FF"/>
          <w:lang w:val="en-GB"/>
        </w:rPr>
        <w:t>.</w:t>
      </w:r>
      <w:r>
        <w:rPr>
          <w:rFonts w:ascii="Calibri" w:hAnsi="Calibri" w:cs="Calibri"/>
          <w:kern w:val="0"/>
          <w:szCs w:val="22"/>
          <w:u w:color="0000FF"/>
          <w:lang w:val="en-GB"/>
        </w:rPr>
        <w:fldChar w:fldCharType="begin" w:fldLock="1"/>
      </w:r>
      <w:r w:rsidR="00C12F71">
        <w:rPr>
          <w:rFonts w:ascii="Calibri" w:hAnsi="Calibri" w:cs="Calibri"/>
          <w:kern w:val="0"/>
          <w:szCs w:val="22"/>
          <w:u w:color="0000FF"/>
          <w:lang w:val="en-GB"/>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Pr>
          <w:rFonts w:ascii="Calibri" w:hAnsi="Calibri" w:cs="Calibri"/>
          <w:kern w:val="0"/>
          <w:szCs w:val="22"/>
          <w:u w:color="0000FF"/>
          <w:lang w:val="en-GB"/>
        </w:rPr>
        <w:fldChar w:fldCharType="separate"/>
      </w:r>
      <w:r w:rsidR="000B7242" w:rsidRPr="000B7242">
        <w:rPr>
          <w:rFonts w:ascii="Calibri" w:hAnsi="Calibri" w:cs="Calibri"/>
          <w:noProof/>
          <w:kern w:val="0"/>
          <w:szCs w:val="22"/>
          <w:u w:color="0000FF"/>
          <w:lang w:val="en-GB"/>
        </w:rPr>
        <w:t>(12)</w:t>
      </w:r>
      <w:r>
        <w:rPr>
          <w:rFonts w:ascii="Calibri" w:hAnsi="Calibri" w:cs="Calibri"/>
          <w:kern w:val="0"/>
          <w:szCs w:val="22"/>
          <w:u w:color="0000FF"/>
          <w:lang w:val="en-GB"/>
        </w:rPr>
        <w:fldChar w:fldCharType="end"/>
      </w:r>
      <w:r w:rsidRPr="007E1B57">
        <w:rPr>
          <w:rFonts w:ascii="Calibri" w:hAnsi="Calibri" w:cs="Calibri"/>
          <w:kern w:val="0"/>
          <w:szCs w:val="22"/>
          <w:u w:color="0000FF"/>
          <w:lang w:val="en-GB"/>
        </w:rPr>
        <w:t xml:space="preserve"> </w:t>
      </w:r>
    </w:p>
    <w:p w14:paraId="4681BB40" w14:textId="77777777" w:rsidR="00A5062A" w:rsidRDefault="00A5062A"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While they are waiting for a transplant, potential recipients receive support from a multidisciplinary team who keep them and their family informed of developments and timelines. Waiting times for transplantation vary according to organ type, the availability of an organ suitable to the individual and the urgency of the potential recipient’s need for transplantation. In some circumstances it may be several years before the potential recipient is offered an organ. </w:t>
      </w:r>
    </w:p>
    <w:p w14:paraId="517007C5" w14:textId="19F219E3" w:rsidR="00A5062A" w:rsidRPr="007E1B57" w:rsidRDefault="00A5062A"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The transplant team regularly reviews potential recipients to ensure that they remain suitable for transplantation. Individuals may be assessed as no longer eligible for organ transplantation if their condition changes, either because their organ function improves to a point that transplantation no longer offers a benefit or because their condition deteriorates to the point where they no longer meet the eligibility criteria</w:t>
      </w:r>
      <w:r>
        <w:rPr>
          <w:rFonts w:ascii="Calibri" w:hAnsi="Calibri" w:cs="Calibri"/>
          <w:kern w:val="0"/>
          <w:szCs w:val="22"/>
          <w:u w:color="0000FF"/>
          <w:lang w:val="en-GB"/>
        </w:rPr>
        <w:t>.</w:t>
      </w:r>
      <w:r>
        <w:rPr>
          <w:rFonts w:ascii="Calibri" w:hAnsi="Calibri" w:cs="Calibri"/>
          <w:kern w:val="0"/>
          <w:szCs w:val="22"/>
          <w:u w:color="0000FF"/>
          <w:lang w:val="en-GB"/>
        </w:rPr>
        <w:fldChar w:fldCharType="begin" w:fldLock="1"/>
      </w:r>
      <w:r w:rsidR="00C12F71">
        <w:rPr>
          <w:rFonts w:ascii="Calibri" w:hAnsi="Calibri" w:cs="Calibri"/>
          <w:kern w:val="0"/>
          <w:szCs w:val="22"/>
          <w:u w:color="0000FF"/>
          <w:lang w:val="en-GB"/>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Pr>
          <w:rFonts w:ascii="Calibri" w:hAnsi="Calibri" w:cs="Calibri"/>
          <w:kern w:val="0"/>
          <w:szCs w:val="22"/>
          <w:u w:color="0000FF"/>
          <w:lang w:val="en-GB"/>
        </w:rPr>
        <w:fldChar w:fldCharType="separate"/>
      </w:r>
      <w:r w:rsidR="000B7242" w:rsidRPr="000B7242">
        <w:rPr>
          <w:rFonts w:ascii="Calibri" w:hAnsi="Calibri" w:cs="Calibri"/>
          <w:noProof/>
          <w:kern w:val="0"/>
          <w:szCs w:val="22"/>
          <w:u w:color="0000FF"/>
          <w:lang w:val="en-GB"/>
        </w:rPr>
        <w:t>(12)</w:t>
      </w:r>
      <w:r>
        <w:rPr>
          <w:rFonts w:ascii="Calibri" w:hAnsi="Calibri" w:cs="Calibri"/>
          <w:kern w:val="0"/>
          <w:szCs w:val="22"/>
          <w:u w:color="0000FF"/>
          <w:lang w:val="en-GB"/>
        </w:rPr>
        <w:fldChar w:fldCharType="end"/>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Some transplant candidates may also receive a transplant from a living donor and therefore leave the waiting list.</w:t>
      </w:r>
    </w:p>
    <w:p w14:paraId="27F628FC" w14:textId="268E63CE" w:rsidR="006C6EBA" w:rsidRPr="00F96320" w:rsidRDefault="00F96320" w:rsidP="00EA22AE">
      <w:pPr>
        <w:pStyle w:val="Pa2"/>
        <w:spacing w:after="120" w:line="240" w:lineRule="auto"/>
        <w:rPr>
          <w:rFonts w:ascii="Calibri" w:hAnsi="Calibri" w:cs="Calibri"/>
          <w:color w:val="211D1E"/>
          <w:sz w:val="22"/>
          <w:szCs w:val="22"/>
        </w:rPr>
      </w:pPr>
      <w:r>
        <w:rPr>
          <w:rFonts w:ascii="Calibri" w:hAnsi="Calibri" w:cs="Calibri"/>
          <w:color w:val="211D1E"/>
          <w:sz w:val="22"/>
          <w:szCs w:val="22"/>
        </w:rPr>
        <w:t>If</w:t>
      </w:r>
      <w:r w:rsidR="006C6EBA" w:rsidRPr="00F96320">
        <w:rPr>
          <w:rFonts w:ascii="Calibri" w:hAnsi="Calibri" w:cs="Calibri"/>
          <w:color w:val="211D1E"/>
          <w:sz w:val="22"/>
          <w:szCs w:val="22"/>
        </w:rPr>
        <w:t xml:space="preserve"> a potential recipient or their physician disagree</w:t>
      </w:r>
      <w:r>
        <w:rPr>
          <w:rFonts w:ascii="Calibri" w:hAnsi="Calibri" w:cs="Calibri"/>
          <w:color w:val="211D1E"/>
          <w:sz w:val="22"/>
          <w:szCs w:val="22"/>
        </w:rPr>
        <w:t>s</w:t>
      </w:r>
      <w:r w:rsidR="006C6EBA" w:rsidRPr="00F96320">
        <w:rPr>
          <w:rFonts w:ascii="Calibri" w:hAnsi="Calibri" w:cs="Calibri"/>
          <w:color w:val="211D1E"/>
          <w:sz w:val="22"/>
          <w:szCs w:val="22"/>
        </w:rPr>
        <w:t xml:space="preserve"> with an assessment made by the transplanting team regarding eligibility for transplantation, processes are in place to enable provision of a second opinion. </w:t>
      </w:r>
      <w:r w:rsidR="00863834">
        <w:rPr>
          <w:rFonts w:ascii="Calibri" w:hAnsi="Calibri" w:cs="Calibri"/>
          <w:color w:val="211D1E"/>
          <w:sz w:val="22"/>
          <w:szCs w:val="22"/>
        </w:rPr>
        <w:t xml:space="preserve">(See </w:t>
      </w:r>
      <w:hyperlink w:anchor="_Evaluating_general_risks" w:history="1">
        <w:r w:rsidR="00863834" w:rsidRPr="00863834">
          <w:rPr>
            <w:rStyle w:val="Hyperlink"/>
            <w:rFonts w:ascii="Calibri" w:hAnsi="Calibri" w:cs="Calibri"/>
            <w:sz w:val="22"/>
            <w:szCs w:val="22"/>
          </w:rPr>
          <w:t>Chapter 6.5.1</w:t>
        </w:r>
      </w:hyperlink>
      <w:r w:rsidR="00863834">
        <w:rPr>
          <w:rFonts w:ascii="Calibri" w:hAnsi="Calibri" w:cs="Calibri"/>
          <w:color w:val="211D1E"/>
          <w:sz w:val="22"/>
          <w:szCs w:val="22"/>
        </w:rPr>
        <w:t xml:space="preserve"> for a discussion of ethical considerations in evaluation of candidates for organ transplantation).</w:t>
      </w:r>
    </w:p>
    <w:p w14:paraId="298F15F4" w14:textId="321EF67B" w:rsidR="006C6EBA" w:rsidRPr="00EB088B" w:rsidRDefault="00F96320" w:rsidP="00EB088B">
      <w:pPr>
        <w:pStyle w:val="Heading3"/>
      </w:pPr>
      <w:bookmarkStart w:id="348" w:name="_Acceptance_of_a"/>
      <w:bookmarkEnd w:id="348"/>
      <w:r w:rsidRPr="00EB088B">
        <w:t>A</w:t>
      </w:r>
      <w:r w:rsidR="006C6EBA" w:rsidRPr="00EB088B">
        <w:t xml:space="preserve">cceptance </w:t>
      </w:r>
      <w:r w:rsidRPr="00EB088B">
        <w:t>of a deceased donor organ offer.</w:t>
      </w:r>
      <w:r w:rsidR="006C6EBA" w:rsidRPr="00EB088B">
        <w:t xml:space="preserve"> </w:t>
      </w:r>
    </w:p>
    <w:p w14:paraId="07B81B73" w14:textId="77777777" w:rsidR="00F96320" w:rsidRPr="007E1B57" w:rsidRDefault="00F9632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When patients are being assessed and waitlisted for organ transplantation, a process of education and information provision is required so that they become informed about the potential benefits and risks of transplantation. This information sharing can occur at individual appointments, at group education sessions and through written information. </w:t>
      </w:r>
    </w:p>
    <w:p w14:paraId="3D01D03D" w14:textId="3D5137AA" w:rsidR="00F96320" w:rsidRPr="007E1B57" w:rsidRDefault="00F9632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The conversation with the patient regarding consent to receive organs of differing quality or increased risk of disease transmission should occur early, ideally at the time of consent to waitlisting, and should be revisited periodically to consider changes in patient priorities and health status</w:t>
      </w:r>
      <w:r>
        <w:rPr>
          <w:rFonts w:ascii="Calibri" w:hAnsi="Calibri" w:cs="Calibri"/>
          <w:kern w:val="0"/>
          <w:szCs w:val="22"/>
          <w:u w:color="0000FF"/>
          <w:lang w:val="en-GB"/>
        </w:rPr>
        <w:t>.</w:t>
      </w:r>
      <w:r>
        <w:rPr>
          <w:rFonts w:ascii="Calibri" w:hAnsi="Calibri" w:cs="Calibri"/>
          <w:kern w:val="0"/>
          <w:szCs w:val="22"/>
          <w:u w:color="0000FF"/>
          <w:lang w:val="en-GB"/>
        </w:rPr>
        <w:fldChar w:fldCharType="begin" w:fldLock="1"/>
      </w:r>
      <w:r w:rsidR="00C12F71">
        <w:rPr>
          <w:rFonts w:ascii="Calibri" w:hAnsi="Calibri" w:cs="Calibri"/>
          <w:kern w:val="0"/>
          <w:szCs w:val="22"/>
          <w:u w:color="0000FF"/>
          <w:lang w:val="en-GB"/>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Pr>
          <w:rFonts w:ascii="Calibri" w:hAnsi="Calibri" w:cs="Calibri"/>
          <w:kern w:val="0"/>
          <w:szCs w:val="22"/>
          <w:u w:color="0000FF"/>
          <w:lang w:val="en-GB"/>
        </w:rPr>
        <w:fldChar w:fldCharType="separate"/>
      </w:r>
      <w:r w:rsidR="000B7242" w:rsidRPr="000B7242">
        <w:rPr>
          <w:rFonts w:ascii="Calibri" w:hAnsi="Calibri" w:cs="Calibri"/>
          <w:noProof/>
          <w:kern w:val="0"/>
          <w:szCs w:val="22"/>
          <w:u w:color="0000FF"/>
          <w:lang w:val="en-GB"/>
        </w:rPr>
        <w:t>(12)</w:t>
      </w:r>
      <w:r>
        <w:rPr>
          <w:rFonts w:ascii="Calibri" w:hAnsi="Calibri" w:cs="Calibri"/>
          <w:kern w:val="0"/>
          <w:szCs w:val="22"/>
          <w:u w:color="0000FF"/>
          <w:lang w:val="en-GB"/>
        </w:rPr>
        <w:fldChar w:fldCharType="end"/>
      </w:r>
      <w:r w:rsidRPr="007E1B57">
        <w:rPr>
          <w:rFonts w:ascii="Calibri" w:hAnsi="Calibri" w:cs="Calibri"/>
          <w:kern w:val="0"/>
          <w:szCs w:val="22"/>
          <w:u w:color="0000FF"/>
          <w:lang w:val="en-GB"/>
        </w:rPr>
        <w:t xml:space="preserve"> </w:t>
      </w:r>
    </w:p>
    <w:p w14:paraId="7D2E2FD8" w14:textId="57FBF52C" w:rsidR="006C6EBA" w:rsidRPr="00B6722A" w:rsidRDefault="006C6EBA" w:rsidP="00EA22AE">
      <w:pPr>
        <w:spacing w:after="120"/>
        <w:rPr>
          <w:rFonts w:ascii="Calibri" w:hAnsi="Calibri" w:cs="Calibri"/>
          <w:color w:val="211D1E"/>
          <w:sz w:val="22"/>
          <w:szCs w:val="22"/>
        </w:rPr>
      </w:pPr>
      <w:r w:rsidRPr="00B6722A">
        <w:rPr>
          <w:rFonts w:ascii="Calibri" w:hAnsi="Calibri" w:cs="Calibri"/>
          <w:color w:val="211D1E"/>
          <w:sz w:val="22"/>
          <w:szCs w:val="22"/>
        </w:rPr>
        <w:t>Some transplant units have a specific program whereby recipients may choose in advance whether they wish to be offered donor organs with certain characteristics (e.g., increased viral risk donor organs). This prior information sharing, and “pre-consent” is important because, at the point of an actual donor organ offer, there is limited time for the transplant team and waitlist patient to confer and decide whether to accept the offered organ (e.g.</w:t>
      </w:r>
      <w:r w:rsidR="00B6722A">
        <w:rPr>
          <w:rFonts w:ascii="Calibri" w:hAnsi="Calibri" w:cs="Calibri"/>
          <w:color w:val="211D1E"/>
          <w:sz w:val="22"/>
          <w:szCs w:val="22"/>
        </w:rPr>
        <w:t>,</w:t>
      </w:r>
      <w:r w:rsidRPr="00B6722A">
        <w:rPr>
          <w:rFonts w:ascii="Calibri" w:hAnsi="Calibri" w:cs="Calibri"/>
          <w:color w:val="211D1E"/>
          <w:sz w:val="22"/>
          <w:szCs w:val="22"/>
        </w:rPr>
        <w:t xml:space="preserve"> 60 minutes </w:t>
      </w:r>
      <w:r w:rsidR="00B6722A">
        <w:rPr>
          <w:rFonts w:ascii="Calibri" w:hAnsi="Calibri" w:cs="Calibri"/>
          <w:color w:val="211D1E"/>
          <w:sz w:val="22"/>
          <w:szCs w:val="22"/>
        </w:rPr>
        <w:t>for decision-making about</w:t>
      </w:r>
      <w:r w:rsidRPr="00B6722A">
        <w:rPr>
          <w:rFonts w:ascii="Calibri" w:hAnsi="Calibri" w:cs="Calibri"/>
          <w:color w:val="211D1E"/>
          <w:sz w:val="22"/>
          <w:szCs w:val="22"/>
        </w:rPr>
        <w:t xml:space="preserve"> kidney</w:t>
      </w:r>
      <w:r w:rsidR="00B6722A">
        <w:rPr>
          <w:rFonts w:ascii="Calibri" w:hAnsi="Calibri" w:cs="Calibri"/>
          <w:color w:val="211D1E"/>
          <w:sz w:val="22"/>
          <w:szCs w:val="22"/>
        </w:rPr>
        <w:t xml:space="preserve"> offers</w:t>
      </w:r>
      <w:r w:rsidRPr="00B6722A">
        <w:rPr>
          <w:rFonts w:ascii="Calibri" w:hAnsi="Calibri" w:cs="Calibri"/>
          <w:color w:val="211D1E"/>
          <w:sz w:val="22"/>
          <w:szCs w:val="22"/>
        </w:rPr>
        <w:t xml:space="preserve"> and 30 minutes for other organs). Some patients may be reliant o</w:t>
      </w:r>
      <w:r w:rsidR="00B6722A">
        <w:rPr>
          <w:rFonts w:ascii="Calibri" w:hAnsi="Calibri" w:cs="Calibri"/>
          <w:color w:val="211D1E"/>
          <w:sz w:val="22"/>
          <w:szCs w:val="22"/>
        </w:rPr>
        <w:t>n</w:t>
      </w:r>
      <w:r w:rsidRPr="00B6722A">
        <w:rPr>
          <w:rFonts w:ascii="Calibri" w:hAnsi="Calibri" w:cs="Calibri"/>
          <w:color w:val="211D1E"/>
          <w:sz w:val="22"/>
          <w:szCs w:val="22"/>
        </w:rPr>
        <w:t xml:space="preserve"> surrogate decision makers if they are unable to consent due to decision making impairment arising from illness, such as acute liver failure, or for other reasons.</w:t>
      </w:r>
    </w:p>
    <w:p w14:paraId="6FEE624F" w14:textId="26052D4B" w:rsidR="006C6EBA" w:rsidRPr="00B6722A" w:rsidRDefault="006C6EBA" w:rsidP="00C3783C">
      <w:pPr>
        <w:pStyle w:val="Pa2"/>
        <w:numPr>
          <w:ilvl w:val="0"/>
          <w:numId w:val="120"/>
        </w:numPr>
        <w:spacing w:after="120" w:line="240" w:lineRule="auto"/>
        <w:rPr>
          <w:rFonts w:ascii="Calibri" w:hAnsi="Calibri" w:cs="Calibri"/>
          <w:color w:val="211D1E"/>
          <w:sz w:val="22"/>
          <w:szCs w:val="22"/>
        </w:rPr>
      </w:pPr>
      <w:r w:rsidRPr="00B6722A">
        <w:rPr>
          <w:rFonts w:ascii="Calibri" w:hAnsi="Calibri" w:cs="Calibri"/>
          <w:color w:val="211D1E"/>
          <w:sz w:val="22"/>
          <w:szCs w:val="22"/>
        </w:rPr>
        <w:t xml:space="preserve">Decision-making is particularly complex when the organ being offered may have a lower likelihood of providing optimal outcomes. Characteristics of the donor organ and recipient factors all need to be weighed, including the likely benefit from transplantation of the organ on offer, urgency of need and likelihood of subsequent organ offers, and deterioration of health status while waiting for transplantation. For example, potential recipients who are stable on medical therapy may find the expected outcomes associated with transplantation of such an organ less acceptable than would potential recipients who are advanced in age or extremely unwell who might see this as increasing </w:t>
      </w:r>
      <w:r w:rsidRPr="00B6722A">
        <w:rPr>
          <w:rFonts w:ascii="Calibri" w:hAnsi="Calibri" w:cs="Calibri"/>
          <w:color w:val="211D1E"/>
          <w:sz w:val="22"/>
          <w:szCs w:val="22"/>
        </w:rPr>
        <w:lastRenderedPageBreak/>
        <w:t>their survival prospects. Thus, organs that may carry an unacceptable risk for some individuals may provide benefit for others. This balance must be decided on a case-by-case basis by the transplant team and the potential recipient</w:t>
      </w:r>
      <w:r w:rsidR="00B6722A">
        <w:rPr>
          <w:rFonts w:ascii="Calibri" w:hAnsi="Calibri" w:cs="Calibri"/>
          <w:color w:val="211D1E"/>
          <w:sz w:val="22"/>
          <w:szCs w:val="22"/>
        </w:rPr>
        <w:t xml:space="preserve"> (see </w:t>
      </w:r>
      <w:hyperlink w:anchor="_Supporting_decision-making_by" w:history="1">
        <w:r w:rsidR="00B6722A" w:rsidRPr="007F50FE">
          <w:rPr>
            <w:rStyle w:val="Hyperlink"/>
            <w:rFonts w:ascii="Calibri" w:hAnsi="Calibri" w:cs="Calibri"/>
            <w:sz w:val="22"/>
            <w:szCs w:val="22"/>
          </w:rPr>
          <w:t>Chapter 6.6</w:t>
        </w:r>
      </w:hyperlink>
      <w:r w:rsidR="00B6722A">
        <w:rPr>
          <w:rFonts w:ascii="Calibri" w:hAnsi="Calibri" w:cs="Calibri"/>
          <w:color w:val="211D1E"/>
          <w:sz w:val="22"/>
          <w:szCs w:val="22"/>
        </w:rPr>
        <w:t>)</w:t>
      </w:r>
      <w:r w:rsidRPr="00B6722A">
        <w:rPr>
          <w:rFonts w:ascii="Calibri" w:hAnsi="Calibri" w:cs="Calibri"/>
          <w:color w:val="211D1E"/>
          <w:sz w:val="22"/>
          <w:szCs w:val="22"/>
        </w:rPr>
        <w:t>.</w:t>
      </w:r>
    </w:p>
    <w:p w14:paraId="273E5FD2" w14:textId="77777777" w:rsidR="006C6EBA" w:rsidRPr="00B6722A" w:rsidRDefault="006C6EBA" w:rsidP="00EA22AE">
      <w:pPr>
        <w:pStyle w:val="Default"/>
        <w:spacing w:after="120"/>
        <w:rPr>
          <w:rFonts w:ascii="Calibri" w:hAnsi="Calibri" w:cs="Calibri"/>
          <w:sz w:val="22"/>
          <w:szCs w:val="22"/>
        </w:rPr>
      </w:pPr>
      <w:r w:rsidRPr="00B6722A">
        <w:rPr>
          <w:rFonts w:ascii="Calibri" w:hAnsi="Calibri" w:cs="Calibri"/>
          <w:color w:val="211D1E"/>
          <w:sz w:val="22"/>
          <w:szCs w:val="22"/>
        </w:rPr>
        <w:t>Occasionally the recipient may not be able to accept an offered organ due to acute health issues (e.g., current infection) or logistic factors (e.g., unable to get to the transplant centre in time).</w:t>
      </w:r>
    </w:p>
    <w:p w14:paraId="1EEEBD27" w14:textId="77777777" w:rsidR="006C6EBA" w:rsidRPr="00EB088B" w:rsidRDefault="006C6EBA" w:rsidP="00EB088B">
      <w:pPr>
        <w:pStyle w:val="Heading3"/>
      </w:pPr>
      <w:r w:rsidRPr="00EB088B">
        <w:t>Transplantation</w:t>
      </w:r>
    </w:p>
    <w:p w14:paraId="47DB4E0B" w14:textId="77777777" w:rsidR="006C6EBA" w:rsidRPr="002147CB" w:rsidRDefault="006C6EBA" w:rsidP="00C3783C">
      <w:pPr>
        <w:pStyle w:val="Pa2"/>
        <w:numPr>
          <w:ilvl w:val="0"/>
          <w:numId w:val="120"/>
        </w:numPr>
        <w:spacing w:after="120" w:line="240" w:lineRule="auto"/>
        <w:rPr>
          <w:rFonts w:ascii="Calibri" w:hAnsi="Calibri" w:cs="Calibri"/>
          <w:color w:val="211D1E"/>
          <w:sz w:val="22"/>
          <w:szCs w:val="22"/>
        </w:rPr>
      </w:pPr>
      <w:r w:rsidRPr="002147CB">
        <w:rPr>
          <w:rFonts w:ascii="Calibri" w:hAnsi="Calibri" w:cs="Calibri"/>
          <w:color w:val="211D1E"/>
          <w:sz w:val="22"/>
          <w:szCs w:val="22"/>
        </w:rPr>
        <w:t>Once there has been an acceptance of an organ offer there is a short time for preparation for the transplant surgical procedure. The potential recipient will need to travel to the transplanting hospital if they are not already an inpatient. Some waitlist patients who live in remote areas or interstate relative to the transplant centre may have needed to relocate to be within accessible distance to the hospital should a suitable organ offer become available.</w:t>
      </w:r>
    </w:p>
    <w:p w14:paraId="434DE3C6" w14:textId="77777777" w:rsidR="006C6EBA" w:rsidRPr="002147CB" w:rsidRDefault="006C6EBA" w:rsidP="00C3783C">
      <w:pPr>
        <w:pStyle w:val="Pa2"/>
        <w:numPr>
          <w:ilvl w:val="0"/>
          <w:numId w:val="120"/>
        </w:numPr>
        <w:spacing w:after="120" w:line="240" w:lineRule="auto"/>
        <w:rPr>
          <w:rFonts w:ascii="Calibri" w:hAnsi="Calibri" w:cs="Calibri"/>
          <w:color w:val="211D1E"/>
          <w:sz w:val="22"/>
          <w:szCs w:val="22"/>
        </w:rPr>
      </w:pPr>
      <w:r w:rsidRPr="002147CB">
        <w:rPr>
          <w:rFonts w:ascii="Calibri" w:hAnsi="Calibri" w:cs="Calibri"/>
          <w:color w:val="211D1E"/>
          <w:sz w:val="22"/>
          <w:szCs w:val="22"/>
        </w:rPr>
        <w:t xml:space="preserve">Certain tests and or treatments may be required prior to the transplant surgery. This may include routine pre-surgery tests such as standard blood tests and blood cross matching in case a transfusion is required as part of the surgery and routine pre-surgery medications. Specific treatments related to transplantation may also be required such as a dialysis treatment for renal failure patients, or other specific treatments to help reduced rejection.  </w:t>
      </w:r>
    </w:p>
    <w:p w14:paraId="1E27EC5D" w14:textId="41EC158C" w:rsidR="006C6EBA" w:rsidRPr="00EB088B" w:rsidRDefault="006C6EBA" w:rsidP="00EB088B">
      <w:pPr>
        <w:pStyle w:val="Heading3"/>
      </w:pPr>
      <w:r w:rsidRPr="00EB088B">
        <w:t xml:space="preserve">Post </w:t>
      </w:r>
      <w:r w:rsidR="002147CB" w:rsidRPr="00EB088B">
        <w:t>t</w:t>
      </w:r>
      <w:r w:rsidRPr="00EB088B">
        <w:t xml:space="preserve">ransplant care </w:t>
      </w:r>
    </w:p>
    <w:p w14:paraId="4B1CBC10" w14:textId="77777777" w:rsidR="002147CB" w:rsidRPr="007E1B57" w:rsidRDefault="002147CB"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Heart, lung, and liver transplant patients are routinely admitted to the intensive care unit immediately </w:t>
      </w:r>
      <w:r>
        <w:rPr>
          <w:rFonts w:ascii="Calibri" w:hAnsi="Calibri" w:cs="Calibri"/>
          <w:kern w:val="0"/>
          <w:szCs w:val="22"/>
          <w:u w:color="0000FF"/>
          <w:lang w:val="en-GB"/>
        </w:rPr>
        <w:t xml:space="preserve">after </w:t>
      </w:r>
      <w:r w:rsidRPr="007E1B57">
        <w:rPr>
          <w:rFonts w:ascii="Calibri" w:hAnsi="Calibri" w:cs="Calibri"/>
          <w:kern w:val="0"/>
          <w:szCs w:val="22"/>
          <w:u w:color="0000FF"/>
          <w:lang w:val="en-GB"/>
        </w:rPr>
        <w:t>transplant surgery.  Many require a period of mechanical ventilation and other support because of the complexity of the surgery and their underlying health state.</w:t>
      </w:r>
    </w:p>
    <w:p w14:paraId="28679D56" w14:textId="77777777" w:rsidR="002147CB" w:rsidRPr="007E1B57" w:rsidRDefault="002147CB"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Most kidney and kidney-pancreas transplant recipients do not require intensive care support post-transplant surgery, although a proportion of kidney transplant recipients may require support with dialysis until the transplanted kidney is adequately functioning.</w:t>
      </w:r>
    </w:p>
    <w:p w14:paraId="2A0BB8D2" w14:textId="77777777" w:rsidR="002147CB" w:rsidRPr="007E1B57" w:rsidRDefault="002147CB"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Careful assessment of transplant organ function and the overall health status requires close monitoring of vital signs, regular blood, and other tests. Immunosuppression medications are administered to prevent rejection of the transplanted organ.</w:t>
      </w:r>
    </w:p>
    <w:p w14:paraId="1EBE1C32" w14:textId="27318B60" w:rsidR="002147CB" w:rsidRPr="007E1B57" w:rsidRDefault="002147CB"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After sufficient recovery, which may include a period of rehabilitation in a dedicated facility, a recipients discharge home will occur with initially frequent follow up by the transplant centre. </w:t>
      </w:r>
      <w:r w:rsidRPr="006720E4">
        <w:rPr>
          <w:rFonts w:ascii="Calibri" w:hAnsi="Calibri" w:cs="Calibri"/>
          <w:color w:val="211D1E"/>
        </w:rPr>
        <w:t xml:space="preserve">Some kidney transplant patient follow up is undertaken by referring satellite </w:t>
      </w:r>
      <w:proofErr w:type="spellStart"/>
      <w:r w:rsidRPr="006720E4">
        <w:rPr>
          <w:rFonts w:ascii="Calibri" w:hAnsi="Calibri" w:cs="Calibri"/>
          <w:color w:val="211D1E"/>
        </w:rPr>
        <w:t>renal</w:t>
      </w:r>
      <w:proofErr w:type="spellEnd"/>
      <w:r w:rsidRPr="006720E4">
        <w:rPr>
          <w:rFonts w:ascii="Calibri" w:hAnsi="Calibri" w:cs="Calibri"/>
          <w:color w:val="211D1E"/>
        </w:rPr>
        <w:t xml:space="preserve"> units, to enable return to home, and a careful handover of any concerns and specific surveillance issues is required. </w:t>
      </w:r>
      <w:r w:rsidRPr="007E1B57">
        <w:rPr>
          <w:rFonts w:ascii="Calibri" w:hAnsi="Calibri" w:cs="Calibri"/>
          <w:kern w:val="0"/>
          <w:szCs w:val="22"/>
          <w:u w:color="0000FF"/>
          <w:lang w:val="en-GB"/>
        </w:rPr>
        <w:t xml:space="preserve">Life-long medical review, monitoring of organ function and general health, fine-tuning of immunosuppression, and surveillance for complications that transplant recipients are at risk of such as infection and malignancy, or other organ specific complications, is required. </w:t>
      </w:r>
    </w:p>
    <w:p w14:paraId="4ABA4C96" w14:textId="346B793D" w:rsidR="00FD182A" w:rsidRPr="00EB088B" w:rsidRDefault="00FD182A" w:rsidP="00EB088B">
      <w:pPr>
        <w:pStyle w:val="Heading2"/>
      </w:pPr>
      <w:bookmarkStart w:id="349" w:name="_Key_steps_in_1"/>
      <w:bookmarkStart w:id="350" w:name="_Toc135131428"/>
      <w:bookmarkEnd w:id="349"/>
      <w:r w:rsidRPr="00EB088B">
        <w:t>Key steps in the process of deceased donation of tissues</w:t>
      </w:r>
      <w:bookmarkEnd w:id="350"/>
    </w:p>
    <w:p w14:paraId="254C0611" w14:textId="69769E7F" w:rsidR="006C6EBA" w:rsidRDefault="006C6EBA" w:rsidP="00EA22AE">
      <w:pPr>
        <w:spacing w:after="120"/>
        <w:rPr>
          <w:rFonts w:ascii="Calibri" w:hAnsi="Calibri" w:cs="Calibri"/>
          <w:sz w:val="22"/>
          <w:szCs w:val="22"/>
        </w:rPr>
      </w:pPr>
      <w:r w:rsidRPr="00A041ED">
        <w:rPr>
          <w:rFonts w:ascii="Calibri" w:hAnsi="Calibri" w:cs="Calibri"/>
          <w:sz w:val="22"/>
          <w:szCs w:val="22"/>
        </w:rPr>
        <w:t xml:space="preserve">More people are eligible to donate eyes and tissue compared to organs due to the tissue remaining suitable up to 24 hours after </w:t>
      </w:r>
      <w:r w:rsidR="00A041ED">
        <w:rPr>
          <w:rFonts w:ascii="Calibri" w:hAnsi="Calibri" w:cs="Calibri"/>
          <w:sz w:val="22"/>
          <w:szCs w:val="22"/>
        </w:rPr>
        <w:t>circulation permanently ceases</w:t>
      </w:r>
      <w:r w:rsidRPr="00A041ED">
        <w:rPr>
          <w:rFonts w:ascii="Calibri" w:hAnsi="Calibri" w:cs="Calibri"/>
          <w:sz w:val="22"/>
          <w:szCs w:val="22"/>
        </w:rPr>
        <w:t>.</w:t>
      </w:r>
    </w:p>
    <w:p w14:paraId="5B93DC80" w14:textId="5B98EEB5" w:rsidR="00704915" w:rsidRPr="0021027F" w:rsidRDefault="00704915" w:rsidP="00EA22AE">
      <w:pPr>
        <w:spacing w:after="120"/>
        <w:rPr>
          <w:rFonts w:ascii="Calibri" w:hAnsi="Calibri" w:cs="Calibri"/>
          <w:sz w:val="22"/>
          <w:szCs w:val="22"/>
        </w:rPr>
      </w:pPr>
      <w:r w:rsidRPr="0021027F">
        <w:rPr>
          <w:rFonts w:ascii="Calibri" w:hAnsi="Calibri" w:cs="Calibri"/>
          <w:sz w:val="22"/>
          <w:szCs w:val="22"/>
        </w:rPr>
        <w:t>Key steps in the process of deceased donation</w:t>
      </w:r>
      <w:r>
        <w:rPr>
          <w:rFonts w:ascii="Calibri" w:hAnsi="Calibri" w:cs="Calibri"/>
          <w:sz w:val="22"/>
          <w:szCs w:val="22"/>
        </w:rPr>
        <w:t xml:space="preserve"> of tissues</w:t>
      </w:r>
      <w:r w:rsidRPr="0021027F">
        <w:rPr>
          <w:rFonts w:ascii="Calibri" w:hAnsi="Calibri" w:cs="Calibri"/>
          <w:sz w:val="22"/>
          <w:szCs w:val="22"/>
        </w:rPr>
        <w:t xml:space="preserve"> </w:t>
      </w:r>
      <w:r>
        <w:rPr>
          <w:rFonts w:ascii="Calibri" w:hAnsi="Calibri" w:cs="Calibri"/>
          <w:sz w:val="22"/>
          <w:szCs w:val="22"/>
        </w:rPr>
        <w:t xml:space="preserve">are outlined below. They </w:t>
      </w:r>
      <w:r w:rsidRPr="0021027F">
        <w:rPr>
          <w:rFonts w:ascii="Calibri" w:hAnsi="Calibri" w:cs="Calibri"/>
          <w:sz w:val="22"/>
          <w:szCs w:val="22"/>
        </w:rPr>
        <w:t>include</w:t>
      </w:r>
      <w:r>
        <w:rPr>
          <w:rFonts w:ascii="Calibri" w:hAnsi="Calibri" w:cs="Calibri"/>
          <w:sz w:val="22"/>
          <w:szCs w:val="22"/>
        </w:rPr>
        <w:t>:</w:t>
      </w:r>
      <w:r w:rsidRPr="0021027F">
        <w:rPr>
          <w:rFonts w:ascii="Calibri" w:hAnsi="Calibri" w:cs="Calibri"/>
          <w:sz w:val="22"/>
          <w:szCs w:val="22"/>
        </w:rPr>
        <w:t xml:space="preserve"> </w:t>
      </w:r>
    </w:p>
    <w:p w14:paraId="527EF46A" w14:textId="7AB619D3" w:rsidR="00704915" w:rsidRDefault="00704915" w:rsidP="00C3783C">
      <w:pPr>
        <w:pStyle w:val="ListParagraph"/>
        <w:numPr>
          <w:ilvl w:val="0"/>
          <w:numId w:val="119"/>
        </w:numPr>
        <w:spacing w:after="120"/>
        <w:contextualSpacing w:val="0"/>
        <w:rPr>
          <w:rFonts w:cs="Calibri"/>
          <w:szCs w:val="22"/>
        </w:rPr>
      </w:pPr>
      <w:r w:rsidRPr="0021027F">
        <w:rPr>
          <w:rFonts w:cs="Calibri"/>
          <w:szCs w:val="22"/>
        </w:rPr>
        <w:t xml:space="preserve">donor identification and referral, </w:t>
      </w:r>
      <w:r>
        <w:rPr>
          <w:rFonts w:cs="Calibri"/>
          <w:szCs w:val="22"/>
        </w:rPr>
        <w:t xml:space="preserve">(see </w:t>
      </w:r>
      <w:hyperlink w:anchor="_Identification_and_referral" w:history="1">
        <w:r w:rsidRPr="00A87539">
          <w:rPr>
            <w:rStyle w:val="Hyperlink"/>
            <w:rFonts w:cs="Calibri"/>
            <w:szCs w:val="22"/>
          </w:rPr>
          <w:t>Chapter 2.</w:t>
        </w:r>
        <w:r>
          <w:rPr>
            <w:rStyle w:val="Hyperlink"/>
            <w:rFonts w:cs="Calibri"/>
            <w:szCs w:val="22"/>
          </w:rPr>
          <w:t>7</w:t>
        </w:r>
        <w:r w:rsidRPr="00A87539">
          <w:rPr>
            <w:rStyle w:val="Hyperlink"/>
            <w:rFonts w:cs="Calibri"/>
            <w:szCs w:val="22"/>
          </w:rPr>
          <w:t>.1</w:t>
        </w:r>
      </w:hyperlink>
      <w:r>
        <w:rPr>
          <w:rFonts w:cs="Calibri"/>
          <w:szCs w:val="22"/>
        </w:rPr>
        <w:t>)</w:t>
      </w:r>
    </w:p>
    <w:p w14:paraId="145D56F0" w14:textId="10079B59" w:rsidR="00704915" w:rsidRPr="00704915" w:rsidRDefault="00704915" w:rsidP="00C3783C">
      <w:pPr>
        <w:pStyle w:val="ListParagraph"/>
        <w:numPr>
          <w:ilvl w:val="0"/>
          <w:numId w:val="119"/>
        </w:numPr>
        <w:spacing w:after="120"/>
        <w:contextualSpacing w:val="0"/>
        <w:rPr>
          <w:rFonts w:cs="Calibri"/>
          <w:szCs w:val="22"/>
        </w:rPr>
      </w:pPr>
      <w:r w:rsidRPr="0021027F">
        <w:rPr>
          <w:rFonts w:cs="Calibri"/>
          <w:szCs w:val="22"/>
        </w:rPr>
        <w:t xml:space="preserve">assessment of medical suitability </w:t>
      </w:r>
      <w:r>
        <w:rPr>
          <w:rFonts w:cs="Calibri"/>
          <w:szCs w:val="22"/>
        </w:rPr>
        <w:t xml:space="preserve">(see </w:t>
      </w:r>
      <w:hyperlink w:anchor="_Medical_suitability_for" w:history="1">
        <w:r w:rsidRPr="00A87539">
          <w:rPr>
            <w:rStyle w:val="Hyperlink"/>
            <w:rFonts w:cs="Calibri"/>
            <w:szCs w:val="22"/>
          </w:rPr>
          <w:t>Chapter 2.</w:t>
        </w:r>
        <w:r>
          <w:rPr>
            <w:rStyle w:val="Hyperlink"/>
            <w:rFonts w:cs="Calibri"/>
            <w:szCs w:val="22"/>
          </w:rPr>
          <w:t>7.2</w:t>
        </w:r>
        <w:r w:rsidRPr="00A87539">
          <w:rPr>
            <w:rStyle w:val="Hyperlink"/>
            <w:rFonts w:cs="Calibri"/>
            <w:szCs w:val="22"/>
          </w:rPr>
          <w:t>)</w:t>
        </w:r>
      </w:hyperlink>
    </w:p>
    <w:p w14:paraId="6B735F25" w14:textId="6F1030F0" w:rsidR="00704915" w:rsidRPr="0021027F" w:rsidRDefault="00704915" w:rsidP="00C3783C">
      <w:pPr>
        <w:pStyle w:val="ListParagraph"/>
        <w:numPr>
          <w:ilvl w:val="0"/>
          <w:numId w:val="119"/>
        </w:numPr>
        <w:spacing w:after="120"/>
        <w:contextualSpacing w:val="0"/>
        <w:rPr>
          <w:rFonts w:cs="Calibri"/>
          <w:szCs w:val="22"/>
        </w:rPr>
      </w:pPr>
      <w:r>
        <w:rPr>
          <w:rFonts w:cs="Calibri"/>
          <w:szCs w:val="22"/>
        </w:rPr>
        <w:t>family approach and authorisation</w:t>
      </w:r>
      <w:r w:rsidRPr="0021027F">
        <w:rPr>
          <w:rFonts w:cs="Calibri"/>
          <w:szCs w:val="22"/>
        </w:rPr>
        <w:t xml:space="preserve">, </w:t>
      </w:r>
      <w:r>
        <w:rPr>
          <w:rFonts w:cs="Calibri"/>
          <w:szCs w:val="22"/>
        </w:rPr>
        <w:t xml:space="preserve">(see </w:t>
      </w:r>
      <w:hyperlink w:anchor="_Family_approach_and" w:history="1">
        <w:r w:rsidRPr="00704915">
          <w:rPr>
            <w:rStyle w:val="Hyperlink"/>
            <w:rFonts w:cs="Calibri"/>
            <w:szCs w:val="22"/>
          </w:rPr>
          <w:t>Chapter 2.7.3</w:t>
        </w:r>
      </w:hyperlink>
      <w:r>
        <w:rPr>
          <w:rFonts w:cs="Calibri"/>
          <w:szCs w:val="22"/>
        </w:rPr>
        <w:t>)</w:t>
      </w:r>
    </w:p>
    <w:p w14:paraId="4769243C" w14:textId="21C81238" w:rsidR="00704915" w:rsidRDefault="00704915" w:rsidP="00C3783C">
      <w:pPr>
        <w:pStyle w:val="ListParagraph"/>
        <w:numPr>
          <w:ilvl w:val="0"/>
          <w:numId w:val="119"/>
        </w:numPr>
        <w:spacing w:after="120"/>
        <w:contextualSpacing w:val="0"/>
        <w:rPr>
          <w:rFonts w:cs="Calibri"/>
          <w:szCs w:val="22"/>
        </w:rPr>
      </w:pPr>
      <w:r w:rsidRPr="0021027F">
        <w:rPr>
          <w:rFonts w:cs="Calibri"/>
          <w:szCs w:val="22"/>
        </w:rPr>
        <w:t xml:space="preserve">the </w:t>
      </w:r>
      <w:r>
        <w:rPr>
          <w:rFonts w:cs="Calibri"/>
          <w:szCs w:val="22"/>
        </w:rPr>
        <w:t>tissue</w:t>
      </w:r>
      <w:r w:rsidRPr="0021027F">
        <w:rPr>
          <w:rFonts w:cs="Calibri"/>
          <w:szCs w:val="22"/>
        </w:rPr>
        <w:t xml:space="preserve"> retrieval surgery</w:t>
      </w:r>
      <w:r>
        <w:rPr>
          <w:rFonts w:cs="Calibri"/>
          <w:szCs w:val="22"/>
        </w:rPr>
        <w:t xml:space="preserve"> and donor management (see </w:t>
      </w:r>
      <w:hyperlink w:anchor="_Eye_and_tissue" w:history="1">
        <w:r w:rsidRPr="00704915">
          <w:rPr>
            <w:rStyle w:val="Hyperlink"/>
            <w:rFonts w:cs="Calibri"/>
            <w:szCs w:val="22"/>
          </w:rPr>
          <w:t>Chapter 2.7.4</w:t>
        </w:r>
      </w:hyperlink>
      <w:r>
        <w:rPr>
          <w:rFonts w:cs="Calibri"/>
          <w:szCs w:val="22"/>
        </w:rPr>
        <w:t>)</w:t>
      </w:r>
    </w:p>
    <w:p w14:paraId="5C465998" w14:textId="2F5FB7A4" w:rsidR="00704915" w:rsidRDefault="00704915" w:rsidP="00C3783C">
      <w:pPr>
        <w:pStyle w:val="ListParagraph"/>
        <w:numPr>
          <w:ilvl w:val="0"/>
          <w:numId w:val="119"/>
        </w:numPr>
        <w:spacing w:after="120"/>
        <w:contextualSpacing w:val="0"/>
        <w:rPr>
          <w:rFonts w:cs="Calibri"/>
          <w:szCs w:val="22"/>
        </w:rPr>
      </w:pPr>
      <w:r>
        <w:rPr>
          <w:rFonts w:cs="Calibri"/>
          <w:szCs w:val="22"/>
        </w:rPr>
        <w:t xml:space="preserve">storage and allocation of tissues (see </w:t>
      </w:r>
      <w:hyperlink w:anchor="_Storage_and_allocation" w:history="1">
        <w:r w:rsidRPr="00704915">
          <w:rPr>
            <w:rStyle w:val="Hyperlink"/>
            <w:rFonts w:cs="Calibri"/>
            <w:szCs w:val="22"/>
          </w:rPr>
          <w:t>Chapter 2.7.5</w:t>
        </w:r>
      </w:hyperlink>
      <w:r>
        <w:rPr>
          <w:rFonts w:cs="Calibri"/>
          <w:szCs w:val="22"/>
        </w:rPr>
        <w:t>)</w:t>
      </w:r>
    </w:p>
    <w:p w14:paraId="65993147" w14:textId="6F89D5C6" w:rsidR="00704915" w:rsidRDefault="00704915" w:rsidP="00C3783C">
      <w:pPr>
        <w:pStyle w:val="ListParagraph"/>
        <w:numPr>
          <w:ilvl w:val="0"/>
          <w:numId w:val="119"/>
        </w:numPr>
        <w:spacing w:after="120"/>
        <w:contextualSpacing w:val="0"/>
        <w:rPr>
          <w:rFonts w:cs="Calibri"/>
          <w:szCs w:val="22"/>
        </w:rPr>
      </w:pPr>
      <w:r>
        <w:rPr>
          <w:rFonts w:cs="Calibri"/>
          <w:szCs w:val="22"/>
        </w:rPr>
        <w:lastRenderedPageBreak/>
        <w:t xml:space="preserve">processing, manufacture and use of tissues (see </w:t>
      </w:r>
      <w:hyperlink w:anchor="_Processing,_manufacture_and" w:history="1">
        <w:r w:rsidRPr="00704915">
          <w:rPr>
            <w:rStyle w:val="Hyperlink"/>
            <w:rFonts w:cs="Calibri"/>
            <w:szCs w:val="22"/>
          </w:rPr>
          <w:t>Chapter 2.7.6</w:t>
        </w:r>
      </w:hyperlink>
      <w:r>
        <w:rPr>
          <w:rFonts w:cs="Calibri"/>
          <w:szCs w:val="22"/>
        </w:rPr>
        <w:t>)</w:t>
      </w:r>
    </w:p>
    <w:p w14:paraId="70917524" w14:textId="6C3DC7D5" w:rsidR="006C6EBA" w:rsidRPr="00EB088B" w:rsidRDefault="00A041ED" w:rsidP="00EB088B">
      <w:pPr>
        <w:pStyle w:val="Heading3"/>
      </w:pPr>
      <w:bookmarkStart w:id="351" w:name="_Identification_and_referral"/>
      <w:bookmarkEnd w:id="351"/>
      <w:r w:rsidRPr="00EB088B">
        <w:t>I</w:t>
      </w:r>
      <w:r w:rsidR="006C6EBA" w:rsidRPr="00EB088B">
        <w:t>dentification and referral</w:t>
      </w:r>
      <w:r w:rsidRPr="00EB088B">
        <w:t xml:space="preserve"> of potential tissue donors</w:t>
      </w:r>
    </w:p>
    <w:p w14:paraId="477A5A92" w14:textId="77777777" w:rsidR="00A041ED" w:rsidRPr="007E1B57" w:rsidRDefault="00A041ED"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The method of donor identification and referral practices varies between jurisdictions, some with direct referrals from hospitals and others through direct electronic notifications to the tissue banks through the hospital medical records systems once a person is identified as deceased. </w:t>
      </w:r>
    </w:p>
    <w:p w14:paraId="3B8629AC" w14:textId="77777777" w:rsidR="007E780A" w:rsidRDefault="006C6EBA" w:rsidP="007E780A">
      <w:pPr>
        <w:spacing w:after="120"/>
        <w:rPr>
          <w:rFonts w:ascii="Calibri" w:hAnsi="Calibri" w:cs="Calibri"/>
          <w:sz w:val="22"/>
          <w:szCs w:val="22"/>
        </w:rPr>
      </w:pPr>
      <w:r w:rsidRPr="00A041ED">
        <w:rPr>
          <w:rFonts w:ascii="Calibri" w:hAnsi="Calibri" w:cs="Calibri"/>
          <w:sz w:val="22"/>
          <w:szCs w:val="22"/>
        </w:rPr>
        <w:t xml:space="preserve">Some jurisdictions also have a close relationship with the coronial service, such that deaths reported to the coroner and admitted to the forensic mortuary are routinely identified to the tissue banks, other relationships include funeral homes and aged care facilities. </w:t>
      </w:r>
      <w:bookmarkStart w:id="352" w:name="_Medical_suitability_for"/>
      <w:bookmarkEnd w:id="352"/>
    </w:p>
    <w:p w14:paraId="2528EBE2" w14:textId="0A355839" w:rsidR="006C6EBA" w:rsidRPr="007E780A" w:rsidRDefault="006C6EBA" w:rsidP="007E780A">
      <w:pPr>
        <w:pStyle w:val="Heading3"/>
        <w:rPr>
          <w:sz w:val="22"/>
          <w:szCs w:val="22"/>
        </w:rPr>
      </w:pPr>
      <w:r w:rsidRPr="007E780A">
        <w:t xml:space="preserve">Medical suitability </w:t>
      </w:r>
      <w:r w:rsidR="00B1753F" w:rsidRPr="007E780A">
        <w:t>for tissue donation</w:t>
      </w:r>
    </w:p>
    <w:p w14:paraId="1F70DDDB" w14:textId="7D900B0B" w:rsidR="00B1753F" w:rsidRPr="00E57922" w:rsidRDefault="00B1753F"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Staff from eye and tissue banks undertake a thorough medical suitability assessment to ensure the safety of donation for transplantation. A donor suitability assessment and health questionnaire are undertaken with the family by eye or tissue banking staff by telephone, if donation specialists </w:t>
      </w:r>
      <w:r>
        <w:rPr>
          <w:rFonts w:ascii="Calibri" w:hAnsi="Calibri" w:cs="Calibri"/>
          <w:kern w:val="0"/>
          <w:szCs w:val="22"/>
          <w:u w:color="0000FF"/>
          <w:lang w:val="en-GB"/>
        </w:rPr>
        <w:t xml:space="preserve">are </w:t>
      </w:r>
      <w:r w:rsidRPr="007E1B57">
        <w:rPr>
          <w:rFonts w:ascii="Calibri" w:hAnsi="Calibri" w:cs="Calibri"/>
          <w:kern w:val="0"/>
          <w:szCs w:val="22"/>
          <w:u w:color="0000FF"/>
          <w:lang w:val="en-GB"/>
        </w:rPr>
        <w:t xml:space="preserve">not involved for solid organ donation. Further medical suitability information is obtained from sources including healthcare staff including hospital personnel and the patient’s general practitioner or other health providers. Blood samples are sent for serological and other testing for blood borne virus and transmissible infectious disease. </w:t>
      </w:r>
    </w:p>
    <w:p w14:paraId="1D91DFAA" w14:textId="6E274126" w:rsidR="006C6EBA" w:rsidRPr="00EB088B" w:rsidRDefault="006C6EBA" w:rsidP="00EB088B">
      <w:pPr>
        <w:pStyle w:val="Heading4"/>
      </w:pPr>
      <w:r w:rsidRPr="00EB088B">
        <w:t xml:space="preserve">Eye </w:t>
      </w:r>
      <w:r w:rsidR="00E57922" w:rsidRPr="00EB088B">
        <w:t xml:space="preserve">tissue </w:t>
      </w:r>
      <w:r w:rsidRPr="00EB088B">
        <w:t xml:space="preserve">suitability </w:t>
      </w:r>
    </w:p>
    <w:p w14:paraId="61615BB6" w14:textId="72FB3D8C" w:rsidR="00E57922" w:rsidRPr="00E57922" w:rsidRDefault="00E57922"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Medical suitability for eye donation is broad with only a few </w:t>
      </w:r>
      <w:r>
        <w:rPr>
          <w:rFonts w:ascii="Calibri" w:hAnsi="Calibri" w:cs="Calibri"/>
          <w:kern w:val="0"/>
          <w:szCs w:val="22"/>
          <w:u w:color="0000FF"/>
          <w:lang w:val="en-GB"/>
        </w:rPr>
        <w:t>contraindications</w:t>
      </w:r>
      <w:r w:rsidRPr="007E1B57">
        <w:rPr>
          <w:rFonts w:ascii="Calibri" w:hAnsi="Calibri" w:cs="Calibri"/>
          <w:kern w:val="0"/>
          <w:szCs w:val="22"/>
          <w:u w:color="0000FF"/>
          <w:lang w:val="en-GB"/>
        </w:rPr>
        <w:t>, such as HIV and hepatitis. Active cancer (other than haematological cancer) is not an absolute contraindication. Donor age is not as important as it is for organ donation with most eye donors aged in their 70</w:t>
      </w:r>
      <w:r>
        <w:rPr>
          <w:rFonts w:ascii="Calibri" w:hAnsi="Calibri" w:cs="Calibri"/>
          <w:kern w:val="0"/>
          <w:szCs w:val="22"/>
          <w:u w:color="0000FF"/>
          <w:lang w:val="en-GB"/>
        </w:rPr>
        <w:t>s. Having</w:t>
      </w:r>
      <w:r w:rsidRPr="007E1B57">
        <w:rPr>
          <w:rFonts w:ascii="Calibri" w:hAnsi="Calibri" w:cs="Calibri"/>
          <w:kern w:val="0"/>
          <w:szCs w:val="22"/>
          <w:u w:color="0000FF"/>
          <w:lang w:val="en-GB"/>
        </w:rPr>
        <w:t xml:space="preserve"> impaired vision does not prevent eye donation. </w:t>
      </w:r>
    </w:p>
    <w:p w14:paraId="6C20C73A" w14:textId="77777777" w:rsidR="006C6EBA" w:rsidRPr="00EB088B" w:rsidRDefault="006C6EBA" w:rsidP="00EB088B">
      <w:pPr>
        <w:pStyle w:val="Heading4"/>
      </w:pPr>
      <w:r w:rsidRPr="00EB088B">
        <w:t xml:space="preserve">Tissue suitability </w:t>
      </w:r>
    </w:p>
    <w:p w14:paraId="3EE0ABAC" w14:textId="04811099" w:rsidR="00E57922" w:rsidRPr="00E57922" w:rsidRDefault="00E57922"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A single </w:t>
      </w:r>
      <w:r>
        <w:rPr>
          <w:rFonts w:ascii="Calibri" w:hAnsi="Calibri" w:cs="Calibri"/>
          <w:kern w:val="0"/>
          <w:szCs w:val="22"/>
          <w:u w:color="0000FF"/>
          <w:lang w:val="en-GB"/>
        </w:rPr>
        <w:t xml:space="preserve">deceased </w:t>
      </w:r>
      <w:r w:rsidRPr="007E1B57">
        <w:rPr>
          <w:rFonts w:ascii="Calibri" w:hAnsi="Calibri" w:cs="Calibri"/>
          <w:kern w:val="0"/>
          <w:szCs w:val="22"/>
          <w:u w:color="0000FF"/>
          <w:lang w:val="en-GB"/>
        </w:rPr>
        <w:t xml:space="preserve">donor can provide tissue that may be transplanted into many different individuals. Medical suitability </w:t>
      </w:r>
      <w:r>
        <w:rPr>
          <w:rFonts w:ascii="Calibri" w:hAnsi="Calibri" w:cs="Calibri"/>
          <w:kern w:val="0"/>
          <w:szCs w:val="22"/>
          <w:u w:color="0000FF"/>
          <w:lang w:val="en-GB"/>
        </w:rPr>
        <w:t xml:space="preserve">criteria </w:t>
      </w:r>
      <w:r w:rsidRPr="007E1B57">
        <w:rPr>
          <w:rFonts w:ascii="Calibri" w:hAnsi="Calibri" w:cs="Calibri"/>
          <w:kern w:val="0"/>
          <w:szCs w:val="22"/>
          <w:u w:color="0000FF"/>
          <w:lang w:val="en-GB"/>
        </w:rPr>
        <w:t xml:space="preserve">for </w:t>
      </w:r>
      <w:r>
        <w:rPr>
          <w:rFonts w:ascii="Calibri" w:hAnsi="Calibri" w:cs="Calibri"/>
          <w:kern w:val="0"/>
          <w:szCs w:val="22"/>
          <w:u w:color="0000FF"/>
          <w:lang w:val="en-GB"/>
        </w:rPr>
        <w:t xml:space="preserve">deceased tissue </w:t>
      </w:r>
      <w:r w:rsidRPr="007E1B57">
        <w:rPr>
          <w:rFonts w:ascii="Calibri" w:hAnsi="Calibri" w:cs="Calibri"/>
          <w:kern w:val="0"/>
          <w:szCs w:val="22"/>
          <w:u w:color="0000FF"/>
          <w:lang w:val="en-GB"/>
        </w:rPr>
        <w:t xml:space="preserve">donation </w:t>
      </w:r>
      <w:r>
        <w:rPr>
          <w:rFonts w:ascii="Calibri" w:hAnsi="Calibri" w:cs="Calibri"/>
          <w:kern w:val="0"/>
          <w:szCs w:val="22"/>
          <w:u w:color="0000FF"/>
          <w:lang w:val="en-GB"/>
        </w:rPr>
        <w:t>are</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 xml:space="preserve">often </w:t>
      </w:r>
      <w:r w:rsidRPr="007E1B57">
        <w:rPr>
          <w:rFonts w:ascii="Calibri" w:hAnsi="Calibri" w:cs="Calibri"/>
          <w:kern w:val="0"/>
          <w:szCs w:val="22"/>
          <w:u w:color="0000FF"/>
          <w:lang w:val="en-GB"/>
        </w:rPr>
        <w:t>narrow</w:t>
      </w:r>
      <w:r>
        <w:rPr>
          <w:rFonts w:ascii="Calibri" w:hAnsi="Calibri" w:cs="Calibri"/>
          <w:kern w:val="0"/>
          <w:szCs w:val="22"/>
          <w:u w:color="0000FF"/>
          <w:lang w:val="en-GB"/>
        </w:rPr>
        <w:t>er</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 xml:space="preserve">because donors risk transmitting </w:t>
      </w:r>
      <w:r w:rsidRPr="007E1B57">
        <w:rPr>
          <w:rFonts w:ascii="Calibri" w:hAnsi="Calibri" w:cs="Calibri"/>
          <w:kern w:val="0"/>
          <w:szCs w:val="22"/>
          <w:u w:color="0000FF"/>
          <w:lang w:val="en-GB"/>
        </w:rPr>
        <w:t xml:space="preserve">disease to many recipients and </w:t>
      </w:r>
      <w:r>
        <w:rPr>
          <w:rFonts w:ascii="Calibri" w:hAnsi="Calibri" w:cs="Calibri"/>
          <w:kern w:val="0"/>
          <w:szCs w:val="22"/>
          <w:u w:color="0000FF"/>
          <w:lang w:val="en-GB"/>
        </w:rPr>
        <w:t>there are</w:t>
      </w:r>
      <w:r w:rsidRPr="007E1B57">
        <w:rPr>
          <w:rFonts w:ascii="Calibri" w:hAnsi="Calibri" w:cs="Calibri"/>
          <w:kern w:val="0"/>
          <w:szCs w:val="22"/>
          <w:u w:color="0000FF"/>
          <w:lang w:val="en-GB"/>
        </w:rPr>
        <w:t xml:space="preserve"> alternative therapeutic options </w:t>
      </w:r>
      <w:r>
        <w:rPr>
          <w:rFonts w:ascii="Calibri" w:hAnsi="Calibri" w:cs="Calibri"/>
          <w:kern w:val="0"/>
          <w:szCs w:val="22"/>
          <w:u w:color="0000FF"/>
          <w:lang w:val="en-GB"/>
        </w:rPr>
        <w:t>for many types of tissue transplant</w:t>
      </w:r>
      <w:r w:rsidRPr="007E1B57">
        <w:rPr>
          <w:rFonts w:ascii="Calibri" w:hAnsi="Calibri" w:cs="Calibri"/>
          <w:kern w:val="0"/>
          <w:szCs w:val="22"/>
          <w:u w:color="0000FF"/>
          <w:lang w:val="en-GB"/>
        </w:rPr>
        <w:t xml:space="preserve">. Cancer, most infections, and many immunological and degenerative conditions are contraindications to tissue donation. </w:t>
      </w:r>
    </w:p>
    <w:p w14:paraId="38A44F11" w14:textId="77777777" w:rsidR="006C6EBA" w:rsidRPr="007E780A" w:rsidRDefault="006C6EBA" w:rsidP="007E780A">
      <w:pPr>
        <w:pStyle w:val="Heading3"/>
      </w:pPr>
      <w:bookmarkStart w:id="353" w:name="_Family_approach_and"/>
      <w:bookmarkEnd w:id="353"/>
      <w:r w:rsidRPr="007E780A">
        <w:t xml:space="preserve">Family approach and authorisation </w:t>
      </w:r>
    </w:p>
    <w:p w14:paraId="1B224802" w14:textId="77777777" w:rsidR="00E57922" w:rsidRPr="007E1B57" w:rsidRDefault="00E57922"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Deceased donation of tissues usually does not involve any changes to end-of-life care before death.</w:t>
      </w:r>
    </w:p>
    <w:p w14:paraId="0D3125A8" w14:textId="77777777" w:rsidR="00E57922" w:rsidRDefault="00E57922"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Once medical suitability has been established by the relevant eye and tissue bank and the AODR has been checked for registration status, the family approach may be undertaken by hospital staff (when the person has died in hospital) or by the eye and tissue bank staff, usually by telephone contact in the hours after death. </w:t>
      </w:r>
    </w:p>
    <w:p w14:paraId="2A2BB039" w14:textId="24DD42DF" w:rsidR="00E57922" w:rsidRPr="00E12EC0" w:rsidRDefault="00E57922"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When death and eye and/or tissue </w:t>
      </w:r>
      <w:r>
        <w:rPr>
          <w:rFonts w:ascii="Calibri" w:hAnsi="Calibri" w:cs="Calibri"/>
          <w:kern w:val="0"/>
          <w:szCs w:val="22"/>
          <w:u w:color="0000FF"/>
          <w:lang w:val="en-GB"/>
        </w:rPr>
        <w:t>donation</w:t>
      </w:r>
      <w:r w:rsidRPr="007E1B57">
        <w:rPr>
          <w:rFonts w:ascii="Calibri" w:hAnsi="Calibri" w:cs="Calibri"/>
          <w:kern w:val="0"/>
          <w:szCs w:val="22"/>
          <w:u w:color="0000FF"/>
          <w:lang w:val="en-GB"/>
        </w:rPr>
        <w:t xml:space="preserve"> is to occur in a hospital, authorisation from the designated officer of the hospital must be provided. Deaths that are reportable to the coroner also require consent from the coroner for eye and /or tissue donation to occur</w:t>
      </w:r>
      <w:r w:rsidR="00E12EC0">
        <w:rPr>
          <w:rFonts w:ascii="Calibri" w:hAnsi="Calibri" w:cs="Calibri"/>
          <w:kern w:val="0"/>
          <w:szCs w:val="22"/>
          <w:u w:color="0000FF"/>
          <w:lang w:val="en-GB"/>
        </w:rPr>
        <w:t xml:space="preserve"> (see </w:t>
      </w:r>
      <w:hyperlink w:anchor="_Role_of_the" w:history="1">
        <w:r w:rsidR="00E12EC0" w:rsidRPr="00E12EC0">
          <w:rPr>
            <w:rStyle w:val="Hyperlink"/>
            <w:rFonts w:ascii="Calibri" w:hAnsi="Calibri" w:cs="Calibri"/>
            <w:kern w:val="0"/>
            <w:szCs w:val="22"/>
            <w:lang w:val="en-GB"/>
          </w:rPr>
          <w:t>Chapter 4.4.1.1</w:t>
        </w:r>
      </w:hyperlink>
      <w:r w:rsidR="00E12EC0">
        <w:rPr>
          <w:rFonts w:ascii="Calibri" w:hAnsi="Calibri" w:cs="Calibri"/>
          <w:kern w:val="0"/>
          <w:szCs w:val="22"/>
          <w:u w:color="0000FF"/>
          <w:lang w:val="en-GB"/>
        </w:rPr>
        <w:t>)</w:t>
      </w:r>
      <w:r w:rsidRPr="007E1B57">
        <w:rPr>
          <w:rFonts w:ascii="Calibri" w:hAnsi="Calibri" w:cs="Calibri"/>
          <w:kern w:val="0"/>
          <w:szCs w:val="22"/>
          <w:u w:color="0000FF"/>
          <w:lang w:val="en-GB"/>
        </w:rPr>
        <w:t xml:space="preserve">. </w:t>
      </w:r>
    </w:p>
    <w:p w14:paraId="3BEDEBF9" w14:textId="77777777" w:rsidR="006C6EBA" w:rsidRPr="00EB088B" w:rsidRDefault="006C6EBA" w:rsidP="00EB088B">
      <w:pPr>
        <w:pStyle w:val="Heading3"/>
      </w:pPr>
      <w:bookmarkStart w:id="354" w:name="_Eye_and_tissue"/>
      <w:bookmarkEnd w:id="354"/>
      <w:r w:rsidRPr="00EB088B">
        <w:t xml:space="preserve">Eye and tissue donation surgery </w:t>
      </w:r>
    </w:p>
    <w:p w14:paraId="4D42F20E" w14:textId="77777777" w:rsidR="00E12EC0" w:rsidRDefault="00E12EC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The eye donation procedure can take place in the hospital ward, mortuary, operating theatre if organ donation is also occurring, funeral home, coronial services, or donor tissue bank facility. </w:t>
      </w:r>
      <w:r>
        <w:rPr>
          <w:rFonts w:ascii="Calibri" w:hAnsi="Calibri" w:cs="Calibri"/>
          <w:kern w:val="0"/>
          <w:szCs w:val="22"/>
          <w:u w:color="0000FF"/>
          <w:lang w:val="en-GB"/>
        </w:rPr>
        <w:t>Procedures for donation</w:t>
      </w:r>
      <w:r w:rsidRPr="007E1B57">
        <w:rPr>
          <w:rFonts w:ascii="Calibri" w:hAnsi="Calibri" w:cs="Calibri"/>
          <w:kern w:val="0"/>
          <w:szCs w:val="22"/>
          <w:u w:color="0000FF"/>
          <w:lang w:val="en-GB"/>
        </w:rPr>
        <w:t xml:space="preserve"> </w:t>
      </w:r>
      <w:r>
        <w:rPr>
          <w:rFonts w:ascii="Calibri" w:hAnsi="Calibri" w:cs="Calibri"/>
          <w:kern w:val="0"/>
          <w:szCs w:val="22"/>
          <w:u w:color="0000FF"/>
          <w:lang w:val="en-GB"/>
        </w:rPr>
        <w:t xml:space="preserve">of other tissues </w:t>
      </w:r>
      <w:r w:rsidRPr="007E1B57">
        <w:rPr>
          <w:rFonts w:ascii="Calibri" w:hAnsi="Calibri" w:cs="Calibri"/>
          <w:kern w:val="0"/>
          <w:szCs w:val="22"/>
          <w:u w:color="0000FF"/>
          <w:lang w:val="en-GB"/>
        </w:rPr>
        <w:t xml:space="preserve">may occur in the hospital operating theatre, mortuary or </w:t>
      </w:r>
      <w:r>
        <w:rPr>
          <w:rFonts w:ascii="Calibri" w:hAnsi="Calibri" w:cs="Calibri"/>
          <w:kern w:val="0"/>
          <w:szCs w:val="22"/>
          <w:u w:color="0000FF"/>
          <w:lang w:val="en-GB"/>
        </w:rPr>
        <w:t xml:space="preserve">a </w:t>
      </w:r>
      <w:r w:rsidRPr="007E1B57">
        <w:rPr>
          <w:rFonts w:ascii="Calibri" w:hAnsi="Calibri" w:cs="Calibri"/>
          <w:kern w:val="0"/>
          <w:szCs w:val="22"/>
          <w:u w:color="0000FF"/>
          <w:lang w:val="en-GB"/>
        </w:rPr>
        <w:t xml:space="preserve">dedicated tissue banking facility, depending on local processes, availability, and access to a suitable environment that meets the standards required. </w:t>
      </w:r>
    </w:p>
    <w:p w14:paraId="1C4CD6C9" w14:textId="77777777" w:rsidR="00E12EC0" w:rsidRDefault="00E12EC0"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lastRenderedPageBreak/>
        <w:t xml:space="preserve">At the completion of retrieval procedures, depending on which tissues have been donated and according to the preferences of the donor and their family, the deceased is prepared for transfer to the mortuary or funeral services. </w:t>
      </w:r>
    </w:p>
    <w:p w14:paraId="4AD88C60" w14:textId="77777777" w:rsidR="00E12EC0" w:rsidRPr="007E1B57" w:rsidRDefault="00E12EC0"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The family are advised about the donor’s appearance and steps may be taken to preserve the donor’s appearance. For example, the</w:t>
      </w:r>
      <w:r w:rsidRPr="007E1B57">
        <w:rPr>
          <w:rFonts w:ascii="Calibri" w:hAnsi="Calibri" w:cs="Calibri"/>
          <w:kern w:val="0"/>
          <w:szCs w:val="22"/>
          <w:u w:color="0000FF"/>
          <w:lang w:val="en-GB"/>
        </w:rPr>
        <w:t xml:space="preserve"> whole eye is usually donated and is replaced with a spherical prosthesis to maintain the shape and appearance of the eye. Some eye donation services can also facilitate the donation of just the corneal tissue, which is replaced with a contact lens sized prothesis to maintain the appearance of the eye. </w:t>
      </w:r>
      <w:r>
        <w:rPr>
          <w:rFonts w:ascii="Calibri" w:hAnsi="Calibri" w:cs="Calibri"/>
          <w:kern w:val="0"/>
          <w:szCs w:val="22"/>
          <w:u w:color="0000FF"/>
          <w:lang w:val="en-GB"/>
        </w:rPr>
        <w:t>Similarly, when l</w:t>
      </w:r>
      <w:r w:rsidRPr="007E1B57">
        <w:rPr>
          <w:rFonts w:ascii="Calibri" w:hAnsi="Calibri" w:cs="Calibri"/>
          <w:kern w:val="0"/>
          <w:szCs w:val="22"/>
          <w:u w:color="0000FF"/>
          <w:lang w:val="en-GB"/>
        </w:rPr>
        <w:t xml:space="preserve">ong bones are </w:t>
      </w:r>
      <w:r>
        <w:rPr>
          <w:rFonts w:ascii="Calibri" w:hAnsi="Calibri" w:cs="Calibri"/>
          <w:kern w:val="0"/>
          <w:szCs w:val="22"/>
          <w:u w:color="0000FF"/>
          <w:lang w:val="en-GB"/>
        </w:rPr>
        <w:t xml:space="preserve">donated, these may be </w:t>
      </w:r>
      <w:r w:rsidRPr="007E1B57">
        <w:rPr>
          <w:rFonts w:ascii="Calibri" w:hAnsi="Calibri" w:cs="Calibri"/>
          <w:kern w:val="0"/>
          <w:szCs w:val="22"/>
          <w:u w:color="0000FF"/>
          <w:lang w:val="en-GB"/>
        </w:rPr>
        <w:t xml:space="preserve">replaced with protheses to maintain the shape of the </w:t>
      </w:r>
      <w:r>
        <w:rPr>
          <w:rFonts w:ascii="Calibri" w:hAnsi="Calibri" w:cs="Calibri"/>
          <w:kern w:val="0"/>
          <w:szCs w:val="22"/>
          <w:u w:color="0000FF"/>
          <w:lang w:val="en-GB"/>
        </w:rPr>
        <w:t xml:space="preserve">donor’s </w:t>
      </w:r>
      <w:r w:rsidRPr="007E1B57">
        <w:rPr>
          <w:rFonts w:ascii="Calibri" w:hAnsi="Calibri" w:cs="Calibri"/>
          <w:kern w:val="0"/>
          <w:szCs w:val="22"/>
          <w:u w:color="0000FF"/>
          <w:lang w:val="en-GB"/>
        </w:rPr>
        <w:t xml:space="preserve">limbs. </w:t>
      </w:r>
    </w:p>
    <w:p w14:paraId="1461470B" w14:textId="0C9F1F89" w:rsidR="006C6EBA" w:rsidRPr="00EB088B" w:rsidRDefault="006C6EBA" w:rsidP="00EB088B">
      <w:pPr>
        <w:pStyle w:val="Heading3"/>
      </w:pPr>
      <w:bookmarkStart w:id="355" w:name="_Storage_and_allocation"/>
      <w:bookmarkEnd w:id="355"/>
      <w:r w:rsidRPr="00EB088B">
        <w:t>Storage and allocation of tissue</w:t>
      </w:r>
      <w:r w:rsidR="00704915" w:rsidRPr="00EB088B">
        <w:t xml:space="preserve">s </w:t>
      </w:r>
    </w:p>
    <w:p w14:paraId="42FA5B42" w14:textId="77777777" w:rsidR="00E12EC0" w:rsidRPr="007E1B57" w:rsidRDefault="00E12EC0"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In contrast to</w:t>
      </w:r>
      <w:r w:rsidRPr="007E1B57">
        <w:rPr>
          <w:rFonts w:ascii="Calibri" w:hAnsi="Calibri" w:cs="Calibri"/>
          <w:kern w:val="0"/>
          <w:szCs w:val="22"/>
          <w:u w:color="0000FF"/>
          <w:lang w:val="en-GB"/>
        </w:rPr>
        <w:t xml:space="preserve"> organs, tissues can be stored for longer periods of time before being distributed for transplantation. While corneal tissue must be transplanted </w:t>
      </w:r>
      <w:r>
        <w:rPr>
          <w:rFonts w:ascii="Calibri" w:hAnsi="Calibri" w:cs="Calibri"/>
          <w:kern w:val="0"/>
          <w:szCs w:val="22"/>
          <w:u w:color="0000FF"/>
          <w:lang w:val="en-GB"/>
        </w:rPr>
        <w:t>within</w:t>
      </w:r>
      <w:r w:rsidRPr="007E1B57">
        <w:rPr>
          <w:rFonts w:ascii="Calibri" w:hAnsi="Calibri" w:cs="Calibri"/>
          <w:kern w:val="0"/>
          <w:szCs w:val="22"/>
          <w:u w:color="0000FF"/>
          <w:lang w:val="en-GB"/>
        </w:rPr>
        <w:t xml:space="preserve"> 6 – 30 days </w:t>
      </w:r>
      <w:r>
        <w:rPr>
          <w:rFonts w:ascii="Calibri" w:hAnsi="Calibri" w:cs="Calibri"/>
          <w:kern w:val="0"/>
          <w:szCs w:val="22"/>
          <w:u w:color="0000FF"/>
          <w:lang w:val="en-GB"/>
        </w:rPr>
        <w:t xml:space="preserve">following the donor’s death, </w:t>
      </w:r>
      <w:r w:rsidRPr="007E1B57">
        <w:rPr>
          <w:rFonts w:ascii="Calibri" w:hAnsi="Calibri" w:cs="Calibri"/>
          <w:kern w:val="0"/>
          <w:szCs w:val="22"/>
          <w:u w:color="0000FF"/>
          <w:lang w:val="en-GB"/>
        </w:rPr>
        <w:t xml:space="preserve">other tissues </w:t>
      </w:r>
      <w:r>
        <w:rPr>
          <w:rFonts w:ascii="Calibri" w:hAnsi="Calibri" w:cs="Calibri"/>
          <w:kern w:val="0"/>
          <w:szCs w:val="22"/>
          <w:u w:color="0000FF"/>
          <w:lang w:val="en-GB"/>
        </w:rPr>
        <w:t>may sometimes</w:t>
      </w:r>
      <w:r w:rsidRPr="007E1B57">
        <w:rPr>
          <w:rFonts w:ascii="Calibri" w:hAnsi="Calibri" w:cs="Calibri"/>
          <w:kern w:val="0"/>
          <w:szCs w:val="22"/>
          <w:u w:color="0000FF"/>
          <w:lang w:val="en-GB"/>
        </w:rPr>
        <w:t xml:space="preserve"> be stored f</w:t>
      </w:r>
      <w:r>
        <w:rPr>
          <w:rFonts w:ascii="Calibri" w:hAnsi="Calibri" w:cs="Calibri"/>
          <w:kern w:val="0"/>
          <w:szCs w:val="22"/>
          <w:u w:color="0000FF"/>
          <w:lang w:val="en-GB"/>
        </w:rPr>
        <w:t>or up to 10 years, f</w:t>
      </w:r>
      <w:r w:rsidRPr="007E1B57">
        <w:rPr>
          <w:rFonts w:ascii="Calibri" w:hAnsi="Calibri" w:cs="Calibri"/>
          <w:kern w:val="0"/>
          <w:szCs w:val="22"/>
          <w:u w:color="0000FF"/>
          <w:lang w:val="en-GB"/>
        </w:rPr>
        <w:t xml:space="preserve">ollowing processing under appropriate and controlled conditions. </w:t>
      </w:r>
    </w:p>
    <w:p w14:paraId="198BD5A9" w14:textId="77777777" w:rsidR="00E12EC0" w:rsidRPr="007E1B57" w:rsidRDefault="00E12EC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Most </w:t>
      </w:r>
      <w:r>
        <w:rPr>
          <w:rFonts w:ascii="Calibri" w:hAnsi="Calibri" w:cs="Calibri"/>
          <w:kern w:val="0"/>
          <w:szCs w:val="22"/>
          <w:u w:color="0000FF"/>
          <w:lang w:val="en-GB"/>
        </w:rPr>
        <w:t>e</w:t>
      </w:r>
      <w:r w:rsidRPr="007E1B57">
        <w:rPr>
          <w:rFonts w:ascii="Calibri" w:hAnsi="Calibri" w:cs="Calibri"/>
          <w:kern w:val="0"/>
          <w:szCs w:val="22"/>
          <w:u w:color="0000FF"/>
          <w:lang w:val="en-GB"/>
        </w:rPr>
        <w:t xml:space="preserve">ye </w:t>
      </w:r>
      <w:r>
        <w:rPr>
          <w:rFonts w:ascii="Calibri" w:hAnsi="Calibri" w:cs="Calibri"/>
          <w:kern w:val="0"/>
          <w:szCs w:val="22"/>
          <w:u w:color="0000FF"/>
          <w:lang w:val="en-GB"/>
        </w:rPr>
        <w:t>b</w:t>
      </w:r>
      <w:r w:rsidRPr="007E1B57">
        <w:rPr>
          <w:rFonts w:ascii="Calibri" w:hAnsi="Calibri" w:cs="Calibri"/>
          <w:kern w:val="0"/>
          <w:szCs w:val="22"/>
          <w:u w:color="0000FF"/>
          <w:lang w:val="en-GB"/>
        </w:rPr>
        <w:t xml:space="preserve">anks work closely with </w:t>
      </w:r>
      <w:r>
        <w:rPr>
          <w:rFonts w:ascii="Calibri" w:hAnsi="Calibri" w:cs="Calibri"/>
          <w:kern w:val="0"/>
          <w:szCs w:val="22"/>
          <w:u w:color="0000FF"/>
          <w:lang w:val="en-GB"/>
        </w:rPr>
        <w:t>ophthalmologists who perform corneal transplants</w:t>
      </w:r>
      <w:r w:rsidRPr="007E1B57">
        <w:rPr>
          <w:rFonts w:ascii="Calibri" w:hAnsi="Calibri" w:cs="Calibri"/>
          <w:kern w:val="0"/>
          <w:szCs w:val="22"/>
          <w:u w:color="0000FF"/>
          <w:lang w:val="en-GB"/>
        </w:rPr>
        <w:t xml:space="preserve"> and align availability of eye tissue as surgeries are scheduled. </w:t>
      </w:r>
      <w:r>
        <w:rPr>
          <w:rFonts w:ascii="Calibri" w:hAnsi="Calibri" w:cs="Calibri"/>
          <w:kern w:val="0"/>
          <w:szCs w:val="22"/>
          <w:u w:color="0000FF"/>
          <w:lang w:val="en-GB"/>
        </w:rPr>
        <w:t>T</w:t>
      </w:r>
      <w:r w:rsidRPr="007E1B57">
        <w:rPr>
          <w:rFonts w:ascii="Calibri" w:hAnsi="Calibri" w:cs="Calibri"/>
          <w:kern w:val="0"/>
          <w:szCs w:val="22"/>
          <w:u w:color="0000FF"/>
          <w:lang w:val="en-GB"/>
        </w:rPr>
        <w:t xml:space="preserve">issue banks </w:t>
      </w:r>
      <w:r>
        <w:rPr>
          <w:rFonts w:ascii="Calibri" w:hAnsi="Calibri" w:cs="Calibri"/>
          <w:kern w:val="0"/>
          <w:szCs w:val="22"/>
          <w:u w:color="0000FF"/>
          <w:lang w:val="en-GB"/>
        </w:rPr>
        <w:t xml:space="preserve">may also </w:t>
      </w:r>
      <w:r w:rsidRPr="007E1B57">
        <w:rPr>
          <w:rFonts w:ascii="Calibri" w:hAnsi="Calibri" w:cs="Calibri"/>
          <w:kern w:val="0"/>
          <w:szCs w:val="22"/>
          <w:u w:color="0000FF"/>
          <w:lang w:val="en-GB"/>
        </w:rPr>
        <w:t xml:space="preserve">follow ‘in house’ distribution protocols, where the close interaction between the tissue banks and the community of end-users </w:t>
      </w:r>
      <w:r>
        <w:rPr>
          <w:rFonts w:ascii="Calibri" w:hAnsi="Calibri" w:cs="Calibri"/>
          <w:kern w:val="0"/>
          <w:szCs w:val="22"/>
          <w:u w:color="0000FF"/>
          <w:lang w:val="en-GB"/>
        </w:rPr>
        <w:t xml:space="preserve">such as surgeons who use tissue grafts </w:t>
      </w:r>
      <w:r w:rsidRPr="007E1B57">
        <w:rPr>
          <w:rFonts w:ascii="Calibri" w:hAnsi="Calibri" w:cs="Calibri"/>
          <w:kern w:val="0"/>
          <w:szCs w:val="22"/>
          <w:u w:color="0000FF"/>
          <w:lang w:val="en-GB"/>
        </w:rPr>
        <w:t>establishes the priorities of access where needed and, in particular, in scenarios of undersupply or emergencies (e.g.</w:t>
      </w:r>
      <w:r>
        <w:rPr>
          <w:rFonts w:ascii="Calibri" w:hAnsi="Calibri" w:cs="Calibri"/>
          <w:kern w:val="0"/>
          <w:szCs w:val="22"/>
          <w:u w:color="0000FF"/>
          <w:lang w:val="en-GB"/>
        </w:rPr>
        <w:t>,</w:t>
      </w:r>
      <w:r w:rsidRPr="007E1B57">
        <w:rPr>
          <w:rFonts w:ascii="Calibri" w:hAnsi="Calibri" w:cs="Calibri"/>
          <w:kern w:val="0"/>
          <w:szCs w:val="22"/>
          <w:u w:color="0000FF"/>
          <w:lang w:val="en-GB"/>
        </w:rPr>
        <w:t xml:space="preserve"> skin for burns).</w:t>
      </w:r>
    </w:p>
    <w:p w14:paraId="24907057" w14:textId="77777777" w:rsidR="00E12EC0" w:rsidRPr="00E12EC0" w:rsidRDefault="00E12EC0"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Tissues can be packaged and transported under controlled conditions across national and international borders. Thus, not uncommonly tissues donated and processed in one Australian </w:t>
      </w:r>
      <w:r w:rsidRPr="00E12EC0">
        <w:rPr>
          <w:rFonts w:ascii="Calibri" w:hAnsi="Calibri" w:cs="Calibri"/>
          <w:kern w:val="0"/>
          <w:szCs w:val="22"/>
          <w:u w:color="0000FF"/>
          <w:lang w:val="en-GB"/>
        </w:rPr>
        <w:t xml:space="preserve">jurisdiction may be delivered for transplantation to a recipient residing in another state or territory. </w:t>
      </w:r>
    </w:p>
    <w:p w14:paraId="5C0D7939" w14:textId="2D44920C" w:rsidR="006C6EBA" w:rsidRPr="00E12EC0" w:rsidRDefault="006C6EBA" w:rsidP="00EA22AE">
      <w:pPr>
        <w:autoSpaceDE w:val="0"/>
        <w:autoSpaceDN w:val="0"/>
        <w:adjustRightInd w:val="0"/>
        <w:spacing w:after="120"/>
        <w:rPr>
          <w:rFonts w:ascii="Calibri" w:hAnsi="Calibri" w:cs="Calibri"/>
          <w:sz w:val="22"/>
          <w:szCs w:val="22"/>
        </w:rPr>
      </w:pPr>
      <w:r w:rsidRPr="00E12EC0">
        <w:rPr>
          <w:rFonts w:ascii="Calibri" w:hAnsi="Calibri" w:cs="Calibri"/>
          <w:sz w:val="22"/>
          <w:szCs w:val="22"/>
        </w:rPr>
        <w:t xml:space="preserve">Exportation of tissues is not a frequent event and over time has been </w:t>
      </w:r>
      <w:r w:rsidR="00E12EC0">
        <w:rPr>
          <w:rFonts w:ascii="Calibri" w:hAnsi="Calibri" w:cs="Calibri"/>
          <w:sz w:val="22"/>
          <w:szCs w:val="22"/>
        </w:rPr>
        <w:t>mostly</w:t>
      </w:r>
      <w:r w:rsidRPr="00E12EC0">
        <w:rPr>
          <w:rFonts w:ascii="Calibri" w:hAnsi="Calibri" w:cs="Calibri"/>
          <w:sz w:val="22"/>
          <w:szCs w:val="22"/>
        </w:rPr>
        <w:t xml:space="preserve"> limited to corneal tissue (when local availability was deemed sufficient and in a formal international collaboration) or in emergency situations. </w:t>
      </w:r>
    </w:p>
    <w:p w14:paraId="0BF06829" w14:textId="33A99AA9" w:rsidR="006C6EBA" w:rsidRPr="00EB088B" w:rsidRDefault="006C6EBA" w:rsidP="00EB088B">
      <w:pPr>
        <w:pStyle w:val="Heading3"/>
      </w:pPr>
      <w:bookmarkStart w:id="356" w:name="_Processing,_manufacture_and"/>
      <w:bookmarkEnd w:id="356"/>
      <w:r w:rsidRPr="00EB088B">
        <w:t>Processing</w:t>
      </w:r>
      <w:r w:rsidR="00704915" w:rsidRPr="00EB088B">
        <w:t>,</w:t>
      </w:r>
      <w:r w:rsidRPr="00EB088B">
        <w:t xml:space="preserve"> manufacture and use of tissues </w:t>
      </w:r>
    </w:p>
    <w:p w14:paraId="20D8A851" w14:textId="77777777" w:rsidR="006C6EBA" w:rsidRPr="00704915" w:rsidRDefault="006C6EBA" w:rsidP="00EA22AE">
      <w:pPr>
        <w:spacing w:after="120"/>
        <w:rPr>
          <w:rFonts w:ascii="Calibri" w:hAnsi="Calibri" w:cs="Calibri"/>
          <w:sz w:val="22"/>
          <w:szCs w:val="22"/>
        </w:rPr>
      </w:pPr>
      <w:r w:rsidRPr="00704915">
        <w:rPr>
          <w:rFonts w:ascii="Calibri" w:hAnsi="Calibri" w:cs="Calibri"/>
          <w:sz w:val="22"/>
          <w:szCs w:val="22"/>
        </w:rPr>
        <w:t xml:space="preserve">Tissues collected from a single donor can be further processed into numerous specialised transplants or grafts. Work must take place in an TGA licenced tissue banking or manufacturing facilities where controlled environments and audited processes ensure that the resulting transplants retain their unique biological quality and efficacy and remain safe to recipients. </w:t>
      </w:r>
    </w:p>
    <w:p w14:paraId="32BDE07A" w14:textId="29754A91" w:rsidR="006C6EBA" w:rsidRPr="00704915" w:rsidRDefault="006C6EBA" w:rsidP="00EA22AE">
      <w:pPr>
        <w:spacing w:after="120"/>
        <w:rPr>
          <w:rFonts w:ascii="Calibri" w:hAnsi="Calibri" w:cs="Calibri"/>
          <w:sz w:val="22"/>
          <w:szCs w:val="22"/>
        </w:rPr>
      </w:pPr>
      <w:r w:rsidRPr="00704915">
        <w:rPr>
          <w:rFonts w:ascii="Calibri" w:hAnsi="Calibri" w:cs="Calibri"/>
          <w:sz w:val="22"/>
          <w:szCs w:val="22"/>
        </w:rPr>
        <w:t>Like medicines, only eye and tissue transplants processed in accordance with TGA approved technical dossiers and is compliant to the quality and safety requirements, can be listed in the Australian Registry of Therapeutic Goods</w:t>
      </w:r>
      <w:r w:rsidR="007A0000" w:rsidRPr="00704915">
        <w:rPr>
          <w:rFonts w:ascii="Calibri" w:hAnsi="Calibri" w:cs="Calibri"/>
          <w:sz w:val="22"/>
          <w:szCs w:val="22"/>
        </w:rPr>
        <w:t xml:space="preserve"> (</w:t>
      </w:r>
      <w:r w:rsidRPr="00704915">
        <w:rPr>
          <w:rFonts w:ascii="Calibri" w:hAnsi="Calibri" w:cs="Calibri"/>
          <w:sz w:val="22"/>
          <w:szCs w:val="22"/>
        </w:rPr>
        <w:t>ARTG</w:t>
      </w:r>
      <w:r w:rsidR="007A0000" w:rsidRPr="00704915">
        <w:rPr>
          <w:rFonts w:ascii="Calibri" w:hAnsi="Calibri" w:cs="Calibri"/>
          <w:sz w:val="22"/>
          <w:szCs w:val="22"/>
        </w:rPr>
        <w:t>)</w:t>
      </w:r>
      <w:r w:rsidRPr="00704915">
        <w:rPr>
          <w:rFonts w:ascii="Calibri" w:hAnsi="Calibri" w:cs="Calibri"/>
          <w:sz w:val="22"/>
          <w:szCs w:val="22"/>
        </w:rPr>
        <w:t>. Listing in the ARTG is a pre-requisite for distribution in Australia</w:t>
      </w:r>
      <w:r w:rsidR="007A0000" w:rsidRPr="00704915">
        <w:rPr>
          <w:rFonts w:ascii="Calibri" w:hAnsi="Calibri" w:cs="Calibri"/>
          <w:sz w:val="22"/>
          <w:szCs w:val="22"/>
        </w:rPr>
        <w:t xml:space="preserve"> (see </w:t>
      </w:r>
      <w:hyperlink w:anchor="_Therapeutics_Goods_Administration" w:history="1">
        <w:r w:rsidR="007A0000" w:rsidRPr="00704915">
          <w:rPr>
            <w:rStyle w:val="Hyperlink"/>
            <w:rFonts w:ascii="Calibri" w:hAnsi="Calibri" w:cs="Calibri"/>
            <w:sz w:val="22"/>
            <w:szCs w:val="22"/>
          </w:rPr>
          <w:t>Chapter 2.3.5</w:t>
        </w:r>
      </w:hyperlink>
      <w:r w:rsidR="007A0000" w:rsidRPr="00704915">
        <w:rPr>
          <w:rFonts w:ascii="Calibri" w:hAnsi="Calibri" w:cs="Calibri"/>
          <w:sz w:val="22"/>
          <w:szCs w:val="22"/>
        </w:rPr>
        <w:t>).</w:t>
      </w:r>
    </w:p>
    <w:p w14:paraId="395972E0" w14:textId="77777777" w:rsidR="006C6EBA" w:rsidRPr="00704915" w:rsidRDefault="006C6EBA" w:rsidP="00EA22AE">
      <w:pPr>
        <w:spacing w:after="120"/>
        <w:rPr>
          <w:rFonts w:ascii="Calibri" w:hAnsi="Calibri" w:cs="Calibri"/>
          <w:sz w:val="22"/>
          <w:szCs w:val="22"/>
        </w:rPr>
      </w:pPr>
      <w:r w:rsidRPr="00704915">
        <w:rPr>
          <w:rFonts w:ascii="Calibri" w:hAnsi="Calibri" w:cs="Calibri"/>
          <w:sz w:val="22"/>
          <w:szCs w:val="22"/>
        </w:rPr>
        <w:t xml:space="preserve">The processing steps may range from only cleaning and trimming to where tissues are cut or ground into specialised formats to cater for specific surgical needs. Furthermore, changes in the biological response post transplantation can be enhanced by effecting changes in the original components- such as removing cells from the skin dermis, the demineralisation of bone, the chemical enhancement of present proteins the regenerate bone tissue, and /or the addition of a deliver medium to facilitate handling. </w:t>
      </w:r>
    </w:p>
    <w:p w14:paraId="5F3A71E5" w14:textId="71EBA05F" w:rsidR="006C6EBA" w:rsidRPr="00EB088B" w:rsidRDefault="000B7242" w:rsidP="00EB088B">
      <w:pPr>
        <w:pStyle w:val="Heading2"/>
      </w:pPr>
      <w:bookmarkStart w:id="357" w:name="_Toc135131429"/>
      <w:r w:rsidRPr="00EB088B">
        <w:t>L</w:t>
      </w:r>
      <w:r w:rsidR="006C6EBA" w:rsidRPr="00EB088B">
        <w:t>iving don</w:t>
      </w:r>
      <w:r w:rsidRPr="00EB088B">
        <w:t>ation of cells, tissues and organs</w:t>
      </w:r>
      <w:bookmarkEnd w:id="357"/>
      <w:r w:rsidR="006C6EBA" w:rsidRPr="00EB088B">
        <w:t xml:space="preserve"> </w:t>
      </w:r>
    </w:p>
    <w:p w14:paraId="62020A23" w14:textId="706373CD" w:rsidR="00513896" w:rsidRDefault="00513896" w:rsidP="00EA22AE">
      <w:pPr>
        <w:spacing w:after="120"/>
        <w:rPr>
          <w:rFonts w:ascii="Calibri" w:hAnsi="Calibri" w:cs="Calibri"/>
          <w:sz w:val="22"/>
          <w:szCs w:val="22"/>
        </w:rPr>
      </w:pPr>
      <w:r w:rsidRPr="00513896">
        <w:rPr>
          <w:rFonts w:ascii="Calibri" w:hAnsi="Calibri" w:cs="Calibri"/>
          <w:sz w:val="22"/>
          <w:szCs w:val="22"/>
        </w:rPr>
        <w:t>Living kidney donation is the most common type of living organ donation in Australia</w:t>
      </w:r>
      <w:r>
        <w:rPr>
          <w:rFonts w:ascii="Calibri" w:hAnsi="Calibri" w:cs="Calibri"/>
          <w:sz w:val="22"/>
          <w:szCs w:val="22"/>
        </w:rPr>
        <w:t xml:space="preserve"> (see </w:t>
      </w:r>
      <w:hyperlink w:anchor="_Living_organ_donation" w:history="1">
        <w:r w:rsidRPr="00513896">
          <w:rPr>
            <w:rStyle w:val="Hyperlink"/>
            <w:rFonts w:ascii="Calibri" w:hAnsi="Calibri" w:cs="Calibri"/>
            <w:sz w:val="22"/>
            <w:szCs w:val="22"/>
          </w:rPr>
          <w:t>Chapter 2.8.1</w:t>
        </w:r>
      </w:hyperlink>
      <w:r>
        <w:rPr>
          <w:rFonts w:ascii="Calibri" w:hAnsi="Calibri" w:cs="Calibri"/>
          <w:sz w:val="22"/>
          <w:szCs w:val="22"/>
        </w:rPr>
        <w:t>)</w:t>
      </w:r>
      <w:r w:rsidRPr="00513896">
        <w:rPr>
          <w:rFonts w:ascii="Calibri" w:hAnsi="Calibri" w:cs="Calibri"/>
          <w:sz w:val="22"/>
          <w:szCs w:val="22"/>
        </w:rPr>
        <w:t xml:space="preserve">. Living partial liver donation, usually from a parent to their infant child, is also undertaken in Australia, although infrequently. The living donation of organs such as lung, pancreas, and intestine </w:t>
      </w:r>
      <w:r w:rsidRPr="00513896">
        <w:rPr>
          <w:rFonts w:ascii="Calibri" w:hAnsi="Calibri" w:cs="Calibri"/>
          <w:sz w:val="22"/>
          <w:szCs w:val="22"/>
        </w:rPr>
        <w:lastRenderedPageBreak/>
        <w:t>is also possible; however, procedures for donation of these organs can be associated with significant risks</w:t>
      </w:r>
      <w:r w:rsidR="00E53A13">
        <w:rPr>
          <w:rFonts w:ascii="Calibri" w:hAnsi="Calibri" w:cs="Calibri"/>
          <w:sz w:val="22"/>
          <w:szCs w:val="22"/>
        </w:rPr>
        <w:t>, and at this time these proc</w:t>
      </w:r>
      <w:r w:rsidR="00FF2467">
        <w:rPr>
          <w:rFonts w:ascii="Calibri" w:hAnsi="Calibri" w:cs="Calibri"/>
          <w:sz w:val="22"/>
          <w:szCs w:val="22"/>
        </w:rPr>
        <w:t>edures are not conducted in Australia</w:t>
      </w:r>
      <w:r w:rsidRPr="00513896">
        <w:rPr>
          <w:rFonts w:ascii="Calibri" w:hAnsi="Calibri" w:cs="Calibri"/>
          <w:sz w:val="22"/>
          <w:szCs w:val="22"/>
        </w:rPr>
        <w:t xml:space="preserve">. </w:t>
      </w:r>
    </w:p>
    <w:p w14:paraId="3618CE9D" w14:textId="09D30441"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Living tissue donation typically occurs as part of a therapeutic procedure whereby tissue removed as part of the procedure can be used for transplantation</w:t>
      </w:r>
      <w:r w:rsidR="00513896">
        <w:rPr>
          <w:rFonts w:ascii="Calibri" w:hAnsi="Calibri" w:cs="Calibri"/>
          <w:sz w:val="22"/>
          <w:szCs w:val="22"/>
        </w:rPr>
        <w:t xml:space="preserve"> (see </w:t>
      </w:r>
      <w:hyperlink w:anchor="_Tissue_donation_following" w:history="1">
        <w:r w:rsidR="00513896" w:rsidRPr="00513896">
          <w:rPr>
            <w:rStyle w:val="Hyperlink"/>
            <w:rFonts w:ascii="Calibri" w:hAnsi="Calibri" w:cs="Calibri"/>
            <w:sz w:val="22"/>
            <w:szCs w:val="22"/>
          </w:rPr>
          <w:t>Chapter 2.8.2</w:t>
        </w:r>
      </w:hyperlink>
      <w:r w:rsidR="00513896">
        <w:rPr>
          <w:rFonts w:ascii="Calibri" w:hAnsi="Calibri" w:cs="Calibri"/>
          <w:sz w:val="22"/>
          <w:szCs w:val="22"/>
        </w:rPr>
        <w:t>)</w:t>
      </w:r>
      <w:r w:rsidRPr="00513896">
        <w:rPr>
          <w:rFonts w:ascii="Calibri" w:hAnsi="Calibri" w:cs="Calibri"/>
          <w:sz w:val="22"/>
          <w:szCs w:val="22"/>
        </w:rPr>
        <w:t>, except for most haematopoietic stem cell donations</w:t>
      </w:r>
      <w:r w:rsidR="00513896">
        <w:rPr>
          <w:rFonts w:ascii="Calibri" w:hAnsi="Calibri" w:cs="Calibri"/>
          <w:sz w:val="22"/>
          <w:szCs w:val="22"/>
        </w:rPr>
        <w:t xml:space="preserve"> (see </w:t>
      </w:r>
      <w:hyperlink w:anchor="_Blood_and_marrow" w:history="1">
        <w:r w:rsidR="00513896" w:rsidRPr="00513896">
          <w:rPr>
            <w:rStyle w:val="Hyperlink"/>
            <w:rFonts w:ascii="Calibri" w:hAnsi="Calibri" w:cs="Calibri"/>
            <w:sz w:val="22"/>
            <w:szCs w:val="22"/>
          </w:rPr>
          <w:t>Chapter 2.8.3</w:t>
        </w:r>
      </w:hyperlink>
      <w:r w:rsidR="00513896">
        <w:rPr>
          <w:rFonts w:ascii="Calibri" w:hAnsi="Calibri" w:cs="Calibri"/>
          <w:sz w:val="22"/>
          <w:szCs w:val="22"/>
        </w:rPr>
        <w:t>)</w:t>
      </w:r>
      <w:r w:rsidRPr="00513896">
        <w:rPr>
          <w:rFonts w:ascii="Calibri" w:hAnsi="Calibri" w:cs="Calibri"/>
          <w:sz w:val="22"/>
          <w:szCs w:val="22"/>
        </w:rPr>
        <w:t xml:space="preserve">. </w:t>
      </w:r>
    </w:p>
    <w:p w14:paraId="55AE69A7" w14:textId="0878BBB9" w:rsidR="006C6EBA" w:rsidRPr="00EB088B" w:rsidRDefault="006C6EBA" w:rsidP="00EB088B">
      <w:pPr>
        <w:pStyle w:val="Heading3"/>
      </w:pPr>
      <w:bookmarkStart w:id="358" w:name="_Living_organ_donation"/>
      <w:bookmarkEnd w:id="358"/>
      <w:r w:rsidRPr="00EB088B">
        <w:t xml:space="preserve">Living </w:t>
      </w:r>
      <w:r w:rsidR="000B7242" w:rsidRPr="00EB088B">
        <w:t>organ</w:t>
      </w:r>
      <w:r w:rsidRPr="00EB088B">
        <w:t xml:space="preserve"> donation </w:t>
      </w:r>
    </w:p>
    <w:p w14:paraId="5F11D896" w14:textId="77777777" w:rsidR="00513896" w:rsidRPr="00513896" w:rsidRDefault="006C6EBA" w:rsidP="00EA22AE">
      <w:pPr>
        <w:spacing w:after="120"/>
        <w:rPr>
          <w:rFonts w:ascii="Calibri" w:hAnsi="Calibri" w:cs="Calibri"/>
          <w:sz w:val="22"/>
          <w:szCs w:val="22"/>
        </w:rPr>
      </w:pPr>
      <w:r w:rsidRPr="00513896">
        <w:rPr>
          <w:rFonts w:ascii="Calibri" w:hAnsi="Calibri" w:cs="Calibri"/>
          <w:color w:val="192228"/>
          <w:sz w:val="22"/>
          <w:szCs w:val="22"/>
        </w:rPr>
        <w:t xml:space="preserve">Living </w:t>
      </w:r>
      <w:r w:rsidR="000B7242" w:rsidRPr="00513896">
        <w:rPr>
          <w:rFonts w:ascii="Calibri" w:hAnsi="Calibri" w:cs="Calibri"/>
          <w:color w:val="192228"/>
          <w:sz w:val="22"/>
          <w:szCs w:val="22"/>
        </w:rPr>
        <w:t xml:space="preserve">organ </w:t>
      </w:r>
      <w:r w:rsidRPr="00513896">
        <w:rPr>
          <w:rFonts w:ascii="Calibri" w:hAnsi="Calibri" w:cs="Calibri"/>
          <w:color w:val="192228"/>
          <w:sz w:val="22"/>
          <w:szCs w:val="22"/>
        </w:rPr>
        <w:t xml:space="preserve">donors go through extensive testing to check their suitability to donate. The donor must be in good physical and psychological health. The ethical implications of evaluating risks and benefits of living donation are discussed in </w:t>
      </w:r>
      <w:hyperlink w:anchor="_Risk_acceptance_in" w:history="1">
        <w:r w:rsidR="000B7242" w:rsidRPr="00513896">
          <w:rPr>
            <w:rStyle w:val="Hyperlink"/>
            <w:rFonts w:ascii="Calibri" w:hAnsi="Calibri" w:cs="Calibri"/>
            <w:sz w:val="22"/>
            <w:szCs w:val="22"/>
          </w:rPr>
          <w:t>Chapter 6.3</w:t>
        </w:r>
      </w:hyperlink>
      <w:r w:rsidR="000B7242" w:rsidRPr="00513896">
        <w:rPr>
          <w:rFonts w:ascii="Calibri" w:hAnsi="Calibri" w:cs="Calibri"/>
          <w:sz w:val="22"/>
          <w:szCs w:val="22"/>
        </w:rPr>
        <w:t>.</w:t>
      </w:r>
      <w:r w:rsidR="00513896" w:rsidRPr="00513896">
        <w:rPr>
          <w:rFonts w:ascii="Calibri" w:hAnsi="Calibri" w:cs="Calibri"/>
          <w:sz w:val="22"/>
          <w:szCs w:val="22"/>
        </w:rPr>
        <w:t xml:space="preserve"> </w:t>
      </w:r>
    </w:p>
    <w:p w14:paraId="1F182115" w14:textId="7085945D" w:rsidR="006C6EBA" w:rsidRPr="00513896" w:rsidRDefault="00513896" w:rsidP="00EA22AE">
      <w:pPr>
        <w:spacing w:after="120"/>
        <w:rPr>
          <w:rFonts w:ascii="Calibri" w:hAnsi="Calibri" w:cs="Calibri"/>
          <w:sz w:val="22"/>
          <w:szCs w:val="22"/>
        </w:rPr>
      </w:pPr>
      <w:r w:rsidRPr="00513896">
        <w:rPr>
          <w:rFonts w:ascii="Calibri" w:hAnsi="Calibri" w:cs="Calibri"/>
          <w:sz w:val="22"/>
          <w:szCs w:val="22"/>
        </w:rPr>
        <w:t>Financial support to offset the financial costs of being a living donor is provided by the Australian Government Supporting Living Organ Donors Program.</w:t>
      </w:r>
      <w:r w:rsidRPr="00513896">
        <w:rPr>
          <w:rFonts w:ascii="Calibri" w:hAnsi="Calibri" w:cs="Calibri"/>
          <w:sz w:val="22"/>
          <w:szCs w:val="22"/>
        </w:rPr>
        <w:fldChar w:fldCharType="begin" w:fldLock="1"/>
      </w:r>
      <w:r w:rsidR="00C12F71">
        <w:rPr>
          <w:rFonts w:ascii="Calibri" w:hAnsi="Calibri" w:cs="Calibri"/>
          <w:sz w:val="22"/>
          <w:szCs w:val="22"/>
        </w:rPr>
        <w:instrText>ADDIN CSL_CITATION {"citationItems":[{"id":"ITEM-1","itemData":{"URL":"https://www.health.gov.au/initiatives-and-programs/supporting-living-organ-donors-program","author":[{"dropping-particle":"","family":"Australian Government Department of Health","given":"","non-dropping-particle":"","parse-names":false,"suffix":""}],"id":"ITEM-1","issued":{"date-parts":[["2021"]]},"title":"Supporting Living Organ Donors Program","type":"webpage"},"uris":["http://www.mendeley.com/documents/?uuid=43ed886c-e1fe-4a26-913a-661244f8d8d3"]}],"mendeley":{"formattedCitation":"(23)","plainTextFormattedCitation":"(23)","previouslyFormattedCitation":"(23)"},"properties":{"noteIndex":0},"schema":"https://github.com/citation-style-language/schema/raw/master/csl-citation.json"}</w:instrText>
      </w:r>
      <w:r w:rsidRPr="00513896">
        <w:rPr>
          <w:rFonts w:ascii="Calibri" w:hAnsi="Calibri" w:cs="Calibri"/>
          <w:sz w:val="22"/>
          <w:szCs w:val="22"/>
        </w:rPr>
        <w:fldChar w:fldCharType="separate"/>
      </w:r>
      <w:r w:rsidRPr="00513896">
        <w:rPr>
          <w:rFonts w:ascii="Calibri" w:hAnsi="Calibri" w:cs="Calibri"/>
          <w:noProof/>
          <w:sz w:val="22"/>
          <w:szCs w:val="22"/>
        </w:rPr>
        <w:t>(23)</w:t>
      </w:r>
      <w:r w:rsidRPr="00513896">
        <w:rPr>
          <w:rFonts w:ascii="Calibri" w:hAnsi="Calibri" w:cs="Calibri"/>
          <w:sz w:val="22"/>
          <w:szCs w:val="22"/>
        </w:rPr>
        <w:fldChar w:fldCharType="end"/>
      </w:r>
      <w:r w:rsidRPr="00513896">
        <w:rPr>
          <w:rFonts w:ascii="Calibri" w:hAnsi="Calibri" w:cs="Calibri"/>
          <w:sz w:val="22"/>
          <w:szCs w:val="22"/>
        </w:rPr>
        <w:t xml:space="preserve"> </w:t>
      </w:r>
    </w:p>
    <w:p w14:paraId="7F7B59FD" w14:textId="0B3D8711" w:rsidR="000B7242" w:rsidRPr="00EB088B" w:rsidRDefault="000B7242" w:rsidP="00EB088B">
      <w:pPr>
        <w:pStyle w:val="Heading4"/>
      </w:pPr>
      <w:bookmarkStart w:id="359" w:name="_Living_kidney_donation"/>
      <w:bookmarkEnd w:id="359"/>
      <w:r w:rsidRPr="00EB088B">
        <w:t xml:space="preserve">Living kidney donation </w:t>
      </w:r>
    </w:p>
    <w:p w14:paraId="7BB9EE4E" w14:textId="02C765A2" w:rsidR="006C6EBA" w:rsidRPr="000B7242" w:rsidRDefault="006C6EBA" w:rsidP="00EA22AE">
      <w:pPr>
        <w:spacing w:after="120"/>
        <w:rPr>
          <w:rFonts w:ascii="Calibri" w:hAnsi="Calibri" w:cs="Calibri"/>
          <w:sz w:val="22"/>
          <w:szCs w:val="22"/>
        </w:rPr>
      </w:pPr>
      <w:r w:rsidRPr="000B7242">
        <w:rPr>
          <w:rFonts w:ascii="Calibri" w:hAnsi="Calibri" w:cs="Calibri"/>
          <w:sz w:val="22"/>
          <w:szCs w:val="22"/>
        </w:rPr>
        <w:t xml:space="preserve">Short term risks </w:t>
      </w:r>
      <w:r w:rsidR="000B7242">
        <w:rPr>
          <w:rFonts w:ascii="Calibri" w:hAnsi="Calibri" w:cs="Calibri"/>
          <w:sz w:val="22"/>
          <w:szCs w:val="22"/>
        </w:rPr>
        <w:t xml:space="preserve">of living kidney donation </w:t>
      </w:r>
      <w:r w:rsidRPr="000B7242">
        <w:rPr>
          <w:rFonts w:ascii="Calibri" w:hAnsi="Calibri" w:cs="Calibri"/>
          <w:sz w:val="22"/>
          <w:szCs w:val="22"/>
        </w:rPr>
        <w:t xml:space="preserve">mostly relate to the surgical procedure, which is usually performed as keyhole surgery but occasionally requires to be open surgery.  Pain, reduced mobility, and time required off work are usual. More serious complications are infrequent and include bleeding, infection, thrombo-embolism (blood clots), and rarely death. Longer term risks include a small increase in the likelihood of chronic </w:t>
      </w:r>
      <w:r w:rsidR="000B7242">
        <w:rPr>
          <w:rFonts w:ascii="Calibri" w:hAnsi="Calibri" w:cs="Calibri"/>
          <w:sz w:val="22"/>
          <w:szCs w:val="22"/>
        </w:rPr>
        <w:t>kidney</w:t>
      </w:r>
      <w:r w:rsidRPr="000B7242">
        <w:rPr>
          <w:rFonts w:ascii="Calibri" w:hAnsi="Calibri" w:cs="Calibri"/>
          <w:sz w:val="22"/>
          <w:szCs w:val="22"/>
        </w:rPr>
        <w:t xml:space="preserve"> disease and requirement for dialysis. Assessment of donors seeks to exclude individuals at greater life-time risk of renal failure, although donors with co-morbidities are not excluded.</w:t>
      </w:r>
    </w:p>
    <w:p w14:paraId="26F811B6" w14:textId="00C489EF" w:rsidR="006C6EBA" w:rsidRPr="006720E4" w:rsidRDefault="006C6EBA" w:rsidP="00EA22AE">
      <w:pPr>
        <w:spacing w:after="120"/>
        <w:rPr>
          <w:rFonts w:ascii="Calibri" w:hAnsi="Calibri" w:cs="Calibri"/>
        </w:rPr>
      </w:pPr>
    </w:p>
    <w:tbl>
      <w:tblPr>
        <w:tblStyle w:val="TableGrid"/>
        <w:tblW w:w="0" w:type="auto"/>
        <w:tblLook w:val="04A0" w:firstRow="1" w:lastRow="0" w:firstColumn="1" w:lastColumn="0" w:noHBand="0" w:noVBand="1"/>
      </w:tblPr>
      <w:tblGrid>
        <w:gridCol w:w="2405"/>
        <w:gridCol w:w="6605"/>
      </w:tblGrid>
      <w:tr w:rsidR="006C6EBA" w:rsidRPr="00513896" w14:paraId="55A0937E" w14:textId="77777777">
        <w:tc>
          <w:tcPr>
            <w:tcW w:w="9010" w:type="dxa"/>
            <w:gridSpan w:val="2"/>
          </w:tcPr>
          <w:p w14:paraId="15CC31D6" w14:textId="4DCB067B" w:rsidR="006C6EBA" w:rsidRPr="00513896" w:rsidRDefault="006C6EBA" w:rsidP="00EA22AE">
            <w:pPr>
              <w:spacing w:after="120"/>
              <w:rPr>
                <w:rFonts w:ascii="Calibri" w:hAnsi="Calibri" w:cs="Calibri"/>
                <w:b/>
                <w:sz w:val="22"/>
                <w:szCs w:val="22"/>
              </w:rPr>
            </w:pPr>
            <w:r w:rsidRPr="00513896">
              <w:rPr>
                <w:rFonts w:ascii="Calibri" w:hAnsi="Calibri" w:cs="Calibri"/>
                <w:b/>
                <w:sz w:val="22"/>
                <w:szCs w:val="22"/>
              </w:rPr>
              <w:t xml:space="preserve">Box </w:t>
            </w:r>
            <w:r w:rsidR="00513896" w:rsidRPr="00513896">
              <w:rPr>
                <w:rFonts w:ascii="Calibri" w:hAnsi="Calibri" w:cs="Calibri"/>
                <w:b/>
                <w:sz w:val="22"/>
                <w:szCs w:val="22"/>
              </w:rPr>
              <w:t>2.5</w:t>
            </w:r>
            <w:r w:rsidRPr="00513896">
              <w:rPr>
                <w:rFonts w:ascii="Calibri" w:hAnsi="Calibri" w:cs="Calibri"/>
                <w:b/>
                <w:sz w:val="22"/>
                <w:szCs w:val="22"/>
              </w:rPr>
              <w:t xml:space="preserve"> – </w:t>
            </w:r>
            <w:r w:rsidR="00513896" w:rsidRPr="00513896">
              <w:rPr>
                <w:rFonts w:ascii="Calibri" w:hAnsi="Calibri" w:cs="Calibri"/>
                <w:b/>
                <w:sz w:val="22"/>
                <w:szCs w:val="22"/>
              </w:rPr>
              <w:t>Categories</w:t>
            </w:r>
            <w:r w:rsidRPr="00513896">
              <w:rPr>
                <w:rFonts w:ascii="Calibri" w:hAnsi="Calibri" w:cs="Calibri"/>
                <w:b/>
                <w:sz w:val="22"/>
                <w:szCs w:val="22"/>
              </w:rPr>
              <w:t xml:space="preserve"> of living kidney donation</w:t>
            </w:r>
          </w:p>
        </w:tc>
      </w:tr>
      <w:tr w:rsidR="006C6EBA" w:rsidRPr="00513896" w14:paraId="50C52A24" w14:textId="77777777">
        <w:tc>
          <w:tcPr>
            <w:tcW w:w="2405" w:type="dxa"/>
          </w:tcPr>
          <w:p w14:paraId="0C471DD2" w14:textId="77777777"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Directed donation</w:t>
            </w:r>
          </w:p>
        </w:tc>
        <w:tc>
          <w:tcPr>
            <w:tcW w:w="6605" w:type="dxa"/>
          </w:tcPr>
          <w:p w14:paraId="1F4FBAFC" w14:textId="29097152"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 xml:space="preserve">Living kidney donation is most commonly ‘directed’ to a known individual, often a family member or close friend. This person may be a relative who is </w:t>
            </w:r>
            <w:r w:rsidR="00513896">
              <w:rPr>
                <w:rFonts w:ascii="Calibri" w:hAnsi="Calibri" w:cs="Calibri"/>
                <w:sz w:val="22"/>
                <w:szCs w:val="22"/>
              </w:rPr>
              <w:t xml:space="preserve">genetically </w:t>
            </w:r>
            <w:r w:rsidRPr="00513896">
              <w:rPr>
                <w:rFonts w:ascii="Calibri" w:hAnsi="Calibri" w:cs="Calibri"/>
                <w:sz w:val="22"/>
                <w:szCs w:val="22"/>
              </w:rPr>
              <w:t>related or not related by blood, a partner or close friend, or another person known to them.</w:t>
            </w:r>
          </w:p>
        </w:tc>
      </w:tr>
      <w:tr w:rsidR="006C6EBA" w:rsidRPr="00513896" w14:paraId="7F0EFBF2" w14:textId="77777777">
        <w:tc>
          <w:tcPr>
            <w:tcW w:w="2405" w:type="dxa"/>
          </w:tcPr>
          <w:p w14:paraId="36EE83B1" w14:textId="77777777"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Non-directed donation</w:t>
            </w:r>
          </w:p>
        </w:tc>
        <w:tc>
          <w:tcPr>
            <w:tcW w:w="6605" w:type="dxa"/>
          </w:tcPr>
          <w:p w14:paraId="773EE441" w14:textId="77777777"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 xml:space="preserve">Non-directed living kidney donation also occurs, whereby an individual donates a kidney to an unknown individual who is determined by agreed local or national guidelines. </w:t>
            </w:r>
          </w:p>
          <w:p w14:paraId="42C79257" w14:textId="6B78ACF5"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 xml:space="preserve">Non-directed donation is sometimes also called “Good Samaritan” donation, because they are volunteering to help a stranger, or “altruistic” donation because it is assumed the donation is for purely </w:t>
            </w:r>
            <w:hyperlink w:anchor="_Glossary_2" w:history="1">
              <w:r w:rsidRPr="00513896">
                <w:rPr>
                  <w:rStyle w:val="Hyperlink"/>
                  <w:rFonts w:ascii="Calibri" w:hAnsi="Calibri" w:cs="Calibri"/>
                  <w:sz w:val="22"/>
                  <w:szCs w:val="22"/>
                </w:rPr>
                <w:t>altruistic</w:t>
              </w:r>
            </w:hyperlink>
            <w:r w:rsidRPr="00513896">
              <w:rPr>
                <w:rFonts w:ascii="Calibri" w:hAnsi="Calibri" w:cs="Calibri"/>
                <w:sz w:val="22"/>
                <w:szCs w:val="22"/>
              </w:rPr>
              <w:t xml:space="preserve"> reasons. Most donations of organs and tissues are altruistic.</w:t>
            </w:r>
          </w:p>
          <w:p w14:paraId="7D45EFD7" w14:textId="338F82E5"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 xml:space="preserve">Kidneys from non-directed donors may be allocated to the paired kidney exchange program </w:t>
            </w:r>
            <w:r w:rsidR="00513896">
              <w:rPr>
                <w:rFonts w:ascii="Calibri" w:hAnsi="Calibri" w:cs="Calibri"/>
                <w:sz w:val="22"/>
                <w:szCs w:val="22"/>
              </w:rPr>
              <w:t xml:space="preserve">(see </w:t>
            </w:r>
            <w:hyperlink w:anchor="_Paired_kidney_exchange" w:history="1">
              <w:r w:rsidR="00513896" w:rsidRPr="00513896">
                <w:rPr>
                  <w:rStyle w:val="Hyperlink"/>
                  <w:rFonts w:ascii="Calibri" w:hAnsi="Calibri" w:cs="Calibri"/>
                  <w:sz w:val="22"/>
                  <w:szCs w:val="22"/>
                </w:rPr>
                <w:t>Chapter 2.8.1.2</w:t>
              </w:r>
            </w:hyperlink>
            <w:r w:rsidR="00513896">
              <w:rPr>
                <w:rFonts w:ascii="Calibri" w:hAnsi="Calibri" w:cs="Calibri"/>
                <w:sz w:val="22"/>
                <w:szCs w:val="22"/>
              </w:rPr>
              <w:t xml:space="preserve">) </w:t>
            </w:r>
            <w:r w:rsidRPr="00513896">
              <w:rPr>
                <w:rFonts w:ascii="Calibri" w:hAnsi="Calibri" w:cs="Calibri"/>
                <w:sz w:val="22"/>
                <w:szCs w:val="22"/>
              </w:rPr>
              <w:t>which can lead to the transplantation of multiple people in a chain and thereby maximise the benefit from the donation.</w:t>
            </w:r>
          </w:p>
        </w:tc>
      </w:tr>
    </w:tbl>
    <w:p w14:paraId="7CE46208" w14:textId="77777777" w:rsidR="006C6EBA" w:rsidRPr="006720E4" w:rsidRDefault="006C6EBA" w:rsidP="00EA22AE">
      <w:pPr>
        <w:spacing w:after="120"/>
        <w:rPr>
          <w:rFonts w:ascii="Calibri" w:hAnsi="Calibri" w:cs="Calibri"/>
        </w:rPr>
      </w:pPr>
    </w:p>
    <w:p w14:paraId="6091B521" w14:textId="77777777" w:rsidR="006C6EBA" w:rsidRPr="007E780A" w:rsidRDefault="006C6EBA" w:rsidP="007E780A">
      <w:pPr>
        <w:pStyle w:val="Heading4"/>
      </w:pPr>
      <w:bookmarkStart w:id="360" w:name="_Paired_kidney_exchange"/>
      <w:bookmarkEnd w:id="360"/>
      <w:r w:rsidRPr="007E780A">
        <w:t xml:space="preserve">Paired kidney exchange </w:t>
      </w:r>
    </w:p>
    <w:p w14:paraId="4BBF83A2" w14:textId="77777777" w:rsidR="00513896" w:rsidRDefault="0051389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The paired kidney exchange program in Australia has increased the opportunity for kidney donation and transplantation for some individuals</w:t>
      </w:r>
      <w:r>
        <w:rPr>
          <w:rFonts w:ascii="Calibri" w:hAnsi="Calibri" w:cs="Calibri"/>
          <w:kern w:val="0"/>
          <w:szCs w:val="22"/>
          <w:u w:color="0000FF"/>
          <w:lang w:val="en-GB"/>
        </w:rPr>
        <w:t xml:space="preserve">. </w:t>
      </w:r>
      <w:r w:rsidRPr="007E1B57">
        <w:rPr>
          <w:rFonts w:ascii="Calibri" w:hAnsi="Calibri" w:cs="Calibri"/>
          <w:kern w:val="0"/>
          <w:szCs w:val="22"/>
          <w:u w:color="0000FF"/>
          <w:lang w:val="en-GB"/>
        </w:rPr>
        <w:t xml:space="preserve">Paired kidney exchange programs provide a mechanism to “swap” kidneys between prospective living kidney donors and their intended transplant recipients. This is most used when the individual pairs are biologically incompatible although compatible pairs can also enter kidney exchange programs to improve their tissue type matching and thereby the long-term outcome of the transplant. </w:t>
      </w:r>
    </w:p>
    <w:p w14:paraId="4E2D5539" w14:textId="2BC07B1D" w:rsidR="00513896" w:rsidRPr="00513896" w:rsidRDefault="00513896" w:rsidP="00EA22AE">
      <w:pPr>
        <w:spacing w:after="120"/>
        <w:rPr>
          <w:rFonts w:ascii="Calibri" w:hAnsi="Calibri" w:cs="Calibri"/>
          <w:sz w:val="22"/>
          <w:szCs w:val="22"/>
        </w:rPr>
      </w:pPr>
      <w:r w:rsidRPr="00513896">
        <w:rPr>
          <w:rFonts w:ascii="Calibri" w:hAnsi="Calibri" w:cs="Calibri"/>
          <w:sz w:val="22"/>
          <w:szCs w:val="22"/>
        </w:rPr>
        <w:lastRenderedPageBreak/>
        <w:t>The Australian paired kidney exchange program commenced in 2010 and, following collaboration with an existing New Zealand paired kidney exchange program, the combined Australian New Zealand paired kidney exchange program was formed in 2019.</w:t>
      </w:r>
    </w:p>
    <w:p w14:paraId="6B67946D" w14:textId="77777777" w:rsidR="00513896" w:rsidRDefault="006C6EBA" w:rsidP="00EA22AE">
      <w:pPr>
        <w:spacing w:after="120"/>
        <w:rPr>
          <w:rFonts w:ascii="Calibri" w:hAnsi="Calibri" w:cs="Calibri"/>
          <w:sz w:val="22"/>
          <w:szCs w:val="22"/>
        </w:rPr>
      </w:pPr>
      <w:r w:rsidRPr="00513896">
        <w:rPr>
          <w:rFonts w:ascii="Calibri" w:hAnsi="Calibri" w:cs="Calibri"/>
          <w:sz w:val="22"/>
          <w:szCs w:val="22"/>
        </w:rPr>
        <w:t xml:space="preserve">The Australian and New Zealand Paired Kidney Exchange program identifies matches for patients who are eligible for a kidney transplant and have a living donor who is willing, but unable to donate directly, because of an incompatible blood or tissue type or donor-recipient pairs who have been entered to improve their tissue type matching. The program matches two or more donor-recipient pairs, which when combined result in organ matches as shown in </w:t>
      </w:r>
      <w:r w:rsidRPr="00513896">
        <w:rPr>
          <w:rFonts w:ascii="Calibri" w:hAnsi="Calibri" w:cs="Calibri"/>
          <w:b/>
          <w:bCs/>
          <w:sz w:val="22"/>
          <w:szCs w:val="22"/>
        </w:rPr>
        <w:t xml:space="preserve">Figure </w:t>
      </w:r>
      <w:r w:rsidR="00513896" w:rsidRPr="00513896">
        <w:rPr>
          <w:rFonts w:ascii="Calibri" w:hAnsi="Calibri" w:cs="Calibri"/>
          <w:b/>
          <w:bCs/>
          <w:sz w:val="22"/>
          <w:szCs w:val="22"/>
        </w:rPr>
        <w:t>2.1</w:t>
      </w:r>
      <w:r w:rsidRPr="00513896">
        <w:rPr>
          <w:rFonts w:ascii="Calibri" w:hAnsi="Calibri" w:cs="Calibri"/>
          <w:b/>
          <w:bCs/>
          <w:sz w:val="22"/>
          <w:szCs w:val="22"/>
        </w:rPr>
        <w:t>.</w:t>
      </w:r>
      <w:r w:rsidRPr="00513896">
        <w:rPr>
          <w:rFonts w:ascii="Calibri" w:hAnsi="Calibri" w:cs="Calibri"/>
          <w:sz w:val="22"/>
          <w:szCs w:val="22"/>
        </w:rPr>
        <w:t xml:space="preserve"> </w:t>
      </w:r>
    </w:p>
    <w:p w14:paraId="2CA220AF" w14:textId="57EF9B6F" w:rsidR="006C6EBA" w:rsidRDefault="006C6EBA" w:rsidP="00EB088B">
      <w:pPr>
        <w:rPr>
          <w:rFonts w:ascii="Calibri" w:eastAsiaTheme="majorEastAsia" w:hAnsi="Calibri" w:cs="Calibri"/>
          <w:b/>
          <w:bCs/>
          <w:sz w:val="22"/>
          <w:szCs w:val="22"/>
        </w:rPr>
      </w:pPr>
      <w:r w:rsidRPr="00EB088B">
        <w:rPr>
          <w:rFonts w:ascii="Calibri" w:eastAsiaTheme="majorEastAsia" w:hAnsi="Calibri" w:cs="Calibri"/>
          <w:b/>
          <w:bCs/>
          <w:sz w:val="22"/>
          <w:szCs w:val="22"/>
        </w:rPr>
        <w:t xml:space="preserve">Figure </w:t>
      </w:r>
      <w:r w:rsidR="00513896" w:rsidRPr="00EB088B">
        <w:rPr>
          <w:rFonts w:ascii="Calibri" w:eastAsiaTheme="majorEastAsia" w:hAnsi="Calibri" w:cs="Calibri"/>
          <w:b/>
          <w:bCs/>
          <w:sz w:val="22"/>
          <w:szCs w:val="22"/>
        </w:rPr>
        <w:t>2.1</w:t>
      </w:r>
      <w:r w:rsidRPr="00EB088B">
        <w:rPr>
          <w:rFonts w:ascii="Calibri" w:eastAsiaTheme="majorEastAsia" w:hAnsi="Calibri" w:cs="Calibri"/>
          <w:b/>
          <w:bCs/>
          <w:sz w:val="22"/>
          <w:szCs w:val="22"/>
        </w:rPr>
        <w:t xml:space="preserve"> Paired kidney exchange program example </w:t>
      </w:r>
    </w:p>
    <w:p w14:paraId="1FCDF40A" w14:textId="77777777" w:rsidR="00EB088B" w:rsidRPr="00EB088B" w:rsidRDefault="00EB088B" w:rsidP="00EB088B">
      <w:pPr>
        <w:rPr>
          <w:rFonts w:ascii="Calibri" w:eastAsiaTheme="majorEastAsia" w:hAnsi="Calibri" w:cs="Calibri"/>
          <w:b/>
          <w:bCs/>
          <w:sz w:val="22"/>
          <w:szCs w:val="22"/>
        </w:rPr>
      </w:pPr>
    </w:p>
    <w:p w14:paraId="5EB8E175" w14:textId="1DE1587A" w:rsidR="006C6EBA" w:rsidRPr="00513896" w:rsidRDefault="006C6EBA" w:rsidP="00EA22AE">
      <w:pPr>
        <w:spacing w:after="120"/>
        <w:rPr>
          <w:rFonts w:ascii="Calibri" w:eastAsiaTheme="majorEastAsia" w:hAnsi="Calibri" w:cs="Calibri"/>
          <w:b/>
          <w:color w:val="2F5496" w:themeColor="accent1" w:themeShade="BF"/>
          <w:szCs w:val="26"/>
        </w:rPr>
      </w:pPr>
      <w:r w:rsidRPr="006720E4">
        <w:rPr>
          <w:rFonts w:ascii="Calibri" w:hAnsi="Calibri" w:cs="Calibri"/>
          <w:noProof/>
          <w:lang w:eastAsia="en-AU"/>
        </w:rPr>
        <w:drawing>
          <wp:inline distT="0" distB="0" distL="0" distR="0" wp14:anchorId="77185C0E" wp14:editId="7C906C1C">
            <wp:extent cx="5321300" cy="1376944"/>
            <wp:effectExtent l="0" t="0" r="0" b="0"/>
            <wp:docPr id="18" name="Picture 18" descr="P64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646#yIS1"/>
                    <pic:cNvPicPr/>
                  </pic:nvPicPr>
                  <pic:blipFill>
                    <a:blip r:embed="rId36"/>
                    <a:stretch>
                      <a:fillRect/>
                    </a:stretch>
                  </pic:blipFill>
                  <pic:spPr>
                    <a:xfrm>
                      <a:off x="0" y="0"/>
                      <a:ext cx="5330486" cy="1379321"/>
                    </a:xfrm>
                    <a:prstGeom prst="rect">
                      <a:avLst/>
                    </a:prstGeom>
                  </pic:spPr>
                </pic:pic>
              </a:graphicData>
            </a:graphic>
          </wp:inline>
        </w:drawing>
      </w:r>
    </w:p>
    <w:p w14:paraId="75AE3D76" w14:textId="77777777"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 xml:space="preserve">Paired kidney exchanges can involve two or more donor-recipient pairs.  </w:t>
      </w:r>
    </w:p>
    <w:p w14:paraId="602C1F21" w14:textId="77777777" w:rsidR="00513896" w:rsidRDefault="006C6EBA" w:rsidP="00EA22AE">
      <w:pPr>
        <w:spacing w:after="120"/>
        <w:rPr>
          <w:rFonts w:ascii="Calibri" w:hAnsi="Calibri" w:cs="Calibri"/>
          <w:sz w:val="22"/>
          <w:szCs w:val="22"/>
        </w:rPr>
      </w:pPr>
      <w:r w:rsidRPr="00513896">
        <w:rPr>
          <w:rFonts w:ascii="Calibri" w:hAnsi="Calibri" w:cs="Calibri"/>
          <w:sz w:val="22"/>
          <w:szCs w:val="22"/>
        </w:rPr>
        <w:t>If a kidney becomes available from a non-directed donor</w:t>
      </w:r>
      <w:r w:rsidR="00513896">
        <w:rPr>
          <w:rFonts w:ascii="Calibri" w:hAnsi="Calibri" w:cs="Calibri"/>
          <w:sz w:val="22"/>
          <w:szCs w:val="22"/>
        </w:rPr>
        <w:t xml:space="preserve"> (see </w:t>
      </w:r>
      <w:hyperlink w:anchor="_Living_kidney_donation" w:history="1">
        <w:r w:rsidR="00513896" w:rsidRPr="00513896">
          <w:rPr>
            <w:rStyle w:val="Hyperlink"/>
            <w:rFonts w:ascii="Calibri" w:hAnsi="Calibri" w:cs="Calibri"/>
            <w:sz w:val="22"/>
            <w:szCs w:val="22"/>
          </w:rPr>
          <w:t>Chapter 2.8.1.1</w:t>
        </w:r>
      </w:hyperlink>
      <w:r w:rsidR="00513896">
        <w:rPr>
          <w:rFonts w:ascii="Calibri" w:hAnsi="Calibri" w:cs="Calibri"/>
          <w:sz w:val="22"/>
          <w:szCs w:val="22"/>
        </w:rPr>
        <w:t>)</w:t>
      </w:r>
      <w:r w:rsidRPr="00513896">
        <w:rPr>
          <w:rFonts w:ascii="Calibri" w:hAnsi="Calibri" w:cs="Calibri"/>
          <w:sz w:val="22"/>
          <w:szCs w:val="22"/>
        </w:rPr>
        <w:t>, this may enable a “kidney donor chain” to form</w:t>
      </w:r>
      <w:r w:rsidR="00513896">
        <w:rPr>
          <w:rFonts w:ascii="Calibri" w:hAnsi="Calibri" w:cs="Calibri"/>
          <w:sz w:val="22"/>
          <w:szCs w:val="22"/>
        </w:rPr>
        <w:t>;</w:t>
      </w:r>
      <w:r w:rsidRPr="00513896">
        <w:rPr>
          <w:rFonts w:ascii="Calibri" w:hAnsi="Calibri" w:cs="Calibri"/>
          <w:sz w:val="22"/>
          <w:szCs w:val="22"/>
        </w:rPr>
        <w:t xml:space="preserve"> this helps to facilitate a series of swaps between pairs as shown in the </w:t>
      </w:r>
      <w:r w:rsidRPr="00513896">
        <w:rPr>
          <w:rFonts w:ascii="Calibri" w:hAnsi="Calibri" w:cs="Calibri"/>
          <w:b/>
          <w:bCs/>
          <w:sz w:val="22"/>
          <w:szCs w:val="22"/>
        </w:rPr>
        <w:t xml:space="preserve">Figure </w:t>
      </w:r>
      <w:r w:rsidR="00513896" w:rsidRPr="00513896">
        <w:rPr>
          <w:rFonts w:ascii="Calibri" w:hAnsi="Calibri" w:cs="Calibri"/>
          <w:b/>
          <w:bCs/>
          <w:sz w:val="22"/>
          <w:szCs w:val="22"/>
        </w:rPr>
        <w:t>2.2</w:t>
      </w:r>
      <w:r w:rsidRPr="00513896">
        <w:rPr>
          <w:rFonts w:ascii="Calibri" w:hAnsi="Calibri" w:cs="Calibri"/>
          <w:sz w:val="22"/>
          <w:szCs w:val="22"/>
        </w:rPr>
        <w:t xml:space="preserve">. </w:t>
      </w:r>
    </w:p>
    <w:p w14:paraId="3878D0A7" w14:textId="5F050F63"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The donor chain begins with the non-directed kidney donor donating their kidney to a matched recipient unknown to them, and the recipient’s willing but incompatible donor donates their kidney to another person waiting, and so on. This is also known as a cascade. The final donor in the sequence donates their kidney to be allocated to a suitable recipient on the waiting list.</w:t>
      </w:r>
    </w:p>
    <w:p w14:paraId="0DE96904" w14:textId="03C1264B" w:rsidR="006C6EBA" w:rsidRPr="00513896" w:rsidRDefault="006C6EBA" w:rsidP="00EA22AE">
      <w:pPr>
        <w:spacing w:after="120"/>
        <w:rPr>
          <w:rFonts w:ascii="Calibri" w:hAnsi="Calibri" w:cs="Calibri"/>
          <w:b/>
          <w:bCs/>
          <w:sz w:val="22"/>
          <w:szCs w:val="22"/>
        </w:rPr>
      </w:pPr>
      <w:r w:rsidRPr="00513896">
        <w:rPr>
          <w:rFonts w:ascii="Calibri" w:hAnsi="Calibri" w:cs="Calibri"/>
          <w:b/>
          <w:bCs/>
          <w:sz w:val="22"/>
          <w:szCs w:val="22"/>
        </w:rPr>
        <w:t xml:space="preserve">Figure </w:t>
      </w:r>
      <w:r w:rsidR="00513896" w:rsidRPr="00513896">
        <w:rPr>
          <w:rFonts w:ascii="Calibri" w:hAnsi="Calibri" w:cs="Calibri"/>
          <w:b/>
          <w:bCs/>
          <w:sz w:val="22"/>
          <w:szCs w:val="22"/>
        </w:rPr>
        <w:t>2.2</w:t>
      </w:r>
      <w:r w:rsidRPr="00513896">
        <w:rPr>
          <w:rFonts w:ascii="Calibri" w:hAnsi="Calibri" w:cs="Calibri"/>
          <w:b/>
          <w:bCs/>
          <w:sz w:val="22"/>
          <w:szCs w:val="22"/>
        </w:rPr>
        <w:t xml:space="preserve"> Kidney chain program example </w:t>
      </w:r>
    </w:p>
    <w:p w14:paraId="4E6E89D5" w14:textId="77777777" w:rsidR="006C6EBA" w:rsidRPr="006720E4" w:rsidRDefault="006C6EBA" w:rsidP="00EA22AE">
      <w:pPr>
        <w:spacing w:after="120"/>
        <w:rPr>
          <w:rFonts w:ascii="Calibri" w:hAnsi="Calibri" w:cs="Calibri"/>
        </w:rPr>
      </w:pPr>
      <w:r w:rsidRPr="006720E4">
        <w:rPr>
          <w:rFonts w:ascii="Calibri" w:hAnsi="Calibri" w:cs="Calibri"/>
          <w:noProof/>
          <w:lang w:eastAsia="en-AU"/>
        </w:rPr>
        <w:drawing>
          <wp:inline distT="0" distB="0" distL="0" distR="0" wp14:anchorId="4B906515" wp14:editId="7D82BAA8">
            <wp:extent cx="5040000" cy="1353600"/>
            <wp:effectExtent l="0" t="0" r="0" b="0"/>
            <wp:docPr id="19" name="Picture 19" descr="P65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651#yIS1"/>
                    <pic:cNvPicPr/>
                  </pic:nvPicPr>
                  <pic:blipFill>
                    <a:blip r:embed="rId37"/>
                    <a:stretch>
                      <a:fillRect/>
                    </a:stretch>
                  </pic:blipFill>
                  <pic:spPr>
                    <a:xfrm>
                      <a:off x="0" y="0"/>
                      <a:ext cx="5040000" cy="1353600"/>
                    </a:xfrm>
                    <a:prstGeom prst="rect">
                      <a:avLst/>
                    </a:prstGeom>
                  </pic:spPr>
                </pic:pic>
              </a:graphicData>
            </a:graphic>
          </wp:inline>
        </w:drawing>
      </w:r>
    </w:p>
    <w:p w14:paraId="01AA7FE2" w14:textId="77777777" w:rsidR="006C6EBA" w:rsidRPr="007E780A" w:rsidRDefault="006C6EBA" w:rsidP="007E780A">
      <w:pPr>
        <w:pStyle w:val="Heading4"/>
      </w:pPr>
      <w:r w:rsidRPr="007E780A">
        <w:t>Domino donation from living donors</w:t>
      </w:r>
    </w:p>
    <w:p w14:paraId="74113B8B" w14:textId="77777777" w:rsidR="00513896" w:rsidRDefault="006C6EBA" w:rsidP="00EA22AE">
      <w:pPr>
        <w:autoSpaceDE w:val="0"/>
        <w:autoSpaceDN w:val="0"/>
        <w:adjustRightInd w:val="0"/>
        <w:spacing w:after="120"/>
        <w:rPr>
          <w:rFonts w:ascii="Calibri" w:eastAsiaTheme="minorHAnsi" w:hAnsi="Calibri" w:cs="Calibri"/>
          <w:color w:val="000000" w:themeColor="text1"/>
          <w:sz w:val="22"/>
          <w:szCs w:val="22"/>
          <w:lang w:val="en-GB" w:eastAsia="en-US"/>
        </w:rPr>
      </w:pPr>
      <w:r w:rsidRPr="00513896">
        <w:rPr>
          <w:rFonts w:ascii="Calibri" w:eastAsiaTheme="minorHAnsi" w:hAnsi="Calibri" w:cs="Calibri"/>
          <w:color w:val="000000" w:themeColor="text1"/>
          <w:sz w:val="22"/>
          <w:szCs w:val="22"/>
          <w:lang w:val="en-GB" w:eastAsia="en-US"/>
        </w:rPr>
        <w:t>Rarely, whole vital organs can be donated as part of a domino transplant. Occasionally a combined heart and lung transplant is the best option for an individual with predominantly lung disease</w:t>
      </w:r>
      <w:r w:rsidR="00513896">
        <w:rPr>
          <w:rFonts w:ascii="Calibri" w:eastAsiaTheme="minorHAnsi" w:hAnsi="Calibri" w:cs="Calibri"/>
          <w:color w:val="000000" w:themeColor="text1"/>
          <w:sz w:val="22"/>
          <w:szCs w:val="22"/>
          <w:lang w:val="en-GB" w:eastAsia="en-US"/>
        </w:rPr>
        <w:t>.</w:t>
      </w:r>
      <w:r w:rsidRPr="00513896">
        <w:rPr>
          <w:rFonts w:ascii="Calibri" w:eastAsiaTheme="minorHAnsi" w:hAnsi="Calibri" w:cs="Calibri"/>
          <w:color w:val="000000" w:themeColor="text1"/>
          <w:sz w:val="22"/>
          <w:szCs w:val="22"/>
          <w:lang w:val="en-GB" w:eastAsia="en-US"/>
        </w:rPr>
        <w:t xml:space="preserve"> </w:t>
      </w:r>
      <w:r w:rsidR="00513896">
        <w:rPr>
          <w:rFonts w:ascii="Calibri" w:eastAsiaTheme="minorHAnsi" w:hAnsi="Calibri" w:cs="Calibri"/>
          <w:color w:val="000000" w:themeColor="text1"/>
          <w:sz w:val="22"/>
          <w:szCs w:val="22"/>
          <w:lang w:val="en-GB" w:eastAsia="en-US"/>
        </w:rPr>
        <w:t>I</w:t>
      </w:r>
      <w:r w:rsidRPr="00513896">
        <w:rPr>
          <w:rFonts w:ascii="Calibri" w:eastAsiaTheme="minorHAnsi" w:hAnsi="Calibri" w:cs="Calibri"/>
          <w:color w:val="000000" w:themeColor="text1"/>
          <w:sz w:val="22"/>
          <w:szCs w:val="22"/>
          <w:lang w:val="en-GB" w:eastAsia="en-US"/>
        </w:rPr>
        <w:t xml:space="preserve">n </w:t>
      </w:r>
      <w:r w:rsidR="00513896">
        <w:rPr>
          <w:rFonts w:ascii="Calibri" w:eastAsiaTheme="minorHAnsi" w:hAnsi="Calibri" w:cs="Calibri"/>
          <w:color w:val="000000" w:themeColor="text1"/>
          <w:sz w:val="22"/>
          <w:szCs w:val="22"/>
          <w:lang w:val="en-GB" w:eastAsia="en-US"/>
        </w:rPr>
        <w:t>this</w:t>
      </w:r>
      <w:r w:rsidRPr="00513896">
        <w:rPr>
          <w:rFonts w:ascii="Calibri" w:eastAsiaTheme="minorHAnsi" w:hAnsi="Calibri" w:cs="Calibri"/>
          <w:color w:val="000000" w:themeColor="text1"/>
          <w:sz w:val="22"/>
          <w:szCs w:val="22"/>
          <w:lang w:val="en-GB" w:eastAsia="en-US"/>
        </w:rPr>
        <w:t xml:space="preserve"> case</w:t>
      </w:r>
      <w:r w:rsidR="00513896">
        <w:rPr>
          <w:rFonts w:ascii="Calibri" w:eastAsiaTheme="minorHAnsi" w:hAnsi="Calibri" w:cs="Calibri"/>
          <w:color w:val="000000" w:themeColor="text1"/>
          <w:sz w:val="22"/>
          <w:szCs w:val="22"/>
          <w:lang w:val="en-GB" w:eastAsia="en-US"/>
        </w:rPr>
        <w:t>,</w:t>
      </w:r>
      <w:r w:rsidRPr="00513896">
        <w:rPr>
          <w:rFonts w:ascii="Calibri" w:eastAsiaTheme="minorHAnsi" w:hAnsi="Calibri" w:cs="Calibri"/>
          <w:color w:val="000000" w:themeColor="text1"/>
          <w:sz w:val="22"/>
          <w:szCs w:val="22"/>
          <w:lang w:val="en-GB" w:eastAsia="en-US"/>
        </w:rPr>
        <w:t xml:space="preserve"> </w:t>
      </w:r>
      <w:r w:rsidR="00513896">
        <w:rPr>
          <w:rFonts w:ascii="Calibri" w:eastAsiaTheme="minorHAnsi" w:hAnsi="Calibri" w:cs="Calibri"/>
          <w:color w:val="000000" w:themeColor="text1"/>
          <w:sz w:val="22"/>
          <w:szCs w:val="22"/>
          <w:lang w:val="en-GB" w:eastAsia="en-US"/>
        </w:rPr>
        <w:t>during</w:t>
      </w:r>
      <w:r w:rsidRPr="00513896">
        <w:rPr>
          <w:rFonts w:ascii="Calibri" w:eastAsiaTheme="minorHAnsi" w:hAnsi="Calibri" w:cs="Calibri"/>
          <w:color w:val="000000" w:themeColor="text1"/>
          <w:sz w:val="22"/>
          <w:szCs w:val="22"/>
          <w:lang w:val="en-GB" w:eastAsia="en-US"/>
        </w:rPr>
        <w:t xml:space="preserve"> transplant surgery the recipient’s own heart can be donated and transplanted into a person requiring a heart transplant. </w:t>
      </w:r>
    </w:p>
    <w:p w14:paraId="04F8A9DE" w14:textId="411F97D9" w:rsidR="006C6EBA" w:rsidRPr="00513896" w:rsidRDefault="006C6EBA" w:rsidP="00EA22AE">
      <w:pPr>
        <w:autoSpaceDE w:val="0"/>
        <w:autoSpaceDN w:val="0"/>
        <w:adjustRightInd w:val="0"/>
        <w:spacing w:after="120"/>
        <w:rPr>
          <w:rFonts w:ascii="Calibri" w:eastAsiaTheme="minorHAnsi" w:hAnsi="Calibri" w:cs="Calibri"/>
          <w:color w:val="000000" w:themeColor="text1"/>
          <w:sz w:val="22"/>
          <w:szCs w:val="22"/>
          <w:lang w:val="en-GB" w:eastAsia="en-US"/>
        </w:rPr>
      </w:pPr>
      <w:r w:rsidRPr="00513896">
        <w:rPr>
          <w:rFonts w:ascii="Calibri" w:eastAsiaTheme="minorHAnsi" w:hAnsi="Calibri" w:cs="Calibri"/>
          <w:color w:val="000000" w:themeColor="text1"/>
          <w:sz w:val="22"/>
          <w:szCs w:val="22"/>
          <w:lang w:val="en-GB" w:eastAsia="en-US"/>
        </w:rPr>
        <w:t>Rarely, liver transplantation can be used to treat a form of amyloidosis in which an inherited gene abnormality causes the liver to produce abnormal amyloid proteins that are deposited around nerves and other organs causing damage. Liver transplantation can ameliorate this process and because the liver is otherwise functionally normal, it can be transplanted into another individual. As there is a risk of the recipient also developing amyloidosis, which takes some years to develop, careful recipient selection is required, for example, those with a lower post-transplant survival life expectancy.</w:t>
      </w:r>
    </w:p>
    <w:p w14:paraId="529955EF" w14:textId="77777777" w:rsidR="006C6EBA" w:rsidRPr="007E780A" w:rsidRDefault="006C6EBA" w:rsidP="007E780A">
      <w:pPr>
        <w:pStyle w:val="Heading3"/>
      </w:pPr>
      <w:bookmarkStart w:id="361" w:name="_Tissue_donation_following"/>
      <w:bookmarkEnd w:id="361"/>
      <w:r w:rsidRPr="007E780A">
        <w:lastRenderedPageBreak/>
        <w:t xml:space="preserve">Tissue donation following a therapeutic procedure and childbirth </w:t>
      </w:r>
    </w:p>
    <w:p w14:paraId="2071F487" w14:textId="77777777" w:rsidR="00513896" w:rsidRDefault="006C6EBA" w:rsidP="00EA22AE">
      <w:pPr>
        <w:spacing w:after="120"/>
        <w:rPr>
          <w:rFonts w:ascii="Calibri" w:hAnsi="Calibri" w:cs="Calibri"/>
          <w:sz w:val="22"/>
          <w:szCs w:val="22"/>
        </w:rPr>
      </w:pPr>
      <w:r w:rsidRPr="00513896">
        <w:rPr>
          <w:rFonts w:ascii="Calibri" w:hAnsi="Calibri" w:cs="Calibri"/>
          <w:sz w:val="22"/>
          <w:szCs w:val="22"/>
        </w:rPr>
        <w:t xml:space="preserve">Individuals undergoing surgery as a treatment for a medical condition may have tissue removed that can be used for transplantation. This most commonly occurs in hip joint replacement surgery. Very infrequently, a person who is undergoing heart transplantation may have suitable heart valves for transplantation such that the explanted heart can be donated. </w:t>
      </w:r>
    </w:p>
    <w:p w14:paraId="5F8289B4" w14:textId="7ABC2F5D"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 xml:space="preserve">Placental tissue can also be donated at birth, with the amnion component used to treat burns, wounds and for other purposes such as reconstructive eye surgery. Umbilical cord blood can also be donated following childbirth for use in blood stem cell transplants see below (see </w:t>
      </w:r>
      <w:hyperlink w:anchor="_Uterus_transplantation_1" w:history="1">
        <w:r w:rsidR="00513896" w:rsidRPr="00513896">
          <w:rPr>
            <w:rStyle w:val="Hyperlink"/>
            <w:rFonts w:ascii="Calibri" w:hAnsi="Calibri" w:cs="Calibri"/>
            <w:sz w:val="22"/>
            <w:szCs w:val="22"/>
          </w:rPr>
          <w:t>Chapter 12.4</w:t>
        </w:r>
      </w:hyperlink>
      <w:r w:rsidR="00513896" w:rsidRPr="00513896">
        <w:rPr>
          <w:rFonts w:ascii="Calibri" w:hAnsi="Calibri" w:cs="Calibri"/>
          <w:sz w:val="22"/>
          <w:szCs w:val="22"/>
        </w:rPr>
        <w:t>).</w:t>
      </w:r>
    </w:p>
    <w:p w14:paraId="2DE9B1C8" w14:textId="77777777" w:rsidR="006C6EBA" w:rsidRPr="00EB088B" w:rsidRDefault="006C6EBA" w:rsidP="00EB088B">
      <w:pPr>
        <w:pStyle w:val="Heading4"/>
      </w:pPr>
      <w:r w:rsidRPr="00EB088B">
        <w:t xml:space="preserve">Bone donation from hip joint replacement surgery </w:t>
      </w:r>
    </w:p>
    <w:p w14:paraId="79561501" w14:textId="4B32C3F1" w:rsidR="006C6EBA" w:rsidRPr="00513896" w:rsidRDefault="006C6EBA" w:rsidP="00EA22AE">
      <w:pPr>
        <w:spacing w:after="120"/>
        <w:rPr>
          <w:rFonts w:ascii="Calibri" w:hAnsi="Calibri" w:cs="Calibri"/>
          <w:sz w:val="22"/>
          <w:szCs w:val="22"/>
        </w:rPr>
      </w:pPr>
      <w:r w:rsidRPr="00513896">
        <w:rPr>
          <w:rFonts w:ascii="Calibri" w:hAnsi="Calibri" w:cs="Calibri"/>
          <w:sz w:val="22"/>
          <w:szCs w:val="22"/>
        </w:rPr>
        <w:t>Individuals undergoing a primary hip joint replacement surgery for arthritis or other conditions may be able to donate the removed femoral head bone for transplantation. At assessment, a medical and social behaviour questionnaire requires completion to determine suitability. At the hip surgery the removed hip bone is transferred to the tissue bank for processing</w:t>
      </w:r>
      <w:r w:rsidR="00513896" w:rsidRPr="00513896">
        <w:rPr>
          <w:rFonts w:ascii="Calibri" w:hAnsi="Calibri" w:cs="Calibri"/>
          <w:sz w:val="22"/>
          <w:szCs w:val="22"/>
        </w:rPr>
        <w:t>, rather than being discarded.</w:t>
      </w:r>
    </w:p>
    <w:p w14:paraId="7670AEE9" w14:textId="77777777" w:rsidR="006C6EBA" w:rsidRPr="00EB088B" w:rsidRDefault="006C6EBA" w:rsidP="00EB088B">
      <w:pPr>
        <w:pStyle w:val="Heading4"/>
      </w:pPr>
      <w:r w:rsidRPr="00EB088B">
        <w:t xml:space="preserve"> Placental tissue donation </w:t>
      </w:r>
    </w:p>
    <w:p w14:paraId="5BF3220B" w14:textId="0F1FB992" w:rsidR="006C6EBA" w:rsidRPr="00C564EF" w:rsidRDefault="006C6EBA" w:rsidP="00EA22AE">
      <w:pPr>
        <w:spacing w:after="120"/>
        <w:rPr>
          <w:rFonts w:ascii="Calibri" w:hAnsi="Calibri" w:cs="Calibri"/>
          <w:sz w:val="22"/>
          <w:szCs w:val="22"/>
        </w:rPr>
      </w:pPr>
      <w:r w:rsidRPr="00C564EF">
        <w:rPr>
          <w:rFonts w:ascii="Calibri" w:hAnsi="Calibri" w:cs="Calibri"/>
          <w:sz w:val="22"/>
          <w:szCs w:val="22"/>
        </w:rPr>
        <w:t>Placental tissue consists of the amniotic membrane, chorion membrane, amniotic fluid, and the umbilical cord</w:t>
      </w:r>
      <w:r w:rsidR="00C564EF">
        <w:rPr>
          <w:rFonts w:ascii="Calibri" w:hAnsi="Calibri" w:cs="Calibri"/>
          <w:sz w:val="22"/>
          <w:szCs w:val="22"/>
        </w:rPr>
        <w:t xml:space="preserve"> (see </w:t>
      </w:r>
      <w:hyperlink w:anchor="_Blood_and_marrow" w:history="1">
        <w:r w:rsidR="00C564EF" w:rsidRPr="00513896">
          <w:rPr>
            <w:rStyle w:val="Hyperlink"/>
            <w:rFonts w:ascii="Calibri" w:hAnsi="Calibri" w:cs="Calibri"/>
            <w:sz w:val="22"/>
            <w:szCs w:val="22"/>
          </w:rPr>
          <w:t>Chapter 2.8.3</w:t>
        </w:r>
      </w:hyperlink>
      <w:r w:rsidR="00C564EF">
        <w:rPr>
          <w:rFonts w:ascii="Calibri" w:hAnsi="Calibri" w:cs="Calibri"/>
          <w:sz w:val="22"/>
          <w:szCs w:val="22"/>
        </w:rPr>
        <w:t>)</w:t>
      </w:r>
      <w:r w:rsidRPr="00C564EF">
        <w:rPr>
          <w:rFonts w:ascii="Calibri" w:hAnsi="Calibri" w:cs="Calibri"/>
          <w:sz w:val="22"/>
          <w:szCs w:val="22"/>
        </w:rPr>
        <w:t>, that surround and protect the foetus during pregnancy. The amnion i</w:t>
      </w:r>
      <w:r w:rsidR="00C564EF">
        <w:rPr>
          <w:rFonts w:ascii="Calibri" w:hAnsi="Calibri" w:cs="Calibri"/>
          <w:sz w:val="22"/>
          <w:szCs w:val="22"/>
        </w:rPr>
        <w:t>s</w:t>
      </w:r>
      <w:r w:rsidRPr="00C564EF">
        <w:rPr>
          <w:rFonts w:ascii="Calibri" w:hAnsi="Calibri" w:cs="Calibri"/>
          <w:sz w:val="22"/>
          <w:szCs w:val="22"/>
        </w:rPr>
        <w:t xml:space="preserve"> the inner most lining of the placenta closest to the foetus where it acts as a barrier to the outside environment. The amnion component of the donated placenta can be used in a variety of ways, including for burns and wound healing and for reconstructive eye surgery. Donation is usually only possible during when birth occurs via elective caesarean section. </w:t>
      </w:r>
    </w:p>
    <w:p w14:paraId="196DF483" w14:textId="77777777" w:rsidR="006C6EBA" w:rsidRPr="00C564EF" w:rsidRDefault="006C6EBA" w:rsidP="00EA22AE">
      <w:pPr>
        <w:spacing w:after="120"/>
        <w:rPr>
          <w:rFonts w:ascii="Calibri" w:hAnsi="Calibri" w:cs="Calibri"/>
          <w:sz w:val="22"/>
          <w:szCs w:val="22"/>
        </w:rPr>
      </w:pPr>
      <w:r w:rsidRPr="00C564EF">
        <w:rPr>
          <w:rFonts w:ascii="Calibri" w:hAnsi="Calibri" w:cs="Calibri"/>
          <w:sz w:val="22"/>
          <w:szCs w:val="22"/>
        </w:rPr>
        <w:t xml:space="preserve">For the purposes of the safety of donation and transplantation, a suitability assessment involves obtaining medical history and a blood sample for infectious disease screening from the mother. </w:t>
      </w:r>
    </w:p>
    <w:p w14:paraId="2A4A0A60" w14:textId="77777777" w:rsidR="006C6EBA" w:rsidRPr="00EB088B" w:rsidRDefault="006C6EBA" w:rsidP="00EB088B">
      <w:pPr>
        <w:pStyle w:val="Heading3"/>
      </w:pPr>
      <w:bookmarkStart w:id="362" w:name="_Blood_and_marrow"/>
      <w:bookmarkEnd w:id="362"/>
      <w:r w:rsidRPr="00EB088B">
        <w:t xml:space="preserve">Blood and marrow stem cell donation </w:t>
      </w:r>
    </w:p>
    <w:p w14:paraId="757CD4F8" w14:textId="77777777" w:rsidR="006C6EBA" w:rsidRPr="00C564EF" w:rsidRDefault="006C6EBA" w:rsidP="00EA22AE">
      <w:pPr>
        <w:spacing w:after="120"/>
        <w:rPr>
          <w:rFonts w:ascii="Calibri" w:hAnsi="Calibri" w:cs="Calibri"/>
          <w:sz w:val="22"/>
          <w:szCs w:val="22"/>
        </w:rPr>
      </w:pPr>
      <w:r w:rsidRPr="00C564EF">
        <w:rPr>
          <w:rFonts w:ascii="Calibri" w:hAnsi="Calibri" w:cs="Calibri"/>
          <w:sz w:val="22"/>
          <w:szCs w:val="22"/>
        </w:rPr>
        <w:t xml:space="preserve">For a stem cell transplant from a related or unrelated donor or donated umbilical cord blood to be successful, the patient and donor must have a closely matched tissue type or human leukocyte antigen (HLA). Since tissue types are inherited and tend to cluster in ethnic groups, patients are likely to find a matched donor either within their own family or ethnic group. </w:t>
      </w:r>
    </w:p>
    <w:p w14:paraId="510334F7" w14:textId="23FB3DE6" w:rsidR="006C6EBA" w:rsidRPr="00C564EF" w:rsidRDefault="006C6EBA" w:rsidP="00EA22AE">
      <w:pPr>
        <w:spacing w:after="120"/>
        <w:rPr>
          <w:rFonts w:ascii="Calibri" w:hAnsi="Calibri" w:cs="Calibri"/>
          <w:sz w:val="22"/>
          <w:szCs w:val="22"/>
        </w:rPr>
      </w:pPr>
      <w:r w:rsidRPr="00C564EF">
        <w:rPr>
          <w:rFonts w:ascii="Calibri" w:hAnsi="Calibri" w:cs="Calibri"/>
          <w:sz w:val="22"/>
          <w:szCs w:val="22"/>
        </w:rPr>
        <w:t>Early in the patient’s treatment, transplant centres will test the tissue type of suitable family members and conduct a preliminary global search of the tissue type ‘screening’ results (and other key data) of approx. 40 million prospective unrelated cell donors (aged between 18-60 years) and approx. 800,000 stored umbilical cord blood units, through ABMDR</w:t>
      </w:r>
      <w:r w:rsidR="00C564EF">
        <w:rPr>
          <w:rFonts w:ascii="Calibri" w:hAnsi="Calibri" w:cs="Calibri"/>
          <w:sz w:val="22"/>
          <w:szCs w:val="22"/>
        </w:rPr>
        <w:t xml:space="preserve"> (see </w:t>
      </w:r>
      <w:hyperlink w:anchor="_Blood_and_marrow_1" w:history="1">
        <w:r w:rsidR="00C564EF" w:rsidRPr="00C564EF">
          <w:rPr>
            <w:rStyle w:val="Hyperlink"/>
            <w:rFonts w:ascii="Calibri" w:hAnsi="Calibri" w:cs="Calibri"/>
            <w:sz w:val="22"/>
            <w:szCs w:val="22"/>
          </w:rPr>
          <w:t>Chapter 2.3.7</w:t>
        </w:r>
      </w:hyperlink>
      <w:r w:rsidR="00C564EF">
        <w:rPr>
          <w:rFonts w:ascii="Calibri" w:hAnsi="Calibri" w:cs="Calibri"/>
          <w:sz w:val="22"/>
          <w:szCs w:val="22"/>
        </w:rPr>
        <w:t>)</w:t>
      </w:r>
      <w:r w:rsidRPr="00C564EF">
        <w:rPr>
          <w:rFonts w:ascii="Calibri" w:hAnsi="Calibri" w:cs="Calibri"/>
          <w:sz w:val="22"/>
          <w:szCs w:val="22"/>
        </w:rPr>
        <w:t xml:space="preserve">. </w:t>
      </w:r>
    </w:p>
    <w:p w14:paraId="0313BFC6" w14:textId="689CFCC5" w:rsidR="006C6EBA" w:rsidRPr="00C564EF" w:rsidRDefault="006C6EBA" w:rsidP="00EA22AE">
      <w:pPr>
        <w:spacing w:after="120"/>
        <w:rPr>
          <w:rFonts w:ascii="Calibri" w:hAnsi="Calibri" w:cs="Calibri"/>
          <w:sz w:val="22"/>
          <w:szCs w:val="22"/>
        </w:rPr>
      </w:pPr>
      <w:r w:rsidRPr="00C564EF">
        <w:rPr>
          <w:rFonts w:ascii="Calibri" w:hAnsi="Calibri" w:cs="Calibri"/>
          <w:sz w:val="22"/>
          <w:szCs w:val="22"/>
        </w:rPr>
        <w:t xml:space="preserve">Where </w:t>
      </w:r>
      <w:r w:rsidR="00C564EF">
        <w:rPr>
          <w:rFonts w:ascii="Calibri" w:hAnsi="Calibri" w:cs="Calibri"/>
          <w:sz w:val="22"/>
          <w:szCs w:val="22"/>
        </w:rPr>
        <w:t>potential</w:t>
      </w:r>
      <w:r w:rsidRPr="00C564EF">
        <w:rPr>
          <w:rFonts w:ascii="Calibri" w:hAnsi="Calibri" w:cs="Calibri"/>
          <w:sz w:val="22"/>
          <w:szCs w:val="22"/>
        </w:rPr>
        <w:t xml:space="preserve"> related or unrelated donors are identified, a detailed clinical process is commenced to verify the candidate/s HLA and medical history, test them for a suite of infectious and other relevant diseases and physically assess them to ensure that a) the transplant centre selects the most suitable donor for their patient and b) the selected donor is fit to donate. During these processes, the donor is educated on the risk and requirements of donation, and their consent is obtained</w:t>
      </w:r>
      <w:r w:rsidR="00C564EF">
        <w:rPr>
          <w:rFonts w:ascii="Calibri" w:hAnsi="Calibri" w:cs="Calibri"/>
          <w:sz w:val="22"/>
          <w:szCs w:val="22"/>
        </w:rPr>
        <w:t xml:space="preserve"> (see </w:t>
      </w:r>
      <w:hyperlink w:anchor="_Consent_in_unrelated" w:history="1">
        <w:r w:rsidR="00C564EF" w:rsidRPr="006720E4">
          <w:rPr>
            <w:rStyle w:val="Hyperlink"/>
            <w:rFonts w:ascii="Calibri" w:hAnsi="Calibri" w:cs="Calibri"/>
            <w:sz w:val="22"/>
            <w:szCs w:val="22"/>
          </w:rPr>
          <w:t>Chapter 4.3.4.2</w:t>
        </w:r>
      </w:hyperlink>
      <w:r w:rsidR="00C564EF">
        <w:rPr>
          <w:rFonts w:ascii="Calibri" w:hAnsi="Calibri" w:cs="Calibri"/>
          <w:sz w:val="22"/>
          <w:szCs w:val="22"/>
        </w:rPr>
        <w:t>)</w:t>
      </w:r>
      <w:r w:rsidRPr="00C564EF">
        <w:rPr>
          <w:rFonts w:ascii="Calibri" w:hAnsi="Calibri" w:cs="Calibri"/>
          <w:sz w:val="22"/>
          <w:szCs w:val="22"/>
        </w:rPr>
        <w:t>.</w:t>
      </w:r>
    </w:p>
    <w:p w14:paraId="27B0D2D1" w14:textId="4BF10F64" w:rsidR="006C6EBA" w:rsidRPr="00C564EF" w:rsidRDefault="006C6EBA" w:rsidP="00EA22AE">
      <w:pPr>
        <w:spacing w:after="120"/>
        <w:rPr>
          <w:rFonts w:ascii="Calibri" w:hAnsi="Calibri" w:cs="Calibri"/>
          <w:sz w:val="22"/>
          <w:szCs w:val="22"/>
        </w:rPr>
      </w:pPr>
      <w:r w:rsidRPr="00C564EF">
        <w:rPr>
          <w:rFonts w:ascii="Calibri" w:hAnsi="Calibri" w:cs="Calibri"/>
          <w:sz w:val="22"/>
          <w:szCs w:val="22"/>
        </w:rPr>
        <w:t>ABMDR facilitates the evaluation and selection of Australian unrelated donors, to ensure that strict donor welfare standards are met and that donor-patient anonymity is observed</w:t>
      </w:r>
      <w:r w:rsidR="00C564EF" w:rsidRPr="00C564EF">
        <w:rPr>
          <w:rFonts w:ascii="Calibri" w:hAnsi="Calibri" w:cs="Calibri"/>
          <w:sz w:val="22"/>
          <w:szCs w:val="22"/>
        </w:rPr>
        <w:t xml:space="preserve"> (see </w:t>
      </w:r>
      <w:hyperlink w:anchor="_Waiver_of_anonymity" w:history="1">
        <w:r w:rsidR="00C564EF" w:rsidRPr="00C564EF">
          <w:rPr>
            <w:rStyle w:val="Hyperlink"/>
            <w:rFonts w:ascii="Calibri" w:hAnsi="Calibri" w:cs="Calibri"/>
            <w:sz w:val="22"/>
            <w:szCs w:val="22"/>
          </w:rPr>
          <w:t>Chapter 7.3.2.2</w:t>
        </w:r>
      </w:hyperlink>
      <w:r w:rsidR="00C564EF" w:rsidRPr="00C564EF">
        <w:rPr>
          <w:rStyle w:val="Hyperlink"/>
          <w:rFonts w:ascii="Calibri" w:hAnsi="Calibri" w:cs="Calibri"/>
          <w:sz w:val="22"/>
          <w:szCs w:val="22"/>
        </w:rPr>
        <w:t>)</w:t>
      </w:r>
      <w:r w:rsidRPr="00C564EF">
        <w:rPr>
          <w:rFonts w:ascii="Calibri" w:hAnsi="Calibri" w:cs="Calibri"/>
          <w:sz w:val="22"/>
          <w:szCs w:val="22"/>
        </w:rPr>
        <w:t>. The physical examination, education, consenting and attestation that an unrelated donor is fit to donate (i.e. ‘clinical workup’) is performed by the nominated collection centre. Wherever possible, this collection centre is different to the patient’s transplant centre – if this cannot be avoided, a clinician other than the one caring for the patient is responsible for the donor’s welfare. The majority of unrelated donors to Australian patients are located overseas, in which case ABMDR coordinates the process with the relevant international donor registry.</w:t>
      </w:r>
    </w:p>
    <w:p w14:paraId="45946522" w14:textId="77777777" w:rsidR="006C6EBA" w:rsidRDefault="006C6EBA" w:rsidP="00EA22AE">
      <w:pPr>
        <w:spacing w:after="120"/>
        <w:rPr>
          <w:rFonts w:ascii="Calibri" w:hAnsi="Calibri" w:cs="Calibri"/>
          <w:sz w:val="22"/>
          <w:szCs w:val="22"/>
        </w:rPr>
      </w:pPr>
      <w:r w:rsidRPr="00C564EF">
        <w:rPr>
          <w:rFonts w:ascii="Calibri" w:hAnsi="Calibri" w:cs="Calibri"/>
          <w:sz w:val="22"/>
          <w:szCs w:val="22"/>
        </w:rPr>
        <w:lastRenderedPageBreak/>
        <w:t>Where umbilical cord blood is selected by the transplant centre, the cord blood bank will be requested to perform additional verification tests on the stored unit/s in preparation for release. This process is also facilitated by ABMDR.</w:t>
      </w:r>
    </w:p>
    <w:p w14:paraId="67BD31D4" w14:textId="47D31DE8" w:rsidR="00C564EF" w:rsidRPr="00EB088B" w:rsidRDefault="00C564EF" w:rsidP="00EB088B">
      <w:pPr>
        <w:pStyle w:val="Heading4"/>
      </w:pPr>
      <w:r w:rsidRPr="00EB088B">
        <w:t>Collection of HSCs from donors</w:t>
      </w:r>
    </w:p>
    <w:p w14:paraId="68F8A596" w14:textId="77777777" w:rsidR="006C6EBA" w:rsidRPr="00C564EF" w:rsidRDefault="006C6EBA" w:rsidP="00EA22AE">
      <w:pPr>
        <w:spacing w:after="120"/>
        <w:rPr>
          <w:rFonts w:ascii="Calibri" w:hAnsi="Calibri" w:cs="Calibri"/>
          <w:sz w:val="22"/>
          <w:szCs w:val="22"/>
        </w:rPr>
      </w:pPr>
      <w:r w:rsidRPr="00C564EF">
        <w:rPr>
          <w:rFonts w:ascii="Calibri" w:hAnsi="Calibri" w:cs="Calibri"/>
          <w:sz w:val="22"/>
          <w:szCs w:val="22"/>
        </w:rPr>
        <w:t xml:space="preserve">The method of collecting the cells from the donor depends on whether blood stem cells, bone marrow or </w:t>
      </w:r>
      <w:r w:rsidRPr="00C564EF">
        <w:rPr>
          <w:rFonts w:ascii="Calibri" w:hAnsi="Calibri" w:cs="Calibri"/>
          <w:color w:val="000000" w:themeColor="text1"/>
          <w:sz w:val="22"/>
          <w:szCs w:val="22"/>
        </w:rPr>
        <w:t xml:space="preserve">umbilical </w:t>
      </w:r>
      <w:r w:rsidRPr="00C564EF">
        <w:rPr>
          <w:rFonts w:ascii="Calibri" w:hAnsi="Calibri" w:cs="Calibri"/>
          <w:sz w:val="22"/>
          <w:szCs w:val="22"/>
        </w:rPr>
        <w:t>cord blood stem cells are requested.</w:t>
      </w:r>
    </w:p>
    <w:p w14:paraId="25F55C56" w14:textId="77777777" w:rsidR="006C6EBA" w:rsidRPr="00C564EF" w:rsidRDefault="006C6EBA" w:rsidP="00EA22AE">
      <w:pPr>
        <w:spacing w:after="120"/>
        <w:rPr>
          <w:rFonts w:ascii="Calibri" w:hAnsi="Calibri" w:cs="Calibri"/>
          <w:sz w:val="22"/>
          <w:szCs w:val="22"/>
        </w:rPr>
      </w:pPr>
      <w:r w:rsidRPr="00C564EF">
        <w:rPr>
          <w:rFonts w:ascii="Calibri" w:hAnsi="Calibri" w:cs="Calibri"/>
          <w:sz w:val="22"/>
          <w:szCs w:val="22"/>
        </w:rPr>
        <w:t xml:space="preserve">Peripheral </w:t>
      </w:r>
      <w:r w:rsidRPr="00C564EF">
        <w:rPr>
          <w:rFonts w:ascii="Calibri" w:hAnsi="Calibri" w:cs="Calibri"/>
          <w:b/>
          <w:sz w:val="22"/>
          <w:szCs w:val="22"/>
        </w:rPr>
        <w:t>blood stem cell donation</w:t>
      </w:r>
      <w:r w:rsidRPr="00C564EF">
        <w:rPr>
          <w:rFonts w:ascii="Calibri" w:hAnsi="Calibri" w:cs="Calibri"/>
          <w:sz w:val="22"/>
          <w:szCs w:val="22"/>
        </w:rPr>
        <w:t xml:space="preserve"> involves a course of injections of a medication that stimulates the production of stem cells within the donor’s bone marrow, releasing these into the donor’s blood stream. These cells are then removed by apheresis over several hours. Around 90% of donations made in Australia are through this method.</w:t>
      </w:r>
    </w:p>
    <w:p w14:paraId="50E417D9" w14:textId="77777777" w:rsidR="006C6EBA" w:rsidRPr="00C564EF" w:rsidRDefault="006C6EBA" w:rsidP="00EA22AE">
      <w:pPr>
        <w:spacing w:after="120"/>
        <w:rPr>
          <w:rFonts w:ascii="Calibri" w:hAnsi="Calibri" w:cs="Calibri"/>
          <w:sz w:val="22"/>
          <w:szCs w:val="22"/>
        </w:rPr>
      </w:pPr>
      <w:r w:rsidRPr="00C564EF">
        <w:rPr>
          <w:rFonts w:ascii="Calibri" w:hAnsi="Calibri" w:cs="Calibri"/>
          <w:b/>
          <w:sz w:val="22"/>
          <w:szCs w:val="22"/>
        </w:rPr>
        <w:t>Bone marrow donation</w:t>
      </w:r>
      <w:r w:rsidRPr="00C564EF">
        <w:rPr>
          <w:rFonts w:ascii="Calibri" w:hAnsi="Calibri" w:cs="Calibri"/>
          <w:sz w:val="22"/>
          <w:szCs w:val="22"/>
        </w:rPr>
        <w:t xml:space="preserve"> is a surgical procedure in which liquid marrow is withdrawn from the back of the donor’s pelvis using special needles and syringes. General anaesthesia is usually used for this procedure. </w:t>
      </w:r>
    </w:p>
    <w:p w14:paraId="5973BA0B" w14:textId="7125985E" w:rsidR="006C6EBA" w:rsidRPr="00C564EF" w:rsidRDefault="006C6EBA" w:rsidP="00EA22AE">
      <w:pPr>
        <w:spacing w:after="120"/>
        <w:rPr>
          <w:rFonts w:ascii="Calibri" w:hAnsi="Calibri" w:cs="Calibri"/>
          <w:sz w:val="22"/>
          <w:szCs w:val="22"/>
        </w:rPr>
      </w:pPr>
      <w:r w:rsidRPr="00C564EF">
        <w:rPr>
          <w:rFonts w:ascii="Calibri" w:hAnsi="Calibri" w:cs="Calibri"/>
          <w:b/>
          <w:sz w:val="22"/>
          <w:szCs w:val="22"/>
        </w:rPr>
        <w:t>Umbilical cord</w:t>
      </w:r>
      <w:r w:rsidRPr="00C564EF">
        <w:rPr>
          <w:rFonts w:ascii="Calibri" w:hAnsi="Calibri" w:cs="Calibri"/>
          <w:sz w:val="22"/>
          <w:szCs w:val="22"/>
        </w:rPr>
        <w:t xml:space="preserve"> </w:t>
      </w:r>
      <w:r w:rsidRPr="00C564EF">
        <w:rPr>
          <w:rFonts w:ascii="Calibri" w:hAnsi="Calibri" w:cs="Calibri"/>
          <w:b/>
          <w:sz w:val="22"/>
          <w:szCs w:val="22"/>
        </w:rPr>
        <w:t>blood</w:t>
      </w:r>
      <w:r w:rsidRPr="00C564EF">
        <w:rPr>
          <w:rFonts w:ascii="Calibri" w:hAnsi="Calibri" w:cs="Calibri"/>
          <w:sz w:val="22"/>
          <w:szCs w:val="22"/>
        </w:rPr>
        <w:t xml:space="preserve"> is collected immediately following birth, and after a suitability assessment has been completed (which involves obtaining the mother’s medical history and a blood sample for infectious disease screening). No blood is required from the baby. Donations that have sufficient stem cells for use in transplantation are then processed and cryopreserved by the cord blood bank and, after a quarantine period, ‘published’ through ABMDR for searches by transplant centres. Public cord blood banks in Australia are licensed by the TGA. </w:t>
      </w:r>
      <w:r w:rsidR="00692B2F">
        <w:rPr>
          <w:rFonts w:ascii="Calibri" w:hAnsi="Calibri" w:cs="Calibri"/>
          <w:sz w:val="22"/>
          <w:szCs w:val="22"/>
        </w:rPr>
        <w:t xml:space="preserve">See </w:t>
      </w:r>
      <w:hyperlink w:anchor="_Decision-making_regarding_public" w:history="1">
        <w:r w:rsidR="00692B2F" w:rsidRPr="00947FB9">
          <w:rPr>
            <w:rStyle w:val="Hyperlink"/>
            <w:rFonts w:ascii="Calibri" w:hAnsi="Calibri" w:cs="Calibri"/>
            <w:sz w:val="22"/>
            <w:szCs w:val="22"/>
          </w:rPr>
          <w:t>Chapter 12.4.2</w:t>
        </w:r>
      </w:hyperlink>
      <w:r w:rsidR="00692B2F">
        <w:rPr>
          <w:rStyle w:val="Hyperlink"/>
          <w:rFonts w:ascii="Calibri" w:hAnsi="Calibri" w:cs="Calibri"/>
          <w:sz w:val="22"/>
          <w:szCs w:val="22"/>
        </w:rPr>
        <w:t xml:space="preserve"> </w:t>
      </w:r>
      <w:r w:rsidR="00692B2F">
        <w:rPr>
          <w:rFonts w:ascii="Calibri" w:hAnsi="Calibri" w:cs="Calibri"/>
          <w:sz w:val="22"/>
          <w:szCs w:val="22"/>
        </w:rPr>
        <w:t xml:space="preserve">for discussion of the implications of public and private cord blood banking. </w:t>
      </w:r>
    </w:p>
    <w:p w14:paraId="47B52C82" w14:textId="77777777" w:rsidR="006C6EBA" w:rsidRPr="00EB088B" w:rsidRDefault="006C6EBA" w:rsidP="00EB088B">
      <w:pPr>
        <w:pStyle w:val="Heading2"/>
      </w:pPr>
      <w:bookmarkStart w:id="363" w:name="_Monitoring_and_evaluation"/>
      <w:bookmarkStart w:id="364" w:name="_Toc74171016"/>
      <w:bookmarkStart w:id="365" w:name="_Toc74172191"/>
      <w:bookmarkStart w:id="366" w:name="_Toc74172727"/>
      <w:bookmarkStart w:id="367" w:name="_Toc135131430"/>
      <w:bookmarkStart w:id="368" w:name="_Hlk79674429"/>
      <w:bookmarkEnd w:id="363"/>
      <w:r w:rsidRPr="00EB088B">
        <w:t>Monitoring and evaluation of donation and transplantation activities and outcomes</w:t>
      </w:r>
      <w:bookmarkEnd w:id="364"/>
      <w:bookmarkEnd w:id="365"/>
      <w:bookmarkEnd w:id="366"/>
      <w:bookmarkEnd w:id="367"/>
    </w:p>
    <w:bookmarkEnd w:id="368"/>
    <w:p w14:paraId="0561A19E" w14:textId="5EF01C79" w:rsidR="00182E15" w:rsidRDefault="006C6EBA" w:rsidP="00EA22AE">
      <w:pPr>
        <w:spacing w:after="120"/>
        <w:rPr>
          <w:rFonts w:ascii="Calibri" w:hAnsi="Calibri" w:cs="Calibri"/>
          <w:sz w:val="22"/>
          <w:szCs w:val="22"/>
          <w:lang w:eastAsia="en-AU"/>
        </w:rPr>
      </w:pPr>
      <w:r w:rsidRPr="00C12F71">
        <w:rPr>
          <w:rFonts w:ascii="Calibri" w:hAnsi="Calibri" w:cs="Calibri"/>
          <w:sz w:val="22"/>
          <w:szCs w:val="22"/>
        </w:rPr>
        <w:t xml:space="preserve">Monitoring and evaluation of donation and transplantation processes </w:t>
      </w:r>
      <w:r w:rsidR="00C12F71">
        <w:rPr>
          <w:rFonts w:ascii="Calibri" w:hAnsi="Calibri" w:cs="Calibri"/>
          <w:sz w:val="22"/>
          <w:szCs w:val="22"/>
        </w:rPr>
        <w:t xml:space="preserve">and </w:t>
      </w:r>
      <w:r w:rsidRPr="00C12F71">
        <w:rPr>
          <w:rFonts w:ascii="Calibri" w:hAnsi="Calibri" w:cs="Calibri"/>
          <w:sz w:val="22"/>
          <w:szCs w:val="22"/>
        </w:rPr>
        <w:t xml:space="preserve">outcomes is vital for assuring the quality, efficiency, and transparency of the system. </w:t>
      </w:r>
      <w:r w:rsidR="00182E15" w:rsidRPr="00C12F71">
        <w:rPr>
          <w:rFonts w:ascii="Calibri" w:hAnsi="Calibri" w:cs="Calibri"/>
          <w:sz w:val="22"/>
          <w:szCs w:val="22"/>
          <w:lang w:eastAsia="en-AU"/>
        </w:rPr>
        <w:t xml:space="preserve">Data related to donation and transplantation </w:t>
      </w:r>
      <w:r w:rsidR="00182E15">
        <w:rPr>
          <w:rFonts w:ascii="Calibri" w:hAnsi="Calibri" w:cs="Calibri"/>
          <w:sz w:val="22"/>
          <w:szCs w:val="22"/>
          <w:lang w:eastAsia="en-AU"/>
        </w:rPr>
        <w:t xml:space="preserve">play an important role in guiding and governing ethical </w:t>
      </w:r>
      <w:r w:rsidR="00182E15" w:rsidRPr="005525CE">
        <w:rPr>
          <w:rFonts w:ascii="Calibri" w:hAnsi="Calibri" w:cs="Calibri"/>
          <w:sz w:val="22"/>
          <w:szCs w:val="22"/>
          <w:lang w:eastAsia="en-AU"/>
        </w:rPr>
        <w:t xml:space="preserve">practice (see </w:t>
      </w:r>
      <w:hyperlink w:anchor="_Data_collection_and_1" w:history="1">
        <w:r w:rsidR="000E6063" w:rsidRPr="005525CE">
          <w:rPr>
            <w:rStyle w:val="Hyperlink"/>
            <w:rFonts w:ascii="Calibri" w:hAnsi="Calibri" w:cs="Calibri"/>
            <w:sz w:val="22"/>
            <w:szCs w:val="22"/>
            <w:lang w:eastAsia="en-AU"/>
          </w:rPr>
          <w:t>Chapter 7.4)</w:t>
        </w:r>
      </w:hyperlink>
      <w:r w:rsidR="000E6063">
        <w:rPr>
          <w:rFonts w:ascii="Calibri" w:hAnsi="Calibri" w:cs="Calibri"/>
          <w:sz w:val="22"/>
          <w:szCs w:val="22"/>
          <w:lang w:eastAsia="en-AU"/>
        </w:rPr>
        <w:t xml:space="preserve"> </w:t>
      </w:r>
      <w:r w:rsidR="00182E15">
        <w:rPr>
          <w:rFonts w:ascii="Calibri" w:hAnsi="Calibri" w:cs="Calibri"/>
          <w:sz w:val="22"/>
          <w:szCs w:val="22"/>
          <w:lang w:eastAsia="en-AU"/>
        </w:rPr>
        <w:t xml:space="preserve">and in maintaining safety (see </w:t>
      </w:r>
      <w:hyperlink w:anchor="_Vigilance_and_surveillance" w:history="1">
        <w:r w:rsidR="00182E15" w:rsidRPr="00182E15">
          <w:rPr>
            <w:rStyle w:val="Hyperlink"/>
            <w:rFonts w:ascii="Calibri" w:hAnsi="Calibri" w:cs="Calibri"/>
            <w:sz w:val="22"/>
            <w:szCs w:val="22"/>
            <w:lang w:eastAsia="en-AU"/>
          </w:rPr>
          <w:t>Chapter 2.9.1</w:t>
        </w:r>
      </w:hyperlink>
      <w:r w:rsidR="00182E15">
        <w:rPr>
          <w:rFonts w:ascii="Calibri" w:hAnsi="Calibri" w:cs="Calibri"/>
          <w:sz w:val="22"/>
          <w:szCs w:val="22"/>
          <w:lang w:eastAsia="en-AU"/>
        </w:rPr>
        <w:t>).</w:t>
      </w:r>
      <w:r w:rsidR="00182E15" w:rsidRPr="00C12F71">
        <w:rPr>
          <w:rFonts w:ascii="Calibri" w:hAnsi="Calibri" w:cs="Calibri"/>
          <w:sz w:val="22"/>
          <w:szCs w:val="22"/>
          <w:lang w:eastAsia="en-AU"/>
        </w:rPr>
        <w:t xml:space="preserve"> </w:t>
      </w:r>
      <w:r w:rsidR="00182E15">
        <w:rPr>
          <w:rFonts w:ascii="Calibri" w:hAnsi="Calibri" w:cs="Calibri"/>
          <w:sz w:val="22"/>
          <w:szCs w:val="22"/>
          <w:lang w:eastAsia="en-AU"/>
        </w:rPr>
        <w:t>Data are commonly collected via registries as outlined</w:t>
      </w:r>
      <w:r w:rsidR="00182E15" w:rsidRPr="00182E15">
        <w:rPr>
          <w:rFonts w:ascii="Calibri" w:hAnsi="Calibri" w:cs="Calibri"/>
          <w:sz w:val="22"/>
          <w:szCs w:val="22"/>
        </w:rPr>
        <w:t xml:space="preserve"> </w:t>
      </w:r>
      <w:r w:rsidR="00182E15">
        <w:rPr>
          <w:rFonts w:ascii="Calibri" w:hAnsi="Calibri" w:cs="Calibri"/>
          <w:sz w:val="22"/>
          <w:szCs w:val="22"/>
        </w:rPr>
        <w:t xml:space="preserve">in </w:t>
      </w:r>
      <w:hyperlink w:anchor="_Data_collection_and_2" w:history="1">
        <w:r w:rsidR="00182E15" w:rsidRPr="00182E15">
          <w:rPr>
            <w:rStyle w:val="Hyperlink"/>
            <w:rFonts w:ascii="Calibri" w:hAnsi="Calibri" w:cs="Calibri"/>
            <w:sz w:val="22"/>
            <w:szCs w:val="22"/>
          </w:rPr>
          <w:t>Chapter 2.9.2</w:t>
        </w:r>
      </w:hyperlink>
      <w:r w:rsidR="00182E15">
        <w:rPr>
          <w:rFonts w:ascii="Calibri" w:hAnsi="Calibri" w:cs="Calibri"/>
          <w:sz w:val="22"/>
          <w:szCs w:val="22"/>
        </w:rPr>
        <w:t>.</w:t>
      </w:r>
    </w:p>
    <w:p w14:paraId="0C796261" w14:textId="616880B4" w:rsidR="006C6EBA" w:rsidRPr="00C12F71" w:rsidRDefault="006C6EBA" w:rsidP="00EA22AE">
      <w:pPr>
        <w:spacing w:after="120"/>
        <w:rPr>
          <w:rFonts w:ascii="Calibri" w:hAnsi="Calibri" w:cs="Calibri"/>
          <w:sz w:val="22"/>
          <w:szCs w:val="22"/>
        </w:rPr>
      </w:pPr>
      <w:r w:rsidRPr="00C12F71">
        <w:rPr>
          <w:rFonts w:ascii="Calibri" w:hAnsi="Calibri" w:cs="Calibri"/>
          <w:sz w:val="22"/>
          <w:szCs w:val="22"/>
        </w:rPr>
        <w:t>The monitoring and evaluation activities include auditing donation processes such as deceased donor detection and family approach to offer donation, processes for transplant waitlisting and organ allocation, reporting and assessing adverse events, and tracking transplantation outcomes.</w:t>
      </w:r>
      <w:r w:rsidR="00182E15">
        <w:rPr>
          <w:rFonts w:ascii="Calibri" w:hAnsi="Calibri" w:cs="Calibri"/>
          <w:sz w:val="22"/>
          <w:szCs w:val="22"/>
        </w:rPr>
        <w:t xml:space="preserve"> </w:t>
      </w:r>
    </w:p>
    <w:p w14:paraId="27BFCCFA" w14:textId="22658C6B" w:rsidR="006C6EBA" w:rsidRDefault="006C6EBA" w:rsidP="00EA22AE">
      <w:pPr>
        <w:spacing w:after="120"/>
        <w:rPr>
          <w:rFonts w:ascii="Calibri" w:hAnsi="Calibri" w:cs="Calibri"/>
          <w:sz w:val="22"/>
          <w:szCs w:val="22"/>
        </w:rPr>
      </w:pPr>
      <w:r w:rsidRPr="00C12F71">
        <w:rPr>
          <w:rFonts w:ascii="Calibri" w:hAnsi="Calibri" w:cs="Calibri"/>
          <w:sz w:val="22"/>
          <w:szCs w:val="22"/>
        </w:rPr>
        <w:t xml:space="preserve">The </w:t>
      </w:r>
      <w:r w:rsidR="00C12F71">
        <w:rPr>
          <w:rFonts w:ascii="Calibri" w:hAnsi="Calibri" w:cs="Calibri"/>
          <w:sz w:val="22"/>
          <w:szCs w:val="22"/>
        </w:rPr>
        <w:t>OTA</w:t>
      </w:r>
      <w:r w:rsidRPr="00C12F71">
        <w:rPr>
          <w:rFonts w:ascii="Calibri" w:hAnsi="Calibri" w:cs="Calibri"/>
          <w:sz w:val="22"/>
          <w:szCs w:val="22"/>
        </w:rPr>
        <w:t xml:space="preserve"> undertakes an audit of hospital deaths to ensure all potential organ donor opportunities are identified and families are approached to consider donation according to best practice. The TSANZ clinical guidelines outline the requirement to audit waitlisting processes and organ allocation to ensure that access to transplantation occurs according to agreed protocols.</w:t>
      </w:r>
      <w:r w:rsidR="00C12F71">
        <w:rPr>
          <w:rFonts w:ascii="Calibri" w:hAnsi="Calibri" w:cs="Calibri"/>
          <w:sz w:val="22"/>
          <w:szCs w:val="22"/>
        </w:rPr>
        <w:fldChar w:fldCharType="begin" w:fldLock="1"/>
      </w:r>
      <w:r w:rsidR="00BA3D76">
        <w:rPr>
          <w:rFonts w:ascii="Calibri" w:hAnsi="Calibri" w:cs="Calibri"/>
          <w:sz w:val="22"/>
          <w:szCs w:val="22"/>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00C12F71">
        <w:rPr>
          <w:rFonts w:ascii="Calibri" w:hAnsi="Calibri" w:cs="Calibri"/>
          <w:sz w:val="22"/>
          <w:szCs w:val="22"/>
        </w:rPr>
        <w:fldChar w:fldCharType="separate"/>
      </w:r>
      <w:r w:rsidR="00C12F71" w:rsidRPr="00C12F71">
        <w:rPr>
          <w:rFonts w:ascii="Calibri" w:hAnsi="Calibri" w:cs="Calibri"/>
          <w:noProof/>
          <w:sz w:val="22"/>
          <w:szCs w:val="22"/>
        </w:rPr>
        <w:t>(12)</w:t>
      </w:r>
      <w:r w:rsidR="00C12F71">
        <w:rPr>
          <w:rFonts w:ascii="Calibri" w:hAnsi="Calibri" w:cs="Calibri"/>
          <w:sz w:val="22"/>
          <w:szCs w:val="22"/>
        </w:rPr>
        <w:fldChar w:fldCharType="end"/>
      </w:r>
      <w:r w:rsidRPr="00C12F71">
        <w:rPr>
          <w:rFonts w:ascii="Calibri" w:hAnsi="Calibri" w:cs="Calibri"/>
          <w:sz w:val="22"/>
          <w:szCs w:val="22"/>
        </w:rPr>
        <w:t xml:space="preserve"> </w:t>
      </w:r>
    </w:p>
    <w:p w14:paraId="04191D07" w14:textId="38F887DA" w:rsidR="00C12F71" w:rsidRPr="00EB088B" w:rsidRDefault="00C12F71" w:rsidP="00EB088B">
      <w:pPr>
        <w:pStyle w:val="Heading3"/>
      </w:pPr>
      <w:bookmarkStart w:id="369" w:name="_Vigilance_and_surveillance"/>
      <w:bookmarkEnd w:id="369"/>
      <w:r w:rsidRPr="00EB088B">
        <w:t>Vigilance and surveillance</w:t>
      </w:r>
    </w:p>
    <w:p w14:paraId="04274CF8" w14:textId="08155B6C" w:rsidR="006C6EBA" w:rsidRPr="00C12F71" w:rsidRDefault="006C6EBA" w:rsidP="00EA22AE">
      <w:pPr>
        <w:spacing w:after="120"/>
        <w:rPr>
          <w:rFonts w:ascii="Calibri" w:hAnsi="Calibri" w:cs="Calibri"/>
          <w:sz w:val="22"/>
          <w:szCs w:val="22"/>
        </w:rPr>
      </w:pPr>
      <w:r w:rsidRPr="00C12F71">
        <w:rPr>
          <w:rFonts w:ascii="Calibri" w:hAnsi="Calibri" w:cs="Calibri"/>
          <w:sz w:val="22"/>
          <w:szCs w:val="22"/>
        </w:rPr>
        <w:t xml:space="preserve">Vigilance and surveillance processes exist to facilitate the detection, evaluation and reporting of adverse events to improve the quality and safety of donation and transplantation. </w:t>
      </w:r>
      <w:r w:rsidR="00182E15" w:rsidRPr="00C12F71">
        <w:rPr>
          <w:rFonts w:ascii="Calibri" w:hAnsi="Calibri" w:cs="Calibri"/>
          <w:sz w:val="22"/>
          <w:szCs w:val="22"/>
          <w:lang w:eastAsia="en-AU"/>
        </w:rPr>
        <w:t xml:space="preserve">Maintenance of donation and transplant registries </w:t>
      </w:r>
      <w:r w:rsidR="00182E15">
        <w:rPr>
          <w:rFonts w:ascii="Calibri" w:hAnsi="Calibri" w:cs="Calibri"/>
          <w:sz w:val="22"/>
          <w:szCs w:val="22"/>
          <w:lang w:eastAsia="en-AU"/>
        </w:rPr>
        <w:t xml:space="preserve">(see </w:t>
      </w:r>
      <w:hyperlink w:anchor="_Data_collection_and_2" w:history="1">
        <w:r w:rsidR="00182E15" w:rsidRPr="00182E15">
          <w:rPr>
            <w:rStyle w:val="Hyperlink"/>
            <w:rFonts w:ascii="Calibri" w:hAnsi="Calibri" w:cs="Calibri"/>
            <w:sz w:val="22"/>
            <w:szCs w:val="22"/>
          </w:rPr>
          <w:t>Chapter 2.9.2</w:t>
        </w:r>
      </w:hyperlink>
      <w:r w:rsidR="00182E15">
        <w:rPr>
          <w:rFonts w:ascii="Calibri" w:hAnsi="Calibri" w:cs="Calibri"/>
          <w:sz w:val="22"/>
          <w:szCs w:val="22"/>
        </w:rPr>
        <w:t xml:space="preserve">) is </w:t>
      </w:r>
      <w:r w:rsidR="00182E15" w:rsidRPr="00C12F71">
        <w:rPr>
          <w:rFonts w:ascii="Calibri" w:hAnsi="Calibri" w:cs="Calibri"/>
          <w:sz w:val="22"/>
          <w:szCs w:val="22"/>
          <w:lang w:eastAsia="en-AU"/>
        </w:rPr>
        <w:t>vital for vigilance and surveillance, which enables the tracing of organs and tissues in the event that diseases are transmitted to transplant recipients, so that further transmission can be prevented, and steps can be taken to prevent or address harm.</w:t>
      </w:r>
    </w:p>
    <w:p w14:paraId="72C077C5" w14:textId="47F8E8B1" w:rsidR="006C6EBA" w:rsidRPr="00C12F71" w:rsidRDefault="006C6EBA" w:rsidP="00EA22AE">
      <w:pPr>
        <w:spacing w:after="120"/>
        <w:rPr>
          <w:rFonts w:ascii="Calibri" w:hAnsi="Calibri" w:cs="Calibri"/>
          <w:sz w:val="22"/>
          <w:szCs w:val="22"/>
        </w:rPr>
      </w:pPr>
      <w:r w:rsidRPr="00C12F71">
        <w:rPr>
          <w:rFonts w:ascii="Calibri" w:hAnsi="Calibri" w:cs="Calibri"/>
          <w:sz w:val="22"/>
          <w:szCs w:val="22"/>
        </w:rPr>
        <w:t xml:space="preserve">The eye and tissue sector is regulated by the </w:t>
      </w:r>
      <w:r w:rsidR="00C12F71">
        <w:rPr>
          <w:rFonts w:ascii="Calibri" w:hAnsi="Calibri" w:cs="Calibri"/>
          <w:sz w:val="22"/>
          <w:szCs w:val="22"/>
        </w:rPr>
        <w:t>TGA</w:t>
      </w:r>
      <w:r w:rsidRPr="00C12F71">
        <w:rPr>
          <w:rFonts w:ascii="Calibri" w:hAnsi="Calibri" w:cs="Calibri"/>
          <w:sz w:val="22"/>
          <w:szCs w:val="22"/>
        </w:rPr>
        <w:t xml:space="preserve"> through legislation</w:t>
      </w:r>
      <w:r w:rsidR="00C12F71" w:rsidRPr="00C12F71">
        <w:rPr>
          <w:rFonts w:ascii="Calibri" w:hAnsi="Calibri" w:cs="Calibri"/>
          <w:sz w:val="22"/>
          <w:szCs w:val="22"/>
        </w:rPr>
        <w:t xml:space="preserve"> (see </w:t>
      </w:r>
      <w:hyperlink w:anchor="_Therapeutics_Goods_Administration" w:history="1">
        <w:r w:rsidR="00C12F71" w:rsidRPr="00C12F71">
          <w:rPr>
            <w:rStyle w:val="Hyperlink"/>
            <w:rFonts w:ascii="Calibri" w:hAnsi="Calibri" w:cs="Calibri"/>
            <w:sz w:val="22"/>
            <w:szCs w:val="22"/>
          </w:rPr>
          <w:t>Chapter 2.3.5</w:t>
        </w:r>
      </w:hyperlink>
      <w:r w:rsidR="00C12F71" w:rsidRPr="00C12F71">
        <w:rPr>
          <w:rFonts w:ascii="Calibri" w:hAnsi="Calibri" w:cs="Calibri"/>
          <w:sz w:val="22"/>
          <w:szCs w:val="22"/>
        </w:rPr>
        <w:t>)</w:t>
      </w:r>
      <w:r w:rsidRPr="00C12F71">
        <w:rPr>
          <w:rFonts w:ascii="Calibri" w:hAnsi="Calibri" w:cs="Calibri"/>
          <w:sz w:val="22"/>
          <w:szCs w:val="22"/>
        </w:rPr>
        <w:t>.</w:t>
      </w:r>
      <w:r w:rsidR="00C12F71">
        <w:rPr>
          <w:rFonts w:ascii="Calibri" w:hAnsi="Calibri" w:cs="Calibri"/>
          <w:sz w:val="22"/>
          <w:szCs w:val="22"/>
        </w:rPr>
        <w:t xml:space="preserve"> </w:t>
      </w:r>
      <w:r w:rsidRPr="00C12F71">
        <w:rPr>
          <w:rFonts w:ascii="Calibri" w:hAnsi="Calibri" w:cs="Calibri"/>
          <w:sz w:val="22"/>
          <w:szCs w:val="22"/>
        </w:rPr>
        <w:t xml:space="preserve">Each eye and tissue bank is required to have robust processes in place which are reviewed as part of the TGA audit process. </w:t>
      </w:r>
    </w:p>
    <w:p w14:paraId="5CBFAAD0" w14:textId="77777777" w:rsidR="006C6EBA" w:rsidRPr="006720E4" w:rsidRDefault="006C6EBA" w:rsidP="00EA22AE">
      <w:pPr>
        <w:spacing w:after="120"/>
        <w:rPr>
          <w:rFonts w:ascii="Calibri" w:hAnsi="Calibri" w:cs="Calibri"/>
        </w:rPr>
      </w:pPr>
      <w:r w:rsidRPr="00C12F71">
        <w:rPr>
          <w:rFonts w:ascii="Calibri" w:hAnsi="Calibri" w:cs="Calibri"/>
          <w:sz w:val="22"/>
          <w:szCs w:val="22"/>
        </w:rPr>
        <w:lastRenderedPageBreak/>
        <w:t>Adverse events related to organ donation and transplantation are detected and managed through jurisdictional processes, with national notification and review also occurring through the Organ and Tissue Authority’s Vigilance and Surveillance Framework and associated Vigilance and Surveillance Expert Advisory Committee (VSEAC). The VSEAC issues regular communiques to the sector that highlight key reported events and learnings and produces an annual report that provides an overview and analysis of reported events.</w:t>
      </w:r>
    </w:p>
    <w:p w14:paraId="4008DD48" w14:textId="38239059" w:rsidR="006C6EBA" w:rsidRPr="00EB088B" w:rsidRDefault="006C6EBA" w:rsidP="00EB088B">
      <w:pPr>
        <w:pStyle w:val="Heading3"/>
      </w:pPr>
      <w:bookmarkStart w:id="370" w:name="_Data_collection_and_2"/>
      <w:bookmarkEnd w:id="370"/>
      <w:r w:rsidRPr="00EB088B">
        <w:t>Data collection and reporting in donation and transplantation registries</w:t>
      </w:r>
    </w:p>
    <w:p w14:paraId="2919EFD2" w14:textId="699C8405" w:rsidR="006C6EBA" w:rsidRDefault="006C6EBA" w:rsidP="00EA22AE">
      <w:pPr>
        <w:pStyle w:val="Guidelinesnormalparagraph"/>
        <w:rPr>
          <w:rFonts w:ascii="Calibri" w:hAnsi="Calibri" w:cs="Calibri"/>
          <w:szCs w:val="22"/>
          <w:lang w:eastAsia="en-AU"/>
        </w:rPr>
      </w:pPr>
      <w:r w:rsidRPr="00C12F71">
        <w:rPr>
          <w:rFonts w:ascii="Calibri" w:hAnsi="Calibri" w:cs="Calibri"/>
          <w:szCs w:val="22"/>
          <w:lang w:eastAsia="en-AU"/>
        </w:rPr>
        <w:t xml:space="preserve">In addition to personal data contained in medical records, which health authorities are permitted to audit for quality and safety purposes, or use in public health research in specific circumstances, data pertaining to donation and transplantation are also </w:t>
      </w:r>
      <w:r w:rsidR="00182E15">
        <w:rPr>
          <w:rFonts w:ascii="Calibri" w:hAnsi="Calibri" w:cs="Calibri"/>
          <w:szCs w:val="22"/>
          <w:lang w:eastAsia="en-AU"/>
        </w:rPr>
        <w:t xml:space="preserve">routinely </w:t>
      </w:r>
      <w:r w:rsidRPr="00C12F71">
        <w:rPr>
          <w:rFonts w:ascii="Calibri" w:hAnsi="Calibri" w:cs="Calibri"/>
          <w:szCs w:val="22"/>
          <w:lang w:eastAsia="en-AU"/>
        </w:rPr>
        <w:t xml:space="preserve">collected and stored in registries. </w:t>
      </w:r>
      <w:r w:rsidR="00182E15">
        <w:rPr>
          <w:rFonts w:ascii="Calibri" w:hAnsi="Calibri" w:cs="Calibri"/>
          <w:szCs w:val="22"/>
          <w:lang w:eastAsia="en-AU"/>
        </w:rPr>
        <w:t xml:space="preserve">Outcome and activity registries for donation and transplantation in Australia are listed in </w:t>
      </w:r>
      <w:r w:rsidR="00182E15" w:rsidRPr="00182E15">
        <w:rPr>
          <w:rFonts w:ascii="Calibri" w:hAnsi="Calibri" w:cs="Calibri"/>
          <w:b/>
          <w:bCs/>
          <w:szCs w:val="22"/>
          <w:lang w:eastAsia="en-AU"/>
        </w:rPr>
        <w:t>Table 2.6</w:t>
      </w:r>
      <w:r w:rsidR="00182E15">
        <w:rPr>
          <w:rFonts w:ascii="Calibri" w:hAnsi="Calibri" w:cs="Calibri"/>
          <w:szCs w:val="22"/>
          <w:lang w:eastAsia="en-AU"/>
        </w:rPr>
        <w:t>.</w:t>
      </w:r>
      <w:r w:rsidR="000E6063">
        <w:rPr>
          <w:rFonts w:ascii="Calibri" w:hAnsi="Calibri" w:cs="Calibri"/>
          <w:szCs w:val="22"/>
          <w:lang w:eastAsia="en-AU"/>
        </w:rPr>
        <w:t xml:space="preserve"> </w:t>
      </w:r>
      <w:r w:rsidR="000E6063" w:rsidRPr="005525CE">
        <w:t xml:space="preserve">See </w:t>
      </w:r>
      <w:hyperlink w:anchor="_Data_collection_and_1" w:history="1">
        <w:r w:rsidR="00EA22AE" w:rsidRPr="005525CE">
          <w:rPr>
            <w:rStyle w:val="Hyperlink"/>
            <w:lang w:eastAsia="en-AU"/>
          </w:rPr>
          <w:t>Chapter 7.4</w:t>
        </w:r>
      </w:hyperlink>
      <w:r w:rsidR="00EA22AE" w:rsidRPr="005525CE">
        <w:t xml:space="preserve"> </w:t>
      </w:r>
      <w:r w:rsidR="000E6063" w:rsidRPr="005525CE">
        <w:t>for discussion</w:t>
      </w:r>
      <w:r w:rsidR="000E6063" w:rsidRPr="00EA22AE">
        <w:t xml:space="preserve"> of ethical considerations relating to registry data collection and reporting.</w:t>
      </w:r>
    </w:p>
    <w:p w14:paraId="400BA763" w14:textId="77777777" w:rsidR="00182E15" w:rsidRPr="00C12F71" w:rsidRDefault="00182E15" w:rsidP="00EA22AE">
      <w:pPr>
        <w:spacing w:after="120"/>
        <w:rPr>
          <w:rFonts w:ascii="Calibri" w:hAnsi="Calibri" w:cs="Calibri"/>
          <w:sz w:val="22"/>
          <w:szCs w:val="22"/>
          <w:lang w:eastAsia="en-AU"/>
        </w:rPr>
      </w:pPr>
    </w:p>
    <w:tbl>
      <w:tblPr>
        <w:tblW w:w="0" w:type="auto"/>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9010"/>
      </w:tblGrid>
      <w:tr w:rsidR="00182E15" w:rsidRPr="007E1B57" w14:paraId="30C3263C" w14:textId="77777777">
        <w:trPr>
          <w:jc w:val="center"/>
        </w:trPr>
        <w:tc>
          <w:tcPr>
            <w:tcW w:w="9010" w:type="dxa"/>
            <w:tcBorders>
              <w:top w:val="single" w:sz="4" w:space="0" w:color="BFBFBF"/>
              <w:bottom w:val="single" w:sz="4" w:space="0" w:color="BFBFBF"/>
            </w:tcBorders>
            <w:shd w:val="clear" w:color="auto" w:fill="DDD9C3"/>
            <w:tcMar>
              <w:top w:w="100" w:type="nil"/>
              <w:right w:w="100" w:type="nil"/>
            </w:tcMar>
          </w:tcPr>
          <w:p w14:paraId="6DB76C50" w14:textId="68E10B27" w:rsidR="00182E15" w:rsidRPr="007E1B57" w:rsidRDefault="00182E15" w:rsidP="00EA22AE">
            <w:pPr>
              <w:pStyle w:val="Guidelinesnormalparagraph"/>
              <w:rPr>
                <w:rFonts w:ascii="Calibri" w:hAnsi="Calibri" w:cs="Calibri"/>
                <w:kern w:val="0"/>
                <w:u w:color="0000FF"/>
                <w:lang w:val="en-GB"/>
              </w:rPr>
            </w:pPr>
            <w:r w:rsidRPr="004E66A4">
              <w:rPr>
                <w:b/>
                <w:bCs/>
                <w:sz w:val="24"/>
              </w:rPr>
              <w:t>Table 2.</w:t>
            </w:r>
            <w:r>
              <w:rPr>
                <w:b/>
                <w:bCs/>
                <w:sz w:val="24"/>
              </w:rPr>
              <w:t>6</w:t>
            </w:r>
            <w:r w:rsidRPr="004E66A4">
              <w:rPr>
                <w:b/>
                <w:bCs/>
                <w:sz w:val="24"/>
              </w:rPr>
              <w:t xml:space="preserve"> Outcome and activity registries for donation and transplantation in Australia</w:t>
            </w:r>
          </w:p>
        </w:tc>
      </w:tr>
      <w:tr w:rsidR="00182E15" w:rsidRPr="007E1B57" w14:paraId="5A555051" w14:textId="77777777">
        <w:tblPrEx>
          <w:tblBorders>
            <w:top w:val="none" w:sz="0" w:space="0" w:color="auto"/>
          </w:tblBorders>
        </w:tblPrEx>
        <w:trPr>
          <w:jc w:val="center"/>
        </w:trPr>
        <w:tc>
          <w:tcPr>
            <w:tcW w:w="9010" w:type="dxa"/>
            <w:tcBorders>
              <w:top w:val="single" w:sz="4" w:space="0" w:color="BFBFBF"/>
              <w:bottom w:val="single" w:sz="4" w:space="0" w:color="BFBFBF"/>
            </w:tcBorders>
            <w:shd w:val="clear" w:color="auto" w:fill="EEECE1"/>
            <w:tcMar>
              <w:top w:w="100" w:type="nil"/>
              <w:right w:w="100" w:type="nil"/>
            </w:tcMar>
          </w:tcPr>
          <w:p w14:paraId="499E984C" w14:textId="77777777" w:rsidR="00182E15" w:rsidRPr="007E1B57" w:rsidRDefault="00182E15"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7C7C74">
              <w:rPr>
                <w:rFonts w:ascii="Calibri" w:hAnsi="Calibri" w:cs="Calibri"/>
                <w:b/>
                <w:bCs/>
                <w:kern w:val="0"/>
                <w:u w:color="0000FF"/>
                <w:lang w:val="en-GB"/>
              </w:rPr>
              <w:t>Australian and New Zealand Organ Donation Registry (ANZOD)</w:t>
            </w:r>
            <w:r w:rsidRPr="007E1B57">
              <w:rPr>
                <w:rFonts w:ascii="Calibri" w:hAnsi="Calibri" w:cs="Calibri"/>
                <w:kern w:val="0"/>
                <w:u w:color="0000FF"/>
                <w:lang w:val="en-GB"/>
              </w:rPr>
              <w:t xml:space="preserve"> collects and records data on all organ donors after death, and it also collects a wide range of statistics that relate to organ donation. This website provides access to the ANZOD annual reports, monthly data collection and downloadable forms for organ donation.</w:t>
            </w:r>
          </w:p>
          <w:p w14:paraId="644586E8" w14:textId="77777777" w:rsidR="00182E15" w:rsidRPr="007E1B57" w:rsidRDefault="00000000" w:rsidP="00EA22AE">
            <w:pPr>
              <w:pStyle w:val="Guidelinesnormalparagraph"/>
              <w:rPr>
                <w:rFonts w:ascii="Calibri" w:hAnsi="Calibri" w:cs="Calibri"/>
                <w:kern w:val="0"/>
                <w:u w:color="0000FF"/>
                <w:lang w:val="en-GB"/>
              </w:rPr>
            </w:pPr>
            <w:hyperlink r:id="rId38" w:history="1">
              <w:r w:rsidR="00182E15" w:rsidRPr="009006B0">
                <w:rPr>
                  <w:rStyle w:val="Hyperlink"/>
                  <w:rFonts w:cs="Calibri"/>
                  <w:lang w:val="en-GB"/>
                </w:rPr>
                <w:t>https://www.anzdata.org.au/anzod/</w:t>
              </w:r>
            </w:hyperlink>
            <w:r w:rsidR="00182E15">
              <w:rPr>
                <w:rFonts w:ascii="Calibri" w:hAnsi="Calibri" w:cs="Calibri"/>
                <w:kern w:val="0"/>
                <w:u w:color="0000FF"/>
                <w:lang w:val="en-GB"/>
              </w:rPr>
              <w:t xml:space="preserve"> </w:t>
            </w:r>
          </w:p>
        </w:tc>
      </w:tr>
      <w:tr w:rsidR="00182E15" w:rsidRPr="007E1B57" w14:paraId="278E7B90" w14:textId="77777777">
        <w:tblPrEx>
          <w:tblBorders>
            <w:top w:val="none" w:sz="0" w:space="0" w:color="auto"/>
          </w:tblBorders>
        </w:tblPrEx>
        <w:trPr>
          <w:jc w:val="center"/>
        </w:trPr>
        <w:tc>
          <w:tcPr>
            <w:tcW w:w="9010" w:type="dxa"/>
            <w:tcBorders>
              <w:top w:val="single" w:sz="4" w:space="0" w:color="BFBFBF"/>
              <w:bottom w:val="single" w:sz="4" w:space="0" w:color="BFBFBF"/>
            </w:tcBorders>
            <w:shd w:val="clear" w:color="auto" w:fill="EEECE1"/>
            <w:tcMar>
              <w:top w:w="100" w:type="nil"/>
              <w:right w:w="100" w:type="nil"/>
            </w:tcMar>
          </w:tcPr>
          <w:p w14:paraId="15F70BB2" w14:textId="77777777" w:rsidR="00182E15" w:rsidRPr="007E1B57" w:rsidRDefault="00182E15"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7C7C74">
              <w:rPr>
                <w:rFonts w:ascii="Calibri" w:hAnsi="Calibri" w:cs="Calibri"/>
                <w:b/>
                <w:bCs/>
                <w:kern w:val="0"/>
                <w:u w:color="0000FF"/>
                <w:lang w:val="en-GB"/>
              </w:rPr>
              <w:t>Australia and New Zealand Dialysis and Transplant Registry (ANZDATA)</w:t>
            </w:r>
            <w:r w:rsidRPr="007E1B57">
              <w:rPr>
                <w:rFonts w:ascii="Calibri" w:hAnsi="Calibri" w:cs="Calibri"/>
                <w:kern w:val="0"/>
                <w:u w:color="0000FF"/>
                <w:lang w:val="en-GB"/>
              </w:rPr>
              <w:t xml:space="preserve"> is a clinical quality registry that collects and produces a wide range of statistics relating to the outcomes of treatment of those with end stage renal failure. The Registry’s fundamental purpose is to report on the incidence, prevalence and outcomes of dialysis and transplant treatment for patients with end stage renal disease across Australia and New Zealand.</w:t>
            </w:r>
          </w:p>
          <w:p w14:paraId="41885E17" w14:textId="77777777" w:rsidR="00182E15" w:rsidRPr="007E1B57" w:rsidRDefault="00000000" w:rsidP="00EA22AE">
            <w:pPr>
              <w:pStyle w:val="Guidelinesnormalparagraph"/>
              <w:rPr>
                <w:rFonts w:ascii="Calibri" w:hAnsi="Calibri" w:cs="Calibri"/>
                <w:kern w:val="0"/>
                <w:u w:color="0000FF"/>
                <w:lang w:val="en-GB"/>
              </w:rPr>
            </w:pPr>
            <w:hyperlink r:id="rId39" w:history="1">
              <w:r w:rsidR="00182E15" w:rsidRPr="009006B0">
                <w:rPr>
                  <w:rStyle w:val="Hyperlink"/>
                  <w:rFonts w:cs="Calibri"/>
                  <w:lang w:val="en-GB"/>
                </w:rPr>
                <w:t>https://www.anzdata.org.au/anzdata/</w:t>
              </w:r>
            </w:hyperlink>
            <w:r w:rsidR="00182E15">
              <w:rPr>
                <w:rFonts w:ascii="Calibri" w:hAnsi="Calibri" w:cs="Calibri"/>
                <w:kern w:val="0"/>
                <w:u w:color="0000FF"/>
                <w:lang w:val="en-GB"/>
              </w:rPr>
              <w:t xml:space="preserve"> </w:t>
            </w:r>
          </w:p>
        </w:tc>
      </w:tr>
      <w:tr w:rsidR="00182E15" w:rsidRPr="007E1B57" w14:paraId="78A5AFEB" w14:textId="77777777">
        <w:tblPrEx>
          <w:tblBorders>
            <w:top w:val="none" w:sz="0" w:space="0" w:color="auto"/>
          </w:tblBorders>
        </w:tblPrEx>
        <w:trPr>
          <w:jc w:val="center"/>
        </w:trPr>
        <w:tc>
          <w:tcPr>
            <w:tcW w:w="9010" w:type="dxa"/>
            <w:tcBorders>
              <w:top w:val="single" w:sz="4" w:space="0" w:color="BFBFBF"/>
              <w:bottom w:val="single" w:sz="4" w:space="0" w:color="BFBFBF"/>
            </w:tcBorders>
            <w:shd w:val="clear" w:color="auto" w:fill="EEECE1"/>
            <w:tcMar>
              <w:top w:w="100" w:type="nil"/>
              <w:right w:w="100" w:type="nil"/>
            </w:tcMar>
          </w:tcPr>
          <w:p w14:paraId="202709AC" w14:textId="77777777" w:rsidR="00182E15" w:rsidRPr="007E1B57" w:rsidRDefault="00182E15"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7C7C74">
              <w:rPr>
                <w:rFonts w:ascii="Calibri" w:hAnsi="Calibri" w:cs="Calibri"/>
                <w:b/>
                <w:bCs/>
                <w:kern w:val="0"/>
                <w:u w:color="0000FF"/>
                <w:lang w:val="en-GB"/>
              </w:rPr>
              <w:t>Australia and New Zealand Live Kidney Donor Registry (ANZLKD)</w:t>
            </w:r>
            <w:r w:rsidRPr="007E1B57">
              <w:rPr>
                <w:rFonts w:ascii="Calibri" w:hAnsi="Calibri" w:cs="Calibri"/>
                <w:kern w:val="0"/>
                <w:u w:color="0000FF"/>
                <w:lang w:val="en-GB"/>
              </w:rPr>
              <w:t xml:space="preserve"> was established to provide information about the long‐term health and well-being of people who donated a kidney for transplantation. </w:t>
            </w:r>
          </w:p>
          <w:p w14:paraId="14AAD478" w14:textId="77777777" w:rsidR="00182E15" w:rsidRPr="007E1B57" w:rsidRDefault="00000000" w:rsidP="00EA22AE">
            <w:pPr>
              <w:pStyle w:val="Guidelinesnormalparagraph"/>
              <w:rPr>
                <w:rFonts w:ascii="Calibri" w:hAnsi="Calibri" w:cs="Calibri"/>
                <w:kern w:val="0"/>
                <w:u w:color="0000FF"/>
                <w:lang w:val="en-GB"/>
              </w:rPr>
            </w:pPr>
            <w:hyperlink r:id="rId40" w:history="1">
              <w:r w:rsidR="00182E15" w:rsidRPr="009006B0">
                <w:rPr>
                  <w:rStyle w:val="Hyperlink"/>
                  <w:rFonts w:cs="Calibri"/>
                  <w:lang w:val="en-GB"/>
                </w:rPr>
                <w:t>https://www.anzdata.org.au/anzlkd/</w:t>
              </w:r>
            </w:hyperlink>
            <w:r w:rsidR="00182E15">
              <w:rPr>
                <w:rFonts w:ascii="Calibri" w:hAnsi="Calibri" w:cs="Calibri"/>
                <w:kern w:val="0"/>
                <w:u w:color="0000FF"/>
                <w:lang w:val="en-GB"/>
              </w:rPr>
              <w:t xml:space="preserve"> </w:t>
            </w:r>
          </w:p>
        </w:tc>
      </w:tr>
      <w:tr w:rsidR="00182E15" w:rsidRPr="007E1B57" w14:paraId="0AA0A270" w14:textId="77777777">
        <w:tblPrEx>
          <w:tblBorders>
            <w:top w:val="none" w:sz="0" w:space="0" w:color="auto"/>
          </w:tblBorders>
        </w:tblPrEx>
        <w:trPr>
          <w:jc w:val="center"/>
        </w:trPr>
        <w:tc>
          <w:tcPr>
            <w:tcW w:w="9010" w:type="dxa"/>
            <w:tcBorders>
              <w:top w:val="single" w:sz="4" w:space="0" w:color="BFBFBF"/>
              <w:bottom w:val="single" w:sz="4" w:space="0" w:color="BFBFBF"/>
            </w:tcBorders>
            <w:shd w:val="clear" w:color="auto" w:fill="EEECE1"/>
            <w:tcMar>
              <w:top w:w="100" w:type="nil"/>
              <w:right w:w="100" w:type="nil"/>
            </w:tcMar>
          </w:tcPr>
          <w:p w14:paraId="075AD0A5" w14:textId="77777777" w:rsidR="00182E15" w:rsidRPr="007E1B57" w:rsidRDefault="00182E15"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7C7C74">
              <w:rPr>
                <w:rFonts w:ascii="Calibri" w:hAnsi="Calibri" w:cs="Calibri"/>
                <w:b/>
                <w:bCs/>
                <w:kern w:val="0"/>
                <w:u w:color="0000FF"/>
                <w:lang w:val="en-GB"/>
              </w:rPr>
              <w:t>Australia and New Zealand Islet and Pancreas Transplant Registry (ANZIPTER)</w:t>
            </w:r>
            <w:r w:rsidRPr="007E1B57">
              <w:rPr>
                <w:rFonts w:ascii="Calibri" w:hAnsi="Calibri" w:cs="Calibri"/>
                <w:kern w:val="0"/>
                <w:u w:color="0000FF"/>
                <w:lang w:val="en-GB"/>
              </w:rPr>
              <w:t xml:space="preserve"> is based at </w:t>
            </w:r>
            <w:proofErr w:type="spellStart"/>
            <w:r w:rsidRPr="007E1B57">
              <w:rPr>
                <w:rFonts w:ascii="Calibri" w:hAnsi="Calibri" w:cs="Calibri"/>
                <w:kern w:val="0"/>
                <w:u w:color="0000FF"/>
                <w:lang w:val="en-GB"/>
              </w:rPr>
              <w:t>Westmead</w:t>
            </w:r>
            <w:proofErr w:type="spellEnd"/>
            <w:r w:rsidRPr="007E1B57">
              <w:rPr>
                <w:rFonts w:ascii="Calibri" w:hAnsi="Calibri" w:cs="Calibri"/>
                <w:kern w:val="0"/>
                <w:u w:color="0000FF"/>
                <w:lang w:val="en-GB"/>
              </w:rPr>
              <w:t xml:space="preserve"> Hospital in NSW and records information about whole pancreas and pancreas islet cell transplantation in Australia and New Zealand.</w:t>
            </w:r>
          </w:p>
          <w:p w14:paraId="42031099" w14:textId="77777777" w:rsidR="00182E15" w:rsidRPr="007E1B57" w:rsidRDefault="00000000" w:rsidP="00EA22AE">
            <w:pPr>
              <w:pStyle w:val="Guidelinesnormalparagraph"/>
              <w:rPr>
                <w:rFonts w:ascii="Calibri" w:hAnsi="Calibri" w:cs="Calibri"/>
                <w:kern w:val="0"/>
                <w:u w:color="0000FF"/>
                <w:lang w:val="en-GB"/>
              </w:rPr>
            </w:pPr>
            <w:hyperlink r:id="rId41" w:history="1">
              <w:r w:rsidR="00182E15" w:rsidRPr="009006B0">
                <w:rPr>
                  <w:rStyle w:val="Hyperlink"/>
                  <w:rFonts w:cs="Calibri"/>
                  <w:lang w:val="en-GB"/>
                </w:rPr>
                <w:t>http://anziptr.org/</w:t>
              </w:r>
            </w:hyperlink>
            <w:r w:rsidR="00182E15">
              <w:rPr>
                <w:rFonts w:ascii="Calibri" w:hAnsi="Calibri" w:cs="Calibri"/>
                <w:kern w:val="0"/>
                <w:u w:color="0000FF"/>
                <w:lang w:val="en-GB"/>
              </w:rPr>
              <w:t xml:space="preserve"> </w:t>
            </w:r>
          </w:p>
        </w:tc>
      </w:tr>
      <w:tr w:rsidR="00182E15" w:rsidRPr="007E1B57" w14:paraId="44729E84" w14:textId="77777777">
        <w:tblPrEx>
          <w:tblBorders>
            <w:top w:val="none" w:sz="0" w:space="0" w:color="auto"/>
          </w:tblBorders>
        </w:tblPrEx>
        <w:trPr>
          <w:jc w:val="center"/>
        </w:trPr>
        <w:tc>
          <w:tcPr>
            <w:tcW w:w="9010" w:type="dxa"/>
            <w:tcBorders>
              <w:top w:val="single" w:sz="4" w:space="0" w:color="BFBFBF"/>
              <w:bottom w:val="single" w:sz="4" w:space="0" w:color="BFBFBF"/>
            </w:tcBorders>
            <w:shd w:val="clear" w:color="auto" w:fill="EEECE1"/>
            <w:tcMar>
              <w:top w:w="100" w:type="nil"/>
              <w:right w:w="100" w:type="nil"/>
            </w:tcMar>
          </w:tcPr>
          <w:p w14:paraId="4F8468E5" w14:textId="77777777" w:rsidR="00182E15" w:rsidRPr="007E1B57" w:rsidRDefault="00182E15"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7C7C74">
              <w:rPr>
                <w:rFonts w:ascii="Calibri" w:hAnsi="Calibri" w:cs="Calibri"/>
                <w:b/>
                <w:bCs/>
                <w:kern w:val="0"/>
                <w:u w:color="0000FF"/>
                <w:lang w:val="en-GB"/>
              </w:rPr>
              <w:t>Australia &amp; New Zealand Liver and Intestinal Transplant Registry (ANZLITR</w:t>
            </w:r>
            <w:r w:rsidRPr="007E1B57">
              <w:rPr>
                <w:rFonts w:ascii="Calibri" w:hAnsi="Calibri" w:cs="Calibri"/>
                <w:kern w:val="0"/>
                <w:u w:color="0000FF"/>
                <w:lang w:val="en-GB"/>
              </w:rPr>
              <w:t>) contains data on all liver and intestinal transplants performed in Australia and New Zealand since establishment of first liver transplant unit in 1985. An annual report is produced and contains information on numbers of transplants performed, waiting list flows and patient and graft outcomes.</w:t>
            </w:r>
          </w:p>
          <w:p w14:paraId="25B8FA9A" w14:textId="77777777" w:rsidR="00182E15" w:rsidRPr="007E1B57" w:rsidRDefault="00000000" w:rsidP="00EA22AE">
            <w:pPr>
              <w:pStyle w:val="Guidelinesnormalparagraph"/>
              <w:rPr>
                <w:rFonts w:ascii="Calibri" w:hAnsi="Calibri" w:cs="Calibri"/>
                <w:kern w:val="0"/>
                <w:u w:color="0000FF"/>
                <w:lang w:val="en-GB"/>
              </w:rPr>
            </w:pPr>
            <w:hyperlink r:id="rId42" w:history="1">
              <w:r w:rsidR="00182E15" w:rsidRPr="009006B0">
                <w:rPr>
                  <w:rStyle w:val="Hyperlink"/>
                  <w:rFonts w:cs="Calibri"/>
                  <w:lang w:val="en-GB"/>
                </w:rPr>
                <w:t>https://www.anzlitr.org/</w:t>
              </w:r>
            </w:hyperlink>
            <w:r w:rsidR="00182E15">
              <w:rPr>
                <w:rFonts w:ascii="Calibri" w:hAnsi="Calibri" w:cs="Calibri"/>
                <w:kern w:val="0"/>
                <w:u w:color="0000FF"/>
                <w:lang w:val="en-GB"/>
              </w:rPr>
              <w:t xml:space="preserve"> </w:t>
            </w:r>
          </w:p>
        </w:tc>
      </w:tr>
      <w:tr w:rsidR="00182E15" w:rsidRPr="007E1B57" w14:paraId="188FE893" w14:textId="77777777">
        <w:tblPrEx>
          <w:tblBorders>
            <w:top w:val="none" w:sz="0" w:space="0" w:color="auto"/>
          </w:tblBorders>
        </w:tblPrEx>
        <w:trPr>
          <w:jc w:val="center"/>
        </w:trPr>
        <w:tc>
          <w:tcPr>
            <w:tcW w:w="9010" w:type="dxa"/>
            <w:tcBorders>
              <w:top w:val="single" w:sz="4" w:space="0" w:color="BFBFBF"/>
              <w:bottom w:val="single" w:sz="4" w:space="0" w:color="BFBFBF"/>
            </w:tcBorders>
            <w:shd w:val="clear" w:color="auto" w:fill="EEECE1"/>
            <w:tcMar>
              <w:top w:w="100" w:type="nil"/>
              <w:right w:w="100" w:type="nil"/>
            </w:tcMar>
          </w:tcPr>
          <w:p w14:paraId="7C380D1C" w14:textId="77777777" w:rsidR="00182E15" w:rsidRPr="007E1B57" w:rsidRDefault="00182E15"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7C7C74">
              <w:rPr>
                <w:rFonts w:ascii="Calibri" w:hAnsi="Calibri" w:cs="Calibri"/>
                <w:b/>
                <w:bCs/>
                <w:kern w:val="0"/>
                <w:u w:color="0000FF"/>
                <w:lang w:val="en-GB"/>
              </w:rPr>
              <w:t>Australia and New Zealand Eye &amp; Tissue Donation (ANZETD)</w:t>
            </w:r>
            <w:r w:rsidRPr="007E1B57">
              <w:rPr>
                <w:rFonts w:ascii="Calibri" w:hAnsi="Calibri" w:cs="Calibri"/>
                <w:kern w:val="0"/>
                <w:u w:color="0000FF"/>
                <w:lang w:val="en-GB"/>
              </w:rPr>
              <w:t xml:space="preserve"> gathers information from all eye and tissue banks across Australia and New Zealand. Data is analysed and reported to inform on eye and tissue donation and transplantation activity, performance measures and outcomes in the sector. </w:t>
            </w:r>
          </w:p>
          <w:p w14:paraId="0D5BDF3D" w14:textId="77777777" w:rsidR="00182E15" w:rsidRPr="007E1B57" w:rsidRDefault="00000000" w:rsidP="00EA22AE">
            <w:pPr>
              <w:pStyle w:val="Guidelinesnormalparagraph"/>
              <w:rPr>
                <w:rFonts w:ascii="Calibri" w:hAnsi="Calibri" w:cs="Calibri"/>
                <w:kern w:val="0"/>
                <w:u w:color="0000FF"/>
                <w:lang w:val="en-GB"/>
              </w:rPr>
            </w:pPr>
            <w:hyperlink r:id="rId43" w:history="1">
              <w:r w:rsidR="00182E15" w:rsidRPr="009006B0">
                <w:rPr>
                  <w:rStyle w:val="Hyperlink"/>
                  <w:rFonts w:cs="Calibri"/>
                  <w:lang w:val="en-GB"/>
                </w:rPr>
                <w:t>https://www.anzdata.org.au/anzetd/</w:t>
              </w:r>
            </w:hyperlink>
            <w:r w:rsidR="00182E15">
              <w:rPr>
                <w:rFonts w:ascii="Calibri" w:hAnsi="Calibri" w:cs="Calibri"/>
                <w:kern w:val="0"/>
                <w:u w:color="0000FF"/>
                <w:lang w:val="en-GB"/>
              </w:rPr>
              <w:t xml:space="preserve"> </w:t>
            </w:r>
          </w:p>
        </w:tc>
      </w:tr>
      <w:tr w:rsidR="00182E15" w:rsidRPr="007E1B57" w14:paraId="71971E7F" w14:textId="77777777">
        <w:tblPrEx>
          <w:tblBorders>
            <w:top w:val="none" w:sz="0" w:space="0" w:color="auto"/>
          </w:tblBorders>
        </w:tblPrEx>
        <w:trPr>
          <w:jc w:val="center"/>
        </w:trPr>
        <w:tc>
          <w:tcPr>
            <w:tcW w:w="9010" w:type="dxa"/>
            <w:tcBorders>
              <w:top w:val="single" w:sz="4" w:space="0" w:color="BFBFBF"/>
              <w:bottom w:val="single" w:sz="4" w:space="0" w:color="BFBFBF"/>
            </w:tcBorders>
            <w:shd w:val="clear" w:color="auto" w:fill="EEECE1"/>
            <w:tcMar>
              <w:top w:w="100" w:type="nil"/>
              <w:right w:w="100" w:type="nil"/>
            </w:tcMar>
          </w:tcPr>
          <w:p w14:paraId="63DA18D5" w14:textId="77777777" w:rsidR="00182E15" w:rsidRPr="007E1B57" w:rsidRDefault="00182E15"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7C7C74">
              <w:rPr>
                <w:rFonts w:ascii="Calibri" w:hAnsi="Calibri" w:cs="Calibri"/>
                <w:b/>
                <w:bCs/>
                <w:kern w:val="0"/>
                <w:u w:color="0000FF"/>
                <w:lang w:val="en-GB"/>
              </w:rPr>
              <w:t>Australasian Bone Marrow Transplant Recipient Registry (ABMTRR)</w:t>
            </w:r>
            <w:r w:rsidRPr="007E1B57">
              <w:rPr>
                <w:rFonts w:ascii="Calibri" w:hAnsi="Calibri" w:cs="Calibri"/>
                <w:kern w:val="0"/>
                <w:u w:color="0000FF"/>
                <w:lang w:val="en-GB"/>
              </w:rPr>
              <w:t xml:space="preserve"> was established in 1992. Operating under the auspices of the Bone Marrow Transplant Society of Australia and New Zealand (BMTSANZ), it records details of bone marrow, peripheral blood and cord blood stem cell transplants throughout Australia and New Zealand </w:t>
            </w:r>
          </w:p>
          <w:p w14:paraId="40F77D85" w14:textId="77777777" w:rsidR="00182E15" w:rsidRPr="007E1B57" w:rsidRDefault="00000000" w:rsidP="00EA22AE">
            <w:pPr>
              <w:pStyle w:val="Guidelinesnormalparagraph"/>
              <w:rPr>
                <w:rFonts w:ascii="Calibri" w:hAnsi="Calibri" w:cs="Calibri"/>
                <w:kern w:val="0"/>
                <w:u w:color="0000FF"/>
                <w:lang w:val="en-GB"/>
              </w:rPr>
            </w:pPr>
            <w:hyperlink r:id="rId44" w:history="1">
              <w:r w:rsidR="00182E15" w:rsidRPr="009006B0">
                <w:rPr>
                  <w:rStyle w:val="Hyperlink"/>
                  <w:rFonts w:cs="Calibri"/>
                  <w:lang w:val="en-GB"/>
                </w:rPr>
                <w:t>https://www.abmtrr.org/</w:t>
              </w:r>
            </w:hyperlink>
            <w:r w:rsidR="00182E15">
              <w:rPr>
                <w:rFonts w:ascii="Calibri" w:hAnsi="Calibri" w:cs="Calibri"/>
                <w:kern w:val="0"/>
                <w:u w:color="0000FF"/>
                <w:lang w:val="en-GB"/>
              </w:rPr>
              <w:t xml:space="preserve"> </w:t>
            </w:r>
          </w:p>
        </w:tc>
      </w:tr>
      <w:tr w:rsidR="00182E15" w:rsidRPr="007E1B57" w14:paraId="5B494EC3" w14:textId="77777777">
        <w:tblPrEx>
          <w:tblBorders>
            <w:top w:val="none" w:sz="0" w:space="0" w:color="auto"/>
          </w:tblBorders>
        </w:tblPrEx>
        <w:trPr>
          <w:jc w:val="center"/>
        </w:trPr>
        <w:tc>
          <w:tcPr>
            <w:tcW w:w="9010" w:type="dxa"/>
            <w:tcBorders>
              <w:top w:val="single" w:sz="4" w:space="0" w:color="BFBFBF"/>
              <w:bottom w:val="single" w:sz="4" w:space="0" w:color="BFBFBF"/>
            </w:tcBorders>
            <w:shd w:val="clear" w:color="auto" w:fill="EEECE1"/>
            <w:tcMar>
              <w:top w:w="100" w:type="nil"/>
              <w:right w:w="100" w:type="nil"/>
            </w:tcMar>
          </w:tcPr>
          <w:p w14:paraId="4D79DD68" w14:textId="77777777" w:rsidR="00182E15" w:rsidRPr="007E1B57" w:rsidRDefault="00182E15" w:rsidP="00EA22AE">
            <w:pPr>
              <w:pStyle w:val="Guidelinesnormalparagraph"/>
              <w:rPr>
                <w:rFonts w:ascii="Calibri" w:hAnsi="Calibri" w:cs="Calibri"/>
                <w:kern w:val="0"/>
                <w:u w:color="0000FF"/>
                <w:lang w:val="en-GB"/>
              </w:rPr>
            </w:pPr>
            <w:r w:rsidRPr="007E1B57">
              <w:rPr>
                <w:rFonts w:ascii="Calibri" w:hAnsi="Calibri" w:cs="Calibri"/>
                <w:kern w:val="0"/>
                <w:u w:color="0000FF"/>
                <w:lang w:val="en-GB"/>
              </w:rPr>
              <w:t xml:space="preserve">The </w:t>
            </w:r>
            <w:r w:rsidRPr="007C7C74">
              <w:rPr>
                <w:rFonts w:ascii="Calibri" w:hAnsi="Calibri" w:cs="Calibri"/>
                <w:b/>
                <w:bCs/>
                <w:kern w:val="0"/>
                <w:u w:color="0000FF"/>
                <w:lang w:val="en-GB"/>
              </w:rPr>
              <w:t>Australian Corneal Graft Registry (ACGR)</w:t>
            </w:r>
            <w:r w:rsidRPr="007E1B57">
              <w:rPr>
                <w:rFonts w:ascii="Calibri" w:hAnsi="Calibri" w:cs="Calibri"/>
                <w:kern w:val="0"/>
                <w:u w:color="0000FF"/>
                <w:lang w:val="en-GB"/>
              </w:rPr>
              <w:t xml:space="preserve"> is operated out of Flinders University and is an Australia-wide register of human corneal transplants. The purpose of the ACGR is to collect information to inform clinical practice and identify risk factors for poor patient outcomes. </w:t>
            </w:r>
          </w:p>
          <w:p w14:paraId="572FAE94" w14:textId="77777777" w:rsidR="00182E15" w:rsidRPr="007E1B57" w:rsidRDefault="00000000" w:rsidP="00EA22AE">
            <w:pPr>
              <w:pStyle w:val="Guidelinesnormalparagraph"/>
              <w:rPr>
                <w:rFonts w:ascii="Calibri" w:hAnsi="Calibri" w:cs="Calibri"/>
                <w:kern w:val="0"/>
                <w:u w:color="0000FF"/>
                <w:lang w:val="en-GB"/>
              </w:rPr>
            </w:pPr>
            <w:hyperlink r:id="rId45" w:history="1">
              <w:r w:rsidR="00182E15" w:rsidRPr="009006B0">
                <w:rPr>
                  <w:rStyle w:val="Hyperlink"/>
                  <w:rFonts w:cs="Calibri"/>
                  <w:lang w:val="en-GB"/>
                </w:rPr>
                <w:t>https://www.flinders.edu.au/fhmri-eye-vision/corneal-graft-registry</w:t>
              </w:r>
            </w:hyperlink>
            <w:r w:rsidR="00182E15">
              <w:rPr>
                <w:rFonts w:ascii="Calibri" w:hAnsi="Calibri" w:cs="Calibri"/>
                <w:kern w:val="0"/>
                <w:u w:color="0000FF"/>
                <w:lang w:val="en-GB"/>
              </w:rPr>
              <w:t xml:space="preserve"> </w:t>
            </w:r>
          </w:p>
        </w:tc>
      </w:tr>
    </w:tbl>
    <w:p w14:paraId="6C893E4F" w14:textId="77777777" w:rsidR="006C6EBA" w:rsidRPr="006720E4" w:rsidRDefault="006C6EBA" w:rsidP="00EA22AE">
      <w:pPr>
        <w:spacing w:after="120"/>
        <w:rPr>
          <w:rFonts w:ascii="Calibri" w:hAnsi="Calibri" w:cs="Calibri"/>
        </w:rPr>
      </w:pPr>
    </w:p>
    <w:p w14:paraId="6828436C" w14:textId="77777777" w:rsidR="006C6EBA" w:rsidRPr="00EB088B" w:rsidRDefault="006C6EBA" w:rsidP="00EB088B">
      <w:pPr>
        <w:pStyle w:val="Heading3"/>
      </w:pPr>
      <w:r w:rsidRPr="00EB088B">
        <w:t xml:space="preserve">Monitoring and evaluation of blood and marrow stem cells </w:t>
      </w:r>
    </w:p>
    <w:p w14:paraId="6BAF87A2" w14:textId="4C28893A" w:rsidR="006C6EBA" w:rsidRPr="00182E15" w:rsidRDefault="006C6EBA" w:rsidP="00EA22AE">
      <w:pPr>
        <w:spacing w:after="120"/>
        <w:rPr>
          <w:rFonts w:ascii="Calibri" w:hAnsi="Calibri" w:cs="Calibri"/>
          <w:sz w:val="22"/>
          <w:szCs w:val="22"/>
        </w:rPr>
      </w:pPr>
      <w:r w:rsidRPr="00182E15">
        <w:rPr>
          <w:rFonts w:ascii="Calibri" w:hAnsi="Calibri" w:cs="Calibri"/>
          <w:sz w:val="22"/>
          <w:szCs w:val="22"/>
        </w:rPr>
        <w:t xml:space="preserve">ABMDR monitors and evaluates donation processes and outcomes for Australian unrelated donors under its </w:t>
      </w:r>
      <w:r w:rsidR="00BA3D76">
        <w:rPr>
          <w:rFonts w:ascii="Calibri" w:hAnsi="Calibri" w:cs="Calibri"/>
          <w:sz w:val="22"/>
          <w:szCs w:val="22"/>
        </w:rPr>
        <w:t>WMDA</w:t>
      </w:r>
      <w:r w:rsidRPr="00182E15">
        <w:rPr>
          <w:rFonts w:ascii="Calibri" w:hAnsi="Calibri" w:cs="Calibri"/>
          <w:sz w:val="22"/>
          <w:szCs w:val="22"/>
        </w:rPr>
        <w:t xml:space="preserve"> accreditation</w:t>
      </w:r>
      <w:r w:rsidR="007538E7">
        <w:rPr>
          <w:rFonts w:ascii="Calibri" w:hAnsi="Calibri" w:cs="Calibri"/>
          <w:sz w:val="22"/>
          <w:szCs w:val="22"/>
        </w:rPr>
        <w:t xml:space="preserve"> (see </w:t>
      </w:r>
      <w:hyperlink w:anchor="_Blood_and_marrow_1" w:history="1">
        <w:r w:rsidR="007538E7" w:rsidRPr="007538E7">
          <w:rPr>
            <w:rStyle w:val="Hyperlink"/>
            <w:rFonts w:ascii="Calibri" w:hAnsi="Calibri" w:cs="Calibri"/>
            <w:sz w:val="22"/>
            <w:szCs w:val="22"/>
          </w:rPr>
          <w:t>Chapter 2.3.7</w:t>
        </w:r>
      </w:hyperlink>
      <w:r w:rsidR="007538E7">
        <w:rPr>
          <w:rFonts w:ascii="Calibri" w:hAnsi="Calibri" w:cs="Calibri"/>
          <w:sz w:val="22"/>
          <w:szCs w:val="22"/>
        </w:rPr>
        <w:t>).</w:t>
      </w:r>
      <w:r w:rsidRPr="00182E15">
        <w:rPr>
          <w:rFonts w:ascii="Calibri" w:hAnsi="Calibri" w:cs="Calibri"/>
          <w:sz w:val="22"/>
          <w:szCs w:val="22"/>
        </w:rPr>
        <w:t xml:space="preserve"> WMDA operates a global ‘serious (product) events and adverse reactions’ (SPEAR) reporting and evaluation process, to gain insights into performance issues relating to a) blood stem cell donation by unrelated donors and b) blood stem cell collection, processing and transplantation from unrelated donors. WMDA’s SPEAR Committee reviews all reported incidents on a weekly basis, and has a global rapid-alert system in the event of donor death, product recall or any product prohibition or restriction issued by a nation’s competent health authority. ABMDR submits reports on behalf of Australia following review by its Scientific and Expert Advisory Committee (SEAC), that reports on behalf of the sector to ABMDR’s Board. It is also possible to report adverse events related to family member donation to this committee.</w:t>
      </w:r>
    </w:p>
    <w:p w14:paraId="47F3464A" w14:textId="18CF72EF" w:rsidR="006C6EBA" w:rsidRPr="00182E15" w:rsidRDefault="006C6EBA" w:rsidP="00EA22AE">
      <w:pPr>
        <w:spacing w:after="120"/>
        <w:rPr>
          <w:rFonts w:ascii="Calibri" w:hAnsi="Calibri" w:cs="Calibri"/>
          <w:sz w:val="22"/>
          <w:szCs w:val="22"/>
        </w:rPr>
      </w:pPr>
      <w:r w:rsidRPr="00182E15">
        <w:rPr>
          <w:rFonts w:ascii="Calibri" w:hAnsi="Calibri" w:cs="Calibri"/>
          <w:sz w:val="22"/>
          <w:szCs w:val="22"/>
        </w:rPr>
        <w:t xml:space="preserve">Cord blood banks are regulated by the </w:t>
      </w:r>
      <w:r w:rsidR="00BA3D76">
        <w:rPr>
          <w:rFonts w:ascii="Calibri" w:hAnsi="Calibri" w:cs="Calibri"/>
          <w:sz w:val="22"/>
          <w:szCs w:val="22"/>
        </w:rPr>
        <w:t>TGA</w:t>
      </w:r>
      <w:r w:rsidRPr="00182E15">
        <w:rPr>
          <w:rFonts w:ascii="Calibri" w:hAnsi="Calibri" w:cs="Calibri"/>
          <w:sz w:val="22"/>
          <w:szCs w:val="22"/>
        </w:rPr>
        <w:t xml:space="preserve"> through legislation. Each cord blood bank is required to have robust processes in place which are reviewed as part of the TGA audit process.</w:t>
      </w:r>
    </w:p>
    <w:p w14:paraId="5ADC6936" w14:textId="77777777" w:rsidR="006C6EBA" w:rsidRPr="00182E15" w:rsidRDefault="006C6EBA" w:rsidP="00EA22AE">
      <w:pPr>
        <w:spacing w:after="120"/>
        <w:rPr>
          <w:rFonts w:ascii="Calibri" w:hAnsi="Calibri" w:cs="Calibri"/>
          <w:sz w:val="22"/>
          <w:szCs w:val="22"/>
        </w:rPr>
      </w:pPr>
      <w:r w:rsidRPr="00182E15">
        <w:rPr>
          <w:rFonts w:ascii="Calibri" w:hAnsi="Calibri" w:cs="Calibri"/>
          <w:sz w:val="22"/>
          <w:szCs w:val="22"/>
        </w:rPr>
        <w:t>The Australia and New Zealand Transplant and Cellular Therapies Ltd (ANZTCT) tracks blood and marrow transplant activity and outcomes reported by the Australasian Bone Marrow Transplant Recipient Registry, to improve outcomes for Australians and New Zealanders of all ages undergoing transplantation of blood or marrow stem cells (or other blood or marrow derived cells) through innovation and improvements in clinical care.</w:t>
      </w:r>
    </w:p>
    <w:p w14:paraId="54BD1EC6" w14:textId="49819B8C" w:rsidR="006C6EBA" w:rsidRPr="00182E15" w:rsidRDefault="006C6EBA" w:rsidP="00EA22AE">
      <w:pPr>
        <w:spacing w:after="120"/>
        <w:rPr>
          <w:rStyle w:val="Heading2Char"/>
          <w:rFonts w:eastAsia="Times New Roman"/>
          <w:b w:val="0"/>
          <w:color w:val="auto"/>
          <w:sz w:val="22"/>
          <w:szCs w:val="22"/>
        </w:rPr>
      </w:pPr>
      <w:r w:rsidRPr="00182E15">
        <w:rPr>
          <w:rFonts w:ascii="Calibri" w:hAnsi="Calibri" w:cs="Calibri"/>
          <w:sz w:val="22"/>
          <w:szCs w:val="22"/>
        </w:rPr>
        <w:t>Jurisdictional oversight is provided by the Jurisdictional Haemopoietic Progenitor Cell Committee (JHPCC), which was established to oversee the implementation of a review commissioned by all governments in 2017,</w:t>
      </w:r>
      <w:r w:rsidR="00BA3D76">
        <w:rPr>
          <w:rFonts w:ascii="Calibri" w:hAnsi="Calibri" w:cs="Calibri"/>
          <w:sz w:val="22"/>
          <w:szCs w:val="22"/>
        </w:rPr>
        <w:fldChar w:fldCharType="begin" w:fldLock="1"/>
      </w:r>
      <w:r w:rsidR="00BA3D76">
        <w:rPr>
          <w:rFonts w:ascii="Calibri" w:hAnsi="Calibri" w:cs="Calibri"/>
          <w:sz w:val="22"/>
          <w:szCs w:val="22"/>
        </w:rPr>
        <w:instrText>ADDIN CSL_CITATION {"citationItems":[{"id":"ITEM-1","itemData":{"author":[{"dropping-particle":"","family":"Australian Government Department of Health","given":"","non-dropping-particle":"","parse-names":false,"suffix":""},{"dropping-particle":"","family":"PwC","given":"","non-dropping-particle":"","parse-names":false,"suffix":""}],"id":"ITEM-1","issue":"January","issued":{"date-parts":[["2018"]]},"title":"Review of the HPC sector Final Report","type":"report"},"uris":["http://www.mendeley.com/documents/?uuid=a5c831f4-2e0f-4ffd-98c0-5abf5d8bf6f7"]}],"mendeley":{"formattedCitation":"(24)","plainTextFormattedCitation":"(24)","previouslyFormattedCitation":"(24)"},"properties":{"noteIndex":0},"schema":"https://github.com/citation-style-language/schema/raw/master/csl-citation.json"}</w:instrText>
      </w:r>
      <w:r w:rsidR="00BA3D76">
        <w:rPr>
          <w:rFonts w:ascii="Calibri" w:hAnsi="Calibri" w:cs="Calibri"/>
          <w:sz w:val="22"/>
          <w:szCs w:val="22"/>
        </w:rPr>
        <w:fldChar w:fldCharType="separate"/>
      </w:r>
      <w:r w:rsidR="00BA3D76" w:rsidRPr="00BA3D76">
        <w:rPr>
          <w:rFonts w:ascii="Calibri" w:hAnsi="Calibri" w:cs="Calibri"/>
          <w:noProof/>
          <w:sz w:val="22"/>
          <w:szCs w:val="22"/>
        </w:rPr>
        <w:t>(24)</w:t>
      </w:r>
      <w:r w:rsidR="00BA3D76">
        <w:rPr>
          <w:rFonts w:ascii="Calibri" w:hAnsi="Calibri" w:cs="Calibri"/>
          <w:sz w:val="22"/>
          <w:szCs w:val="22"/>
        </w:rPr>
        <w:fldChar w:fldCharType="end"/>
      </w:r>
      <w:r w:rsidRPr="00182E15">
        <w:rPr>
          <w:rFonts w:ascii="Calibri" w:hAnsi="Calibri" w:cs="Calibri"/>
          <w:sz w:val="22"/>
          <w:szCs w:val="22"/>
        </w:rPr>
        <w:t xml:space="preserve"> and the subsequent response by governments via the </w:t>
      </w:r>
      <w:r w:rsidRPr="00182E15">
        <w:rPr>
          <w:rFonts w:ascii="Calibri" w:hAnsi="Calibri" w:cs="Calibri"/>
          <w:i/>
          <w:sz w:val="22"/>
          <w:szCs w:val="22"/>
        </w:rPr>
        <w:t>National Haemopoietic Progenitor Cell Framewo</w:t>
      </w:r>
      <w:r w:rsidR="00596C68">
        <w:rPr>
          <w:rFonts w:ascii="Calibri" w:hAnsi="Calibri" w:cs="Calibri"/>
          <w:i/>
          <w:sz w:val="22"/>
          <w:szCs w:val="22"/>
        </w:rPr>
        <w:t>rk.</w:t>
      </w:r>
      <w:r w:rsidR="00BA3D76">
        <w:rPr>
          <w:rFonts w:ascii="Calibri" w:hAnsi="Calibri" w:cs="Calibri"/>
          <w:sz w:val="22"/>
          <w:szCs w:val="22"/>
        </w:rPr>
        <w:fldChar w:fldCharType="begin" w:fldLock="1"/>
      </w:r>
      <w:r w:rsidR="00EB088B">
        <w:rPr>
          <w:rFonts w:ascii="Calibri" w:hAnsi="Calibri" w:cs="Calibri"/>
          <w:sz w:val="22"/>
          <w:szCs w:val="22"/>
        </w:rPr>
        <w:instrText>ADDIN CSL_CITATION {"citationItems":[{"id":"ITEM-1","itemData":{"id":"ITEM-1","issue":"October","issued":{"date-parts":[["2021"]]},"title":"National Haemopoietic Progenitor Cell ( HPC ) Framework","type":"report"},"uris":["http://www.mendeley.com/documents/?uuid=9ee2aa89-f58b-4212-86de-5d7676c1d0f5"]}],"mendeley":{"formattedCitation":"(25)","plainTextFormattedCitation":"(25)","previouslyFormattedCitation":"(25)"},"properties":{"noteIndex":0},"schema":"https://github.com/citation-style-language/schema/raw/master/csl-citation.json"}</w:instrText>
      </w:r>
      <w:r w:rsidR="00BA3D76">
        <w:rPr>
          <w:rFonts w:ascii="Calibri" w:hAnsi="Calibri" w:cs="Calibri"/>
          <w:sz w:val="22"/>
          <w:szCs w:val="22"/>
        </w:rPr>
        <w:fldChar w:fldCharType="separate"/>
      </w:r>
      <w:r w:rsidR="00BA3D76" w:rsidRPr="00BA3D76">
        <w:rPr>
          <w:rFonts w:ascii="Calibri" w:hAnsi="Calibri" w:cs="Calibri"/>
          <w:noProof/>
          <w:sz w:val="22"/>
          <w:szCs w:val="22"/>
        </w:rPr>
        <w:t>(25)</w:t>
      </w:r>
      <w:r w:rsidR="00BA3D76">
        <w:rPr>
          <w:rFonts w:ascii="Calibri" w:hAnsi="Calibri" w:cs="Calibri"/>
          <w:sz w:val="22"/>
          <w:szCs w:val="22"/>
        </w:rPr>
        <w:fldChar w:fldCharType="end"/>
      </w:r>
      <w:r w:rsidRPr="00182E15">
        <w:rPr>
          <w:rFonts w:ascii="Calibri" w:hAnsi="Calibri" w:cs="Calibri"/>
          <w:sz w:val="22"/>
          <w:szCs w:val="22"/>
        </w:rPr>
        <w:t xml:space="preserve"> </w:t>
      </w:r>
    </w:p>
    <w:p w14:paraId="765269D1" w14:textId="77777777" w:rsidR="006C6EBA" w:rsidRPr="006720E4" w:rsidRDefault="006C6EBA" w:rsidP="00EA22AE">
      <w:pPr>
        <w:spacing w:after="120"/>
        <w:rPr>
          <w:rStyle w:val="Heading2Char"/>
          <w:sz w:val="24"/>
        </w:rPr>
      </w:pPr>
    </w:p>
    <w:p w14:paraId="52B2799A" w14:textId="77777777" w:rsidR="006C6EBA" w:rsidRPr="006720E4" w:rsidRDefault="006C6EBA" w:rsidP="00EA22AE">
      <w:pPr>
        <w:spacing w:after="120"/>
        <w:rPr>
          <w:rStyle w:val="Heading2Char"/>
          <w:sz w:val="24"/>
        </w:rPr>
      </w:pPr>
    </w:p>
    <w:p w14:paraId="23EFDA65" w14:textId="77777777" w:rsidR="006C6EBA" w:rsidRPr="006720E4" w:rsidRDefault="006C6EBA" w:rsidP="00EA22AE">
      <w:pPr>
        <w:spacing w:after="120"/>
        <w:rPr>
          <w:rStyle w:val="Heading2Char"/>
          <w:color w:val="auto"/>
          <w:sz w:val="24"/>
        </w:rPr>
      </w:pPr>
    </w:p>
    <w:p w14:paraId="77993650" w14:textId="77777777" w:rsidR="006C6EBA" w:rsidRPr="006720E4" w:rsidRDefault="006C6EBA" w:rsidP="00EA22AE">
      <w:pPr>
        <w:spacing w:after="120"/>
        <w:rPr>
          <w:rFonts w:ascii="Calibri" w:hAnsi="Calibri" w:cs="Calibri"/>
        </w:rPr>
      </w:pPr>
    </w:p>
    <w:p w14:paraId="765297EA" w14:textId="77777777" w:rsidR="006C6EBA" w:rsidRPr="006720E4" w:rsidRDefault="006C6EBA" w:rsidP="00EA22AE">
      <w:pPr>
        <w:spacing w:after="120"/>
        <w:rPr>
          <w:rStyle w:val="Heading2Char"/>
          <w:color w:val="auto"/>
          <w:sz w:val="24"/>
        </w:rPr>
      </w:pPr>
    </w:p>
    <w:p w14:paraId="599ADA9A" w14:textId="77777777" w:rsidR="006C6EBA" w:rsidRPr="006720E4" w:rsidRDefault="006C6EBA" w:rsidP="00EA22AE">
      <w:pPr>
        <w:spacing w:after="120"/>
        <w:rPr>
          <w:rFonts w:ascii="Calibri" w:hAnsi="Calibri" w:cs="Calibri"/>
          <w:b/>
          <w:bCs/>
          <w:color w:val="4472C4" w:themeColor="accent1"/>
          <w:sz w:val="32"/>
          <w:szCs w:val="32"/>
          <w:u w:val="single"/>
        </w:rPr>
      </w:pPr>
      <w:bookmarkStart w:id="371" w:name="_Toc128314189"/>
      <w:r w:rsidRPr="006720E4">
        <w:rPr>
          <w:rFonts w:ascii="Calibri" w:hAnsi="Calibri" w:cs="Calibri"/>
        </w:rPr>
        <w:br w:type="page"/>
      </w:r>
    </w:p>
    <w:p w14:paraId="24C123AF" w14:textId="77777777" w:rsidR="006C6EBA" w:rsidRPr="006720E4" w:rsidRDefault="006C6EBA" w:rsidP="00EA22AE">
      <w:pPr>
        <w:pStyle w:val="Heading1"/>
      </w:pPr>
      <w:bookmarkStart w:id="372" w:name="_Ethical_foundations_of_2"/>
      <w:bookmarkStart w:id="373" w:name="_Toc135131431"/>
      <w:bookmarkEnd w:id="372"/>
      <w:r w:rsidRPr="006720E4">
        <w:lastRenderedPageBreak/>
        <w:t>Ethical foundations of donation and transplantation in Australia</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5"/>
      <w:bookmarkEnd w:id="316"/>
      <w:bookmarkEnd w:id="317"/>
      <w:bookmarkEnd w:id="318"/>
      <w:bookmarkEnd w:id="319"/>
      <w:bookmarkEnd w:id="371"/>
      <w:bookmarkEnd w:id="373"/>
    </w:p>
    <w:p w14:paraId="2082ACF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People have different languages and ways of communicating, different cultural practices, personal goals and priorities, and different types of social relationships. They also share common interests and values including being able to pursue our own goals freely and having control over our own lives and bodies. At times, people also depend on other members of their communities and societies to help them in meeting individual or collective needs, or to protect them from harm. </w:t>
      </w:r>
    </w:p>
    <w:p w14:paraId="50326901" w14:textId="5D1BC8A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These shared interests and experiences are reflected in the ethical values embedded in international statements and guidelines such as the United Nations Declaration of Human Rights,</w:t>
      </w:r>
      <w:r w:rsidRPr="006720E4">
        <w:rPr>
          <w:rFonts w:ascii="Calibri" w:hAnsi="Calibri" w:cs="Calibri"/>
          <w:sz w:val="22"/>
          <w:szCs w:val="22"/>
        </w:rPr>
        <w:fldChar w:fldCharType="begin" w:fldLock="1"/>
      </w:r>
      <w:r w:rsidRPr="006720E4">
        <w:rPr>
          <w:rFonts w:ascii="Calibri" w:hAnsi="Calibri" w:cs="Calibri"/>
          <w:sz w:val="22"/>
          <w:szCs w:val="22"/>
        </w:rPr>
        <w:instrText>ADDIN CSL_CITATION {"citationItems":[{"id":"ITEM-1","itemData":{"ISSN":"19410832","PMID":"5190453","abstract":"The Universal Declaration of Human Rights (UDHR) is a milestone document in the history of human rights. Drafted by representatives with different legal and cultural backgrounds from all regions of the world, the Declaration was proclaimed by the United Nations General Assembly in Paris on 10 December 1948 (General Assembly resolution 217 A) as a common standard of achievements for all peoples and all nations. It sets out, for the first time, fundamental human rights to be universally protected and it has been translated into over 500 languages.","author":[{"dropping-particle":"","family":"United Nations","given":"","non-dropping-particle":"","parse-names":false,"suffix":""}],"id":"ITEM-1","issued":{"date-parts":[["1948"]]},"page":"1","title":"Universal Declaration of Human Rights","type":"legislation"},"uris":["http://www.mendeley.com/documents/?uuid=4b932ec7-90e8-41d9-8a44-876d237e7dd4"]}],"mendeley":{"formattedCitation":"(4)","plainTextFormattedCitation":"(4)","previouslyFormattedCitation":"(4)"},"properties":{"noteIndex":0},"schema":"https://github.com/citation-style-language/schema/raw/master/csl-citation.json"}</w:instrText>
      </w:r>
      <w:r w:rsidRPr="006720E4">
        <w:rPr>
          <w:rFonts w:ascii="Calibri" w:hAnsi="Calibri" w:cs="Calibri"/>
          <w:sz w:val="22"/>
          <w:szCs w:val="22"/>
        </w:rPr>
        <w:fldChar w:fldCharType="separate"/>
      </w:r>
      <w:r w:rsidRPr="006720E4">
        <w:rPr>
          <w:rFonts w:ascii="Calibri" w:hAnsi="Calibri" w:cs="Calibri"/>
          <w:noProof/>
          <w:sz w:val="22"/>
          <w:szCs w:val="22"/>
        </w:rPr>
        <w:t>(4)</w:t>
      </w:r>
      <w:r w:rsidRPr="006720E4">
        <w:rPr>
          <w:rFonts w:ascii="Calibri" w:hAnsi="Calibri" w:cs="Calibri"/>
          <w:sz w:val="22"/>
          <w:szCs w:val="22"/>
        </w:rPr>
        <w:fldChar w:fldCharType="end"/>
      </w:r>
      <w:r w:rsidRPr="006720E4">
        <w:rPr>
          <w:rFonts w:ascii="Calibri" w:hAnsi="Calibri" w:cs="Calibri"/>
          <w:sz w:val="22"/>
          <w:szCs w:val="22"/>
        </w:rPr>
        <w:t xml:space="preserve"> the United Nations Declaration on the Rights of Indigenous Peoples,</w:t>
      </w:r>
      <w:r w:rsidRPr="006720E4">
        <w:rPr>
          <w:rFonts w:ascii="Calibri" w:hAnsi="Calibri" w:cs="Calibri"/>
          <w:sz w:val="22"/>
          <w:szCs w:val="22"/>
        </w:rPr>
        <w:fldChar w:fldCharType="begin" w:fldLock="1"/>
      </w:r>
      <w:r w:rsidRPr="006720E4">
        <w:rPr>
          <w:rFonts w:ascii="Calibri" w:hAnsi="Calibri" w:cs="Calibri"/>
          <w:sz w:val="22"/>
          <w:szCs w:val="22"/>
        </w:rPr>
        <w:instrText>ADDIN CSL_CITATION {"citationItems":[{"id":"ITEM-1","itemData":{"DOI":"10.1163/15736512-90000006a","ISSN":"1385-1306","abstract":"The declaration is the most comprehensive international instrument on the rights of Indigenous peoples. It establishes a universal framework of minimum standards for the survival, dignity and well-being of the Indigenous peoples of the world and it elaborates on existing human rights standards and fundamental freedoms as they apply to the specific situation of Indigenous peoples.","author":[{"dropping-particle":"","family":"United Nations (UN)","given":"","non-dropping-particle":"","parse-names":false,"suffix":""}],"id":"ITEM-1","issued":{"date-parts":[["2007"]]},"title":"UN Declaration on the Rights of Indigenous Peoples","type":"legislation"},"uris":["http://www.mendeley.com/documents/?uuid=0d43399a-9666-4667-a6c8-e51f9cbf921c"]}],"mendeley":{"formattedCitation":"(2)","plainTextFormattedCitation":"(2)","previouslyFormattedCitation":"(2)"},"properties":{"noteIndex":0},"schema":"https://github.com/citation-style-language/schema/raw/master/csl-citation.json"}</w:instrText>
      </w:r>
      <w:r w:rsidRPr="006720E4">
        <w:rPr>
          <w:rFonts w:ascii="Calibri" w:hAnsi="Calibri" w:cs="Calibri"/>
          <w:sz w:val="22"/>
          <w:szCs w:val="22"/>
        </w:rPr>
        <w:fldChar w:fldCharType="separate"/>
      </w:r>
      <w:r w:rsidRPr="006720E4">
        <w:rPr>
          <w:rFonts w:ascii="Calibri" w:hAnsi="Calibri" w:cs="Calibri"/>
          <w:noProof/>
          <w:sz w:val="22"/>
          <w:szCs w:val="22"/>
        </w:rPr>
        <w:t>(2)</w:t>
      </w:r>
      <w:r w:rsidRPr="006720E4">
        <w:rPr>
          <w:rFonts w:ascii="Calibri" w:hAnsi="Calibri" w:cs="Calibri"/>
          <w:sz w:val="22"/>
          <w:szCs w:val="22"/>
        </w:rPr>
        <w:fldChar w:fldCharType="end"/>
      </w:r>
      <w:r w:rsidRPr="006720E4">
        <w:rPr>
          <w:rFonts w:ascii="Calibri" w:hAnsi="Calibri" w:cs="Calibri"/>
          <w:sz w:val="22"/>
          <w:szCs w:val="22"/>
        </w:rPr>
        <w:t xml:space="preserve"> the United Nations Convention on the Rights of Persons with Disabilities,</w:t>
      </w:r>
      <w:r w:rsidRPr="006720E4">
        <w:rPr>
          <w:rFonts w:ascii="Calibri" w:hAnsi="Calibri" w:cs="Calibri"/>
          <w:sz w:val="22"/>
          <w:szCs w:val="22"/>
        </w:rPr>
        <w:fldChar w:fldCharType="begin" w:fldLock="1"/>
      </w:r>
      <w:r w:rsidRPr="006720E4">
        <w:rPr>
          <w:rFonts w:ascii="Calibri" w:hAnsi="Calibri" w:cs="Calibri"/>
          <w:sz w:val="22"/>
          <w:szCs w:val="22"/>
        </w:rPr>
        <w:instrText>ADDIN CSL_CITATION {"citationItems":[{"id":"ITEM-1","itemData":{"DOI":"10.5463/DCID.v29i4.656","ISSN":"22115242","author":[{"dropping-particle":"","family":"United Nations (UN)","given":"","non-dropping-particle":"","parse-names":false,"suffix":""}],"container-title":"United Nations","id":"ITEM-1","issued":{"date-parts":[["2007"]]},"title":"Convention on the rights of persons with disabilities","type":"legislation"},"uris":["http://www.mendeley.com/documents/?uuid=0ed90bcf-91bd-45ac-b9f5-5a218b3467bc"]}],"mendeley":{"formattedCitation":"(5)","plainTextFormattedCitation":"(5)","previouslyFormattedCitation":"(5)"},"properties":{"noteIndex":0},"schema":"https://github.com/citation-style-language/schema/raw/master/csl-citation.json"}</w:instrText>
      </w:r>
      <w:r w:rsidRPr="006720E4">
        <w:rPr>
          <w:rFonts w:ascii="Calibri" w:hAnsi="Calibri" w:cs="Calibri"/>
          <w:sz w:val="22"/>
          <w:szCs w:val="22"/>
        </w:rPr>
        <w:fldChar w:fldCharType="separate"/>
      </w:r>
      <w:r w:rsidRPr="006720E4">
        <w:rPr>
          <w:rFonts w:ascii="Calibri" w:hAnsi="Calibri" w:cs="Calibri"/>
          <w:noProof/>
          <w:sz w:val="22"/>
          <w:szCs w:val="22"/>
        </w:rPr>
        <w:t>(5)</w:t>
      </w:r>
      <w:r w:rsidRPr="006720E4">
        <w:rPr>
          <w:rFonts w:ascii="Calibri" w:hAnsi="Calibri" w:cs="Calibri"/>
          <w:sz w:val="22"/>
          <w:szCs w:val="22"/>
        </w:rPr>
        <w:fldChar w:fldCharType="end"/>
      </w:r>
      <w:r w:rsidRPr="006720E4">
        <w:rPr>
          <w:rFonts w:ascii="Calibri" w:hAnsi="Calibri" w:cs="Calibri"/>
          <w:sz w:val="22"/>
          <w:szCs w:val="22"/>
        </w:rPr>
        <w:t xml:space="preserve"> and the United Nations Convention on the Rights of the Child.</w:t>
      </w:r>
      <w:r w:rsidRPr="006720E4">
        <w:rPr>
          <w:rFonts w:ascii="Calibri" w:hAnsi="Calibri" w:cs="Calibri"/>
          <w:sz w:val="22"/>
          <w:szCs w:val="22"/>
        </w:rPr>
        <w:fldChar w:fldCharType="begin" w:fldLock="1"/>
      </w:r>
      <w:r w:rsidRPr="006720E4">
        <w:rPr>
          <w:rFonts w:ascii="Calibri" w:hAnsi="Calibri" w:cs="Calibri"/>
          <w:sz w:val="22"/>
          <w:szCs w:val="22"/>
        </w:rPr>
        <w:instrText>ADDIN CSL_CITATION {"citationItems":[{"id":"ITEM-1","itemData":{"DOI":"10.1111/j.1467-9515.1989.tb00500.x","ISSN":"14679515","author":[{"dropping-particle":"","family":"United Nations (UN)","given":"","non-dropping-particle":"","parse-names":false,"suffix":""}],"id":"ITEM-1","issued":{"date-parts":[["1989"]]},"title":"Convention on the Rights of the Child","type":"legislation"},"uris":["http://www.mendeley.com/documents/?uuid=e7abadfa-ba8f-43f1-8db3-411e4b9f2178"]}],"mendeley":{"formattedCitation":"(3)","plainTextFormattedCitation":"(3)","previouslyFormattedCitation":"(3)"},"properties":{"noteIndex":0},"schema":"https://github.com/citation-style-language/schema/raw/master/csl-citation.json"}</w:instrText>
      </w:r>
      <w:r w:rsidRPr="006720E4">
        <w:rPr>
          <w:rFonts w:ascii="Calibri" w:hAnsi="Calibri" w:cs="Calibri"/>
          <w:sz w:val="22"/>
          <w:szCs w:val="22"/>
        </w:rPr>
        <w:fldChar w:fldCharType="separate"/>
      </w:r>
      <w:r w:rsidRPr="006720E4">
        <w:rPr>
          <w:rFonts w:ascii="Calibri" w:hAnsi="Calibri" w:cs="Calibri"/>
          <w:noProof/>
          <w:sz w:val="22"/>
          <w:szCs w:val="22"/>
        </w:rPr>
        <w:t>(3)</w:t>
      </w:r>
      <w:r w:rsidRPr="006720E4">
        <w:rPr>
          <w:rFonts w:ascii="Calibri" w:hAnsi="Calibri" w:cs="Calibri"/>
          <w:sz w:val="22"/>
          <w:szCs w:val="22"/>
        </w:rPr>
        <w:fldChar w:fldCharType="end"/>
      </w:r>
      <w:r w:rsidRPr="006720E4">
        <w:rPr>
          <w:rFonts w:ascii="Calibri" w:hAnsi="Calibri" w:cs="Calibri"/>
          <w:sz w:val="22"/>
          <w:szCs w:val="22"/>
        </w:rPr>
        <w:t xml:space="preserve"> In Australia, these values are reflected in the ethical values and principles that underpin healthcare policy and practice, as well as the conduct of research involving human participants. </w:t>
      </w:r>
    </w:p>
    <w:p w14:paraId="38F32D12" w14:textId="0DEDB55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ethical foundations of healthcare policy and practice in Australia include respect for human beings (respect for human dignity), for the rights of individuals to govern their own lives (respect for autonomy), and for justice, as well as obligations to help and avoid causing harm to others (respect for beneficence and nonmaleficence).</w:t>
      </w:r>
    </w:p>
    <w:p w14:paraId="6414DFF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These principles are all applicable in the context of donation and transplantation policies and practices. This requires decision-making that </w:t>
      </w:r>
    </w:p>
    <w:p w14:paraId="0FE1953A" w14:textId="7351A78F" w:rsidR="006C6EBA" w:rsidRPr="006720E4" w:rsidRDefault="006C6EBA" w:rsidP="00EA22AE">
      <w:pPr>
        <w:pStyle w:val="BulletList"/>
        <w:spacing w:after="120"/>
        <w:contextualSpacing w:val="0"/>
        <w:rPr>
          <w:rFonts w:cs="Calibri"/>
          <w:szCs w:val="22"/>
        </w:rPr>
      </w:pPr>
      <w:r w:rsidRPr="006720E4">
        <w:rPr>
          <w:rFonts w:cs="Calibri"/>
          <w:szCs w:val="22"/>
        </w:rPr>
        <w:t>respects the human rights, dignity, and autonomy of all members of the Australian community,</w:t>
      </w:r>
    </w:p>
    <w:p w14:paraId="5C267AE8" w14:textId="77777777" w:rsidR="006C6EBA" w:rsidRPr="006720E4" w:rsidRDefault="006C6EBA" w:rsidP="00EA22AE">
      <w:pPr>
        <w:pStyle w:val="BulletList"/>
        <w:spacing w:after="120"/>
        <w:contextualSpacing w:val="0"/>
        <w:rPr>
          <w:rFonts w:cs="Calibri"/>
          <w:szCs w:val="22"/>
        </w:rPr>
      </w:pPr>
      <w:r w:rsidRPr="006720E4">
        <w:rPr>
          <w:rFonts w:cs="Calibri"/>
          <w:szCs w:val="22"/>
        </w:rPr>
        <w:t>promotes the wellbeing and broader interests of donors and recipients and their families and communities, and</w:t>
      </w:r>
    </w:p>
    <w:p w14:paraId="4B45EFE5" w14:textId="1E960F90" w:rsidR="006C6EBA" w:rsidRPr="006720E4" w:rsidRDefault="006C6EBA" w:rsidP="00EA22AE">
      <w:pPr>
        <w:pStyle w:val="BulletList"/>
        <w:spacing w:after="120"/>
        <w:contextualSpacing w:val="0"/>
        <w:rPr>
          <w:rFonts w:cs="Calibri"/>
          <w:szCs w:val="22"/>
        </w:rPr>
      </w:pPr>
      <w:r w:rsidRPr="006720E4">
        <w:rPr>
          <w:rFonts w:cs="Calibri"/>
          <w:szCs w:val="22"/>
        </w:rPr>
        <w:t>safeguards equity in the distribution of and access to the benefits of donation and transplantation of cells, tissues, and organs.</w:t>
      </w:r>
    </w:p>
    <w:p w14:paraId="55110752" w14:textId="13F3471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this chapter we present a set of core </w:t>
      </w:r>
      <w:r w:rsidR="00926595" w:rsidRPr="006720E4">
        <w:rPr>
          <w:rFonts w:ascii="Calibri" w:hAnsi="Calibri" w:cs="Calibri"/>
          <w:sz w:val="22"/>
          <w:szCs w:val="22"/>
        </w:rPr>
        <w:t xml:space="preserve">values and </w:t>
      </w:r>
      <w:r w:rsidRPr="006720E4">
        <w:rPr>
          <w:rFonts w:ascii="Calibri" w:hAnsi="Calibri" w:cs="Calibri"/>
          <w:sz w:val="22"/>
          <w:szCs w:val="22"/>
        </w:rPr>
        <w:t xml:space="preserve">ethical principles that should underpin policy and practice in donation and transplantation in Australia. These principles are consistent with the core values of healthcare policy and practice in Australia, with international guiding principles for donation and transplantation, and with existing Australian ethical guidelines and positions statements of relevance. We briefly review Australian legislation that is or may be relevant to ethical decision-making in donation and transplantation. Finally, we outline a general approach to ethical decision-making and discuss some of the concerns that may arise when making ethically significant decisions, including concerns about conflicts of interest. </w:t>
      </w:r>
    </w:p>
    <w:p w14:paraId="0952BA8C" w14:textId="2B3F8AB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further resources related to this chapter, please see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45CB3399" w14:textId="77777777" w:rsidR="006C6EBA" w:rsidRPr="006720E4" w:rsidRDefault="006C6EBA" w:rsidP="00EA22AE">
      <w:pPr>
        <w:pStyle w:val="Heading2"/>
        <w:spacing w:after="120"/>
      </w:pPr>
      <w:bookmarkStart w:id="374" w:name="_Ethical_principles_guiding"/>
      <w:bookmarkStart w:id="375" w:name="_Ethical_values_and"/>
      <w:bookmarkStart w:id="376" w:name="_Toc61810307"/>
      <w:bookmarkStart w:id="377" w:name="_Toc70241707"/>
      <w:bookmarkStart w:id="378" w:name="_Toc70243341"/>
      <w:bookmarkStart w:id="379" w:name="_Toc70328719"/>
      <w:bookmarkStart w:id="380" w:name="_Toc70333949"/>
      <w:bookmarkStart w:id="381" w:name="_Toc70414786"/>
      <w:bookmarkStart w:id="382" w:name="_Toc70844115"/>
      <w:bookmarkStart w:id="383" w:name="_Toc70858977"/>
      <w:bookmarkStart w:id="384" w:name="_Toc70861078"/>
      <w:bookmarkStart w:id="385" w:name="_Toc70876562"/>
      <w:bookmarkStart w:id="386" w:name="_Toc72615047"/>
      <w:bookmarkStart w:id="387" w:name="_Toc73129766"/>
      <w:bookmarkStart w:id="388" w:name="_Toc73301635"/>
      <w:bookmarkStart w:id="389" w:name="_Toc73302141"/>
      <w:bookmarkStart w:id="390" w:name="_Toc73303274"/>
      <w:bookmarkStart w:id="391" w:name="_Toc73303535"/>
      <w:bookmarkStart w:id="392" w:name="_Toc74080652"/>
      <w:bookmarkStart w:id="393" w:name="_Toc74080960"/>
      <w:bookmarkStart w:id="394" w:name="_Toc74081190"/>
      <w:bookmarkStart w:id="395" w:name="_Toc74081419"/>
      <w:bookmarkStart w:id="396" w:name="_Toc74171021"/>
      <w:bookmarkStart w:id="397" w:name="_Toc74172196"/>
      <w:bookmarkStart w:id="398" w:name="_Toc74172732"/>
      <w:bookmarkStart w:id="399" w:name="_Toc74238695"/>
      <w:bookmarkStart w:id="400" w:name="_Toc78304753"/>
      <w:bookmarkStart w:id="401" w:name="_Toc79330841"/>
      <w:bookmarkStart w:id="402" w:name="_Toc79331221"/>
      <w:bookmarkStart w:id="403" w:name="_Toc79406311"/>
      <w:bookmarkStart w:id="404" w:name="_Toc82773474"/>
      <w:bookmarkStart w:id="405" w:name="_Toc82773827"/>
      <w:bookmarkStart w:id="406" w:name="_Toc128314190"/>
      <w:bookmarkStart w:id="407" w:name="_Toc135131432"/>
      <w:bookmarkEnd w:id="374"/>
      <w:bookmarkEnd w:id="375"/>
      <w:r w:rsidRPr="006720E4">
        <w:t>Ethical values and principles guiding cell, tissue and organ donation and transplantation in Australia</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16DE4BED" w14:textId="4D1B1B3A" w:rsidR="0078520A" w:rsidRPr="006720E4" w:rsidRDefault="0078520A" w:rsidP="00EA22AE">
      <w:pPr>
        <w:pStyle w:val="Guidelinesnormalparagraph"/>
        <w:rPr>
          <w:rFonts w:ascii="Calibri" w:hAnsi="Calibri" w:cs="Calibri"/>
          <w:kern w:val="0"/>
          <w:szCs w:val="22"/>
          <w:u w:color="0000FF"/>
          <w:lang w:val="en-GB"/>
        </w:rPr>
      </w:pPr>
      <w:r w:rsidRPr="006720E4">
        <w:rPr>
          <w:rFonts w:ascii="Calibri" w:hAnsi="Calibri" w:cs="Calibri"/>
          <w:kern w:val="0"/>
          <w:szCs w:val="22"/>
          <w:u w:color="0000FF"/>
          <w:lang w:val="en-GB"/>
        </w:rPr>
        <w:t>The values and principles outlined below support decision-making by all those involved in donation and transplantation activities, particularly health professionals and policy makers. Use of an ethics framework helps to ensure that decision-making is rigorous, consistent, transparent, and supported by the community. In most situations, more than one value or principle may need to be considered.</w:t>
      </w:r>
      <w:r w:rsidR="00DE1149" w:rsidRPr="006720E4">
        <w:rPr>
          <w:rFonts w:ascii="Calibri" w:hAnsi="Calibri" w:cs="Calibri"/>
          <w:kern w:val="0"/>
          <w:szCs w:val="22"/>
          <w:u w:color="0000FF"/>
          <w:lang w:val="en-GB"/>
        </w:rPr>
        <w:t xml:space="preserve"> Each value and principle is explained in more detail in the following sections.</w:t>
      </w:r>
    </w:p>
    <w:p w14:paraId="69138209" w14:textId="77777777" w:rsidR="0078520A" w:rsidRPr="006720E4" w:rsidRDefault="0078520A" w:rsidP="00EA22AE">
      <w:pPr>
        <w:pStyle w:val="Guidelinesnormalparagraph"/>
        <w:rPr>
          <w:rFonts w:ascii="Calibri" w:hAnsi="Calibri" w:cs="Calibri"/>
          <w:kern w:val="0"/>
          <w:szCs w:val="22"/>
          <w:u w:color="0000FF"/>
          <w:lang w:val="en-GB"/>
        </w:rPr>
      </w:pPr>
      <w:r w:rsidRPr="006720E4">
        <w:rPr>
          <w:rFonts w:ascii="Calibri" w:hAnsi="Calibri" w:cs="Calibri"/>
          <w:kern w:val="0"/>
          <w:szCs w:val="22"/>
          <w:u w:color="0000FF"/>
          <w:lang w:val="en-GB"/>
        </w:rPr>
        <w:t>The five values at the foundation of the ethics framework are:</w:t>
      </w:r>
    </w:p>
    <w:p w14:paraId="2C70834A" w14:textId="719E9EFC" w:rsidR="0078520A" w:rsidRPr="006720E4" w:rsidRDefault="0078520A" w:rsidP="00C3783C">
      <w:pPr>
        <w:pStyle w:val="Guidelinesnormalparagraph"/>
        <w:numPr>
          <w:ilvl w:val="0"/>
          <w:numId w:val="126"/>
        </w:numPr>
        <w:rPr>
          <w:rFonts w:ascii="Calibri" w:hAnsi="Calibri" w:cs="Calibri"/>
          <w:kern w:val="0"/>
          <w:szCs w:val="22"/>
          <w:u w:color="0000FF"/>
          <w:lang w:val="en-GB"/>
        </w:rPr>
      </w:pPr>
      <w:r w:rsidRPr="006720E4">
        <w:rPr>
          <w:rFonts w:ascii="Calibri" w:hAnsi="Calibri" w:cs="Calibri"/>
          <w:kern w:val="0"/>
          <w:szCs w:val="22"/>
          <w:u w:color="0000FF"/>
          <w:lang w:val="en-GB"/>
        </w:rPr>
        <w:t>Respect for the dignity and autonomy of donors, recipients, and their families and communities</w:t>
      </w:r>
      <w:r w:rsidR="00931285" w:rsidRPr="006720E4">
        <w:rPr>
          <w:rFonts w:ascii="Calibri" w:hAnsi="Calibri" w:cs="Calibri"/>
          <w:kern w:val="0"/>
          <w:szCs w:val="22"/>
          <w:u w:color="0000FF"/>
          <w:lang w:val="en-GB"/>
        </w:rPr>
        <w:t xml:space="preserve"> (see </w:t>
      </w:r>
      <w:hyperlink w:anchor="_Respect_for_the_1" w:history="1">
        <w:r w:rsidR="00931285" w:rsidRPr="006720E4">
          <w:rPr>
            <w:rStyle w:val="Hyperlink"/>
            <w:rFonts w:ascii="Calibri" w:hAnsi="Calibri" w:cs="Calibri"/>
            <w:kern w:val="0"/>
            <w:szCs w:val="22"/>
            <w:lang w:val="en-GB"/>
          </w:rPr>
          <w:t>Chapter 3.</w:t>
        </w:r>
        <w:r w:rsidR="006824A7">
          <w:rPr>
            <w:rStyle w:val="Hyperlink"/>
            <w:rFonts w:ascii="Calibri" w:hAnsi="Calibri" w:cs="Calibri"/>
            <w:kern w:val="0"/>
            <w:szCs w:val="22"/>
            <w:lang w:val="en-GB"/>
          </w:rPr>
          <w:t>2</w:t>
        </w:r>
        <w:r w:rsidR="00931285" w:rsidRPr="006720E4">
          <w:rPr>
            <w:rStyle w:val="Hyperlink"/>
            <w:rFonts w:ascii="Calibri" w:hAnsi="Calibri" w:cs="Calibri"/>
            <w:kern w:val="0"/>
            <w:szCs w:val="22"/>
            <w:lang w:val="en-GB"/>
          </w:rPr>
          <w:t>.1</w:t>
        </w:r>
      </w:hyperlink>
      <w:r w:rsidR="00931285" w:rsidRPr="006720E4">
        <w:rPr>
          <w:rFonts w:ascii="Calibri" w:hAnsi="Calibri" w:cs="Calibri"/>
          <w:kern w:val="0"/>
          <w:szCs w:val="22"/>
          <w:u w:color="0000FF"/>
          <w:lang w:val="en-GB"/>
        </w:rPr>
        <w:t>)</w:t>
      </w:r>
    </w:p>
    <w:p w14:paraId="7369768F" w14:textId="0B3A6559" w:rsidR="0078520A" w:rsidRPr="006720E4" w:rsidRDefault="0078520A" w:rsidP="00C3783C">
      <w:pPr>
        <w:pStyle w:val="Guidelinesnormalparagraph"/>
        <w:numPr>
          <w:ilvl w:val="0"/>
          <w:numId w:val="126"/>
        </w:numPr>
        <w:rPr>
          <w:rFonts w:ascii="Calibri" w:hAnsi="Calibri" w:cs="Calibri"/>
          <w:kern w:val="0"/>
          <w:szCs w:val="22"/>
          <w:u w:color="0000FF"/>
          <w:lang w:val="en-GB"/>
        </w:rPr>
      </w:pPr>
      <w:r w:rsidRPr="006720E4">
        <w:rPr>
          <w:rFonts w:ascii="Calibri" w:hAnsi="Calibri" w:cs="Calibri"/>
          <w:kern w:val="0"/>
          <w:szCs w:val="22"/>
          <w:u w:color="0000FF"/>
          <w:lang w:val="en-GB"/>
        </w:rPr>
        <w:lastRenderedPageBreak/>
        <w:t>Promotion of the wellbeing of potential and actual donors, recipients, and their families and communities</w:t>
      </w:r>
      <w:r w:rsidR="00931285" w:rsidRPr="006720E4">
        <w:rPr>
          <w:rFonts w:ascii="Calibri" w:hAnsi="Calibri" w:cs="Calibri"/>
          <w:kern w:val="0"/>
          <w:szCs w:val="22"/>
          <w:u w:color="0000FF"/>
          <w:lang w:val="en-GB"/>
        </w:rPr>
        <w:t xml:space="preserve"> </w:t>
      </w:r>
      <w:r w:rsidR="00931285" w:rsidRPr="00FD182A">
        <w:rPr>
          <w:rFonts w:ascii="Calibri" w:hAnsi="Calibri" w:cs="Calibri"/>
          <w:kern w:val="0"/>
          <w:szCs w:val="22"/>
          <w:u w:color="0000FF"/>
          <w:lang w:val="en-GB"/>
        </w:rPr>
        <w:t xml:space="preserve">(see </w:t>
      </w:r>
      <w:hyperlink w:anchor="_Promotion_of_the" w:history="1">
        <w:r w:rsidR="00931285" w:rsidRPr="00FD182A">
          <w:rPr>
            <w:rStyle w:val="Hyperlink"/>
            <w:rFonts w:ascii="Calibri" w:hAnsi="Calibri" w:cs="Calibri"/>
            <w:kern w:val="0"/>
            <w:szCs w:val="22"/>
            <w:lang w:val="en-GB"/>
          </w:rPr>
          <w:t>Chapter 3.</w:t>
        </w:r>
        <w:r w:rsidR="00FD182A" w:rsidRPr="00FD182A">
          <w:rPr>
            <w:rStyle w:val="Hyperlink"/>
            <w:rFonts w:ascii="Calibri" w:hAnsi="Calibri" w:cs="Calibri"/>
            <w:kern w:val="0"/>
            <w:szCs w:val="22"/>
            <w:lang w:val="en-GB"/>
          </w:rPr>
          <w:t>2.2</w:t>
        </w:r>
        <w:r w:rsidR="00931285" w:rsidRPr="00FD182A">
          <w:rPr>
            <w:rStyle w:val="Hyperlink"/>
            <w:rFonts w:ascii="Calibri" w:hAnsi="Calibri" w:cs="Calibri"/>
            <w:kern w:val="0"/>
            <w:szCs w:val="22"/>
            <w:lang w:val="en-GB"/>
          </w:rPr>
          <w:t>.</w:t>
        </w:r>
      </w:hyperlink>
      <w:r w:rsidR="00931285" w:rsidRPr="00FD182A">
        <w:rPr>
          <w:rFonts w:ascii="Calibri" w:hAnsi="Calibri" w:cs="Calibri"/>
          <w:kern w:val="0"/>
          <w:szCs w:val="22"/>
          <w:u w:color="0000FF"/>
          <w:lang w:val="en-GB"/>
        </w:rPr>
        <w:t>)</w:t>
      </w:r>
    </w:p>
    <w:p w14:paraId="2FF6537F" w14:textId="540FBA39" w:rsidR="0078520A" w:rsidRPr="006720E4" w:rsidRDefault="0078520A" w:rsidP="00C3783C">
      <w:pPr>
        <w:pStyle w:val="Guidelinesnormalparagraph"/>
        <w:numPr>
          <w:ilvl w:val="0"/>
          <w:numId w:val="126"/>
        </w:numPr>
        <w:rPr>
          <w:rFonts w:ascii="Calibri" w:hAnsi="Calibri" w:cs="Calibri"/>
          <w:kern w:val="0"/>
          <w:szCs w:val="22"/>
          <w:u w:color="0000FF"/>
          <w:lang w:val="en-GB"/>
        </w:rPr>
      </w:pPr>
      <w:r w:rsidRPr="006720E4">
        <w:rPr>
          <w:rFonts w:ascii="Calibri" w:hAnsi="Calibri" w:cs="Calibri"/>
          <w:kern w:val="0"/>
          <w:szCs w:val="22"/>
          <w:u w:color="0000FF"/>
          <w:lang w:val="en-GB"/>
        </w:rPr>
        <w:t>Promotion of justice in donation and transplantation of organs and tissues</w:t>
      </w:r>
      <w:r w:rsidR="00931285" w:rsidRPr="006720E4">
        <w:rPr>
          <w:rFonts w:ascii="Calibri" w:hAnsi="Calibri" w:cs="Calibri"/>
          <w:kern w:val="0"/>
          <w:szCs w:val="22"/>
          <w:u w:color="0000FF"/>
          <w:lang w:val="en-GB"/>
        </w:rPr>
        <w:t xml:space="preserve"> (see </w:t>
      </w:r>
      <w:hyperlink w:anchor="_Promotion_of_justice" w:history="1">
        <w:r w:rsidR="00931285" w:rsidRPr="006720E4">
          <w:rPr>
            <w:rStyle w:val="Hyperlink"/>
            <w:rFonts w:ascii="Calibri" w:hAnsi="Calibri" w:cs="Calibri"/>
            <w:kern w:val="0"/>
            <w:szCs w:val="22"/>
            <w:lang w:val="en-GB"/>
          </w:rPr>
          <w:t>Chapter 3.</w:t>
        </w:r>
        <w:r w:rsidR="004F318F">
          <w:rPr>
            <w:rStyle w:val="Hyperlink"/>
            <w:rFonts w:ascii="Calibri" w:hAnsi="Calibri" w:cs="Calibri"/>
            <w:kern w:val="0"/>
            <w:szCs w:val="22"/>
            <w:lang w:val="en-GB"/>
          </w:rPr>
          <w:t>2</w:t>
        </w:r>
        <w:r w:rsidR="00931285" w:rsidRPr="006720E4">
          <w:rPr>
            <w:rStyle w:val="Hyperlink"/>
            <w:rFonts w:ascii="Calibri" w:hAnsi="Calibri" w:cs="Calibri"/>
            <w:kern w:val="0"/>
            <w:szCs w:val="22"/>
            <w:lang w:val="en-GB"/>
          </w:rPr>
          <w:t>.3</w:t>
        </w:r>
      </w:hyperlink>
      <w:r w:rsidR="00931285" w:rsidRPr="006720E4">
        <w:rPr>
          <w:rFonts w:ascii="Calibri" w:hAnsi="Calibri" w:cs="Calibri"/>
          <w:kern w:val="0"/>
          <w:szCs w:val="22"/>
          <w:u w:color="0000FF"/>
          <w:lang w:val="en-GB"/>
        </w:rPr>
        <w:t>)</w:t>
      </w:r>
    </w:p>
    <w:p w14:paraId="17EDF93E" w14:textId="52A68E3B" w:rsidR="0078520A" w:rsidRPr="006720E4" w:rsidRDefault="0078520A" w:rsidP="00C3783C">
      <w:pPr>
        <w:pStyle w:val="Guidelinesnormalparagraph"/>
        <w:numPr>
          <w:ilvl w:val="0"/>
          <w:numId w:val="126"/>
        </w:numPr>
        <w:rPr>
          <w:rFonts w:ascii="Calibri" w:hAnsi="Calibri" w:cs="Calibri"/>
          <w:kern w:val="0"/>
          <w:szCs w:val="22"/>
          <w:u w:color="0000FF"/>
          <w:lang w:val="en-GB"/>
        </w:rPr>
      </w:pPr>
      <w:r w:rsidRPr="006720E4">
        <w:rPr>
          <w:rFonts w:ascii="Calibri" w:hAnsi="Calibri" w:cs="Calibri"/>
          <w:kern w:val="0"/>
          <w:szCs w:val="22"/>
          <w:u w:color="0000FF"/>
          <w:lang w:val="en-GB"/>
        </w:rPr>
        <w:t>Promotion of solidarity and community reciprocity</w:t>
      </w:r>
      <w:r w:rsidR="00931285" w:rsidRPr="006720E4">
        <w:rPr>
          <w:rFonts w:ascii="Calibri" w:hAnsi="Calibri" w:cs="Calibri"/>
          <w:kern w:val="0"/>
          <w:szCs w:val="22"/>
          <w:u w:color="0000FF"/>
          <w:lang w:val="en-GB"/>
        </w:rPr>
        <w:t xml:space="preserve"> (see </w:t>
      </w:r>
      <w:hyperlink w:anchor="_Promotion_of_solidarity" w:history="1">
        <w:r w:rsidR="00931285" w:rsidRPr="006720E4">
          <w:rPr>
            <w:rStyle w:val="Hyperlink"/>
            <w:rFonts w:ascii="Calibri" w:hAnsi="Calibri" w:cs="Calibri"/>
            <w:kern w:val="0"/>
            <w:szCs w:val="22"/>
            <w:lang w:val="en-GB"/>
          </w:rPr>
          <w:t>Chapter 3.</w:t>
        </w:r>
        <w:r w:rsidR="004F318F">
          <w:rPr>
            <w:rStyle w:val="Hyperlink"/>
            <w:rFonts w:ascii="Calibri" w:hAnsi="Calibri" w:cs="Calibri"/>
            <w:kern w:val="0"/>
            <w:szCs w:val="22"/>
            <w:lang w:val="en-GB"/>
          </w:rPr>
          <w:t>2</w:t>
        </w:r>
        <w:r w:rsidR="00931285" w:rsidRPr="006720E4">
          <w:rPr>
            <w:rStyle w:val="Hyperlink"/>
            <w:rFonts w:ascii="Calibri" w:hAnsi="Calibri" w:cs="Calibri"/>
            <w:kern w:val="0"/>
            <w:szCs w:val="22"/>
            <w:lang w:val="en-GB"/>
          </w:rPr>
          <w:t>.4</w:t>
        </w:r>
      </w:hyperlink>
      <w:r w:rsidR="00931285" w:rsidRPr="006720E4">
        <w:rPr>
          <w:rFonts w:ascii="Calibri" w:hAnsi="Calibri" w:cs="Calibri"/>
          <w:kern w:val="0"/>
          <w:szCs w:val="22"/>
          <w:u w:color="0000FF"/>
          <w:lang w:val="en-GB"/>
        </w:rPr>
        <w:t>)</w:t>
      </w:r>
    </w:p>
    <w:p w14:paraId="7B1D4E1F" w14:textId="037A860F" w:rsidR="0078520A" w:rsidRPr="00EA22AE" w:rsidRDefault="0078520A" w:rsidP="00C3783C">
      <w:pPr>
        <w:pStyle w:val="Guidelinesnormalparagraph"/>
        <w:numPr>
          <w:ilvl w:val="0"/>
          <w:numId w:val="126"/>
        </w:numPr>
        <w:rPr>
          <w:rFonts w:ascii="Calibri" w:hAnsi="Calibri" w:cs="Calibri"/>
          <w:kern w:val="0"/>
          <w:szCs w:val="22"/>
          <w:u w:color="0000FF"/>
          <w:lang w:val="en-GB"/>
        </w:rPr>
      </w:pPr>
      <w:r w:rsidRPr="006720E4">
        <w:rPr>
          <w:rFonts w:ascii="Calibri" w:hAnsi="Calibri" w:cs="Calibri"/>
          <w:kern w:val="0"/>
          <w:szCs w:val="22"/>
          <w:u w:color="0000FF"/>
          <w:lang w:val="en-GB"/>
        </w:rPr>
        <w:t>Stewardship of the common good</w:t>
      </w:r>
      <w:r w:rsidR="00931285" w:rsidRPr="006720E4">
        <w:rPr>
          <w:rFonts w:ascii="Calibri" w:hAnsi="Calibri" w:cs="Calibri"/>
          <w:kern w:val="0"/>
          <w:szCs w:val="22"/>
          <w:u w:color="0000FF"/>
          <w:lang w:val="en-GB"/>
        </w:rPr>
        <w:t xml:space="preserve"> (see </w:t>
      </w:r>
      <w:hyperlink w:anchor="_Stewardship_of_the" w:history="1">
        <w:r w:rsidR="00931285" w:rsidRPr="006720E4">
          <w:rPr>
            <w:rStyle w:val="Hyperlink"/>
            <w:rFonts w:ascii="Calibri" w:hAnsi="Calibri" w:cs="Calibri"/>
            <w:kern w:val="0"/>
            <w:szCs w:val="22"/>
            <w:lang w:val="en-GB"/>
          </w:rPr>
          <w:t>Chapter 3.</w:t>
        </w:r>
        <w:r w:rsidR="004F318F">
          <w:rPr>
            <w:rStyle w:val="Hyperlink"/>
            <w:rFonts w:ascii="Calibri" w:hAnsi="Calibri" w:cs="Calibri"/>
            <w:kern w:val="0"/>
            <w:szCs w:val="22"/>
            <w:lang w:val="en-GB"/>
          </w:rPr>
          <w:t>2</w:t>
        </w:r>
        <w:r w:rsidR="00931285" w:rsidRPr="006720E4">
          <w:rPr>
            <w:rStyle w:val="Hyperlink"/>
            <w:rFonts w:ascii="Calibri" w:hAnsi="Calibri" w:cs="Calibri"/>
            <w:kern w:val="0"/>
            <w:szCs w:val="22"/>
            <w:lang w:val="en-GB"/>
          </w:rPr>
          <w:t>.5</w:t>
        </w:r>
      </w:hyperlink>
      <w:r w:rsidR="00931285" w:rsidRPr="006720E4">
        <w:rPr>
          <w:rFonts w:ascii="Calibri" w:hAnsi="Calibri" w:cs="Calibri"/>
          <w:kern w:val="0"/>
          <w:szCs w:val="22"/>
          <w:u w:color="0000FF"/>
          <w:lang w:val="en-GB"/>
        </w:rPr>
        <w:t>).</w:t>
      </w:r>
    </w:p>
    <w:p w14:paraId="51087BCB" w14:textId="0F8AEFFF" w:rsidR="0078520A" w:rsidRPr="00EA22AE" w:rsidRDefault="00EA22AE"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Eleven</w:t>
      </w:r>
      <w:r w:rsidR="0078520A" w:rsidRPr="006720E4">
        <w:rPr>
          <w:rFonts w:ascii="Calibri" w:hAnsi="Calibri" w:cs="Calibri"/>
          <w:kern w:val="0"/>
          <w:szCs w:val="22"/>
          <w:u w:color="0000FF"/>
          <w:lang w:val="en-GB"/>
        </w:rPr>
        <w:t xml:space="preserve"> principles derived from these values are</w:t>
      </w:r>
      <w:r w:rsidR="00DE1149" w:rsidRPr="006720E4">
        <w:rPr>
          <w:rFonts w:ascii="Calibri" w:hAnsi="Calibri" w:cs="Calibri"/>
          <w:kern w:val="0"/>
          <w:szCs w:val="22"/>
          <w:u w:color="0000FF"/>
          <w:lang w:val="en-GB"/>
        </w:rPr>
        <w:t xml:space="preserve"> listed below. </w:t>
      </w:r>
      <w:r w:rsidR="00DE1149" w:rsidRPr="006720E4">
        <w:rPr>
          <w:rFonts w:ascii="Calibri" w:hAnsi="Calibri" w:cs="Calibri"/>
          <w:szCs w:val="22"/>
        </w:rPr>
        <w:t>The</w:t>
      </w:r>
      <w:r>
        <w:rPr>
          <w:rFonts w:ascii="Calibri" w:hAnsi="Calibri" w:cs="Calibri"/>
          <w:szCs w:val="22"/>
        </w:rPr>
        <w:t xml:space="preserve"> </w:t>
      </w:r>
      <w:r w:rsidR="00DE1149" w:rsidRPr="006720E4">
        <w:rPr>
          <w:rFonts w:ascii="Calibri" w:hAnsi="Calibri" w:cs="Calibri"/>
          <w:szCs w:val="22"/>
        </w:rPr>
        <w:t>principles aim to support decision-making by all those involved in donation and transplantation activities, particularly health professionals and policy makers. Use of a standard ethical framework may help to ensure that decision-making is rigorous, consistent, transparent, and supported by the community. More than one principle may need to be considered in a specific situation.</w:t>
      </w:r>
    </w:p>
    <w:p w14:paraId="3CD3837F" w14:textId="1B684091" w:rsidR="00926595" w:rsidRPr="006720E4" w:rsidRDefault="00926595" w:rsidP="00C3783C">
      <w:pPr>
        <w:pStyle w:val="Guidelinesnormalparagraph"/>
        <w:numPr>
          <w:ilvl w:val="0"/>
          <w:numId w:val="130"/>
        </w:numPr>
        <w:rPr>
          <w:rFonts w:ascii="Calibri" w:hAnsi="Calibri" w:cs="Calibri"/>
          <w:kern w:val="0"/>
          <w:szCs w:val="22"/>
          <w:u w:color="0000FF"/>
          <w:lang w:val="en-GB"/>
        </w:rPr>
      </w:pPr>
      <w:r w:rsidRPr="006720E4">
        <w:rPr>
          <w:rFonts w:ascii="Calibri" w:hAnsi="Calibri" w:cs="Calibri"/>
          <w:b/>
          <w:bCs/>
          <w:kern w:val="0"/>
          <w:szCs w:val="22"/>
          <w:u w:color="0000FF"/>
          <w:lang w:val="en-GB"/>
        </w:rPr>
        <w:t>Principle 1</w:t>
      </w:r>
      <w:r w:rsidRPr="006720E4">
        <w:rPr>
          <w:rFonts w:ascii="Calibri" w:hAnsi="Calibri" w:cs="Calibri"/>
          <w:kern w:val="0"/>
          <w:szCs w:val="22"/>
          <w:u w:color="0000FF"/>
          <w:lang w:val="en-GB"/>
        </w:rPr>
        <w:t xml:space="preserve"> Decision-making about donation and transplantation should seek out and take account of expressed preferences of donors, recipients, their families and communities, and facilitate self-determin</w:t>
      </w:r>
      <w:r w:rsidRPr="00EA22AE">
        <w:rPr>
          <w:rFonts w:ascii="Calibri" w:hAnsi="Calibri" w:cs="Calibri"/>
          <w:kern w:val="0"/>
          <w:szCs w:val="22"/>
          <w:u w:color="0000FF"/>
          <w:lang w:val="en-GB"/>
        </w:rPr>
        <w:t>ation.</w:t>
      </w:r>
      <w:r w:rsidR="00FD182A" w:rsidRPr="00EA22AE">
        <w:rPr>
          <w:rFonts w:ascii="Calibri" w:hAnsi="Calibri" w:cs="Calibri"/>
          <w:kern w:val="0"/>
          <w:szCs w:val="22"/>
          <w:u w:color="0000FF"/>
          <w:lang w:val="en-GB"/>
        </w:rPr>
        <w:t xml:space="preserve"> (see </w:t>
      </w:r>
      <w:hyperlink w:anchor="_Principle_1._Decision-making" w:history="1">
        <w:r w:rsidR="007538E7" w:rsidRPr="007538E7">
          <w:rPr>
            <w:rStyle w:val="Hyperlink"/>
            <w:rFonts w:ascii="Calibri" w:hAnsi="Calibri" w:cs="Calibri"/>
            <w:kern w:val="0"/>
            <w:szCs w:val="22"/>
            <w:lang w:val="en-GB"/>
          </w:rPr>
          <w:t>Chapter 3.3.1</w:t>
        </w:r>
      </w:hyperlink>
      <w:r w:rsidR="00FD182A" w:rsidRPr="00EA22AE">
        <w:rPr>
          <w:rFonts w:ascii="Calibri" w:hAnsi="Calibri" w:cs="Calibri"/>
          <w:kern w:val="0"/>
          <w:szCs w:val="22"/>
          <w:u w:color="0000FF"/>
          <w:lang w:val="en-GB"/>
        </w:rPr>
        <w:t>).</w:t>
      </w:r>
    </w:p>
    <w:p w14:paraId="5567EDE0" w14:textId="4E8D0524" w:rsidR="00926595" w:rsidRPr="006720E4" w:rsidRDefault="00926595" w:rsidP="00C3783C">
      <w:pPr>
        <w:pStyle w:val="Guidelinesnormalparagraph"/>
        <w:numPr>
          <w:ilvl w:val="0"/>
          <w:numId w:val="130"/>
        </w:numPr>
        <w:rPr>
          <w:rFonts w:ascii="Calibri" w:hAnsi="Calibri" w:cs="Calibri"/>
          <w:kern w:val="0"/>
          <w:szCs w:val="22"/>
          <w:u w:color="0000FF"/>
          <w:lang w:val="en-GB"/>
        </w:rPr>
      </w:pPr>
      <w:r w:rsidRPr="006720E4">
        <w:rPr>
          <w:rFonts w:ascii="Calibri" w:hAnsi="Calibri" w:cs="Calibri"/>
          <w:b/>
          <w:bCs/>
          <w:kern w:val="0"/>
          <w:szCs w:val="22"/>
          <w:u w:color="0000FF"/>
          <w:lang w:val="en-GB"/>
        </w:rPr>
        <w:t>Principle 2</w:t>
      </w:r>
      <w:r w:rsidRPr="006720E4">
        <w:rPr>
          <w:rFonts w:ascii="Calibri" w:hAnsi="Calibri" w:cs="Calibri"/>
          <w:kern w:val="0"/>
          <w:szCs w:val="22"/>
          <w:u w:color="0000FF"/>
          <w:lang w:val="en-GB"/>
        </w:rPr>
        <w:t xml:space="preserve"> Decision-making about donation and transplantation should promote cultural safety, demonstrating cultural humility, critical reflection, and awareness of power dynamics.</w:t>
      </w:r>
      <w:r w:rsidR="00FD182A">
        <w:rPr>
          <w:rFonts w:ascii="Calibri" w:hAnsi="Calibri" w:cs="Calibri"/>
          <w:kern w:val="0"/>
          <w:szCs w:val="22"/>
          <w:u w:color="0000FF"/>
          <w:lang w:val="en-GB"/>
        </w:rPr>
        <w:t xml:space="preserve"> (</w:t>
      </w:r>
      <w:r w:rsidR="00FD182A" w:rsidRPr="00EA22AE">
        <w:rPr>
          <w:rFonts w:ascii="Calibri" w:hAnsi="Calibri" w:cs="Calibri"/>
          <w:kern w:val="0"/>
          <w:szCs w:val="22"/>
          <w:u w:color="0000FF"/>
          <w:lang w:val="en-GB"/>
        </w:rPr>
        <w:t xml:space="preserve">see </w:t>
      </w:r>
      <w:hyperlink w:anchor="_Cultural_safety" w:history="1">
        <w:r w:rsidR="00FD182A" w:rsidRPr="00EA22AE">
          <w:rPr>
            <w:rStyle w:val="Hyperlink"/>
            <w:rFonts w:ascii="Calibri" w:hAnsi="Calibri" w:cs="Calibri"/>
            <w:kern w:val="0"/>
            <w:szCs w:val="22"/>
            <w:lang w:val="en-GB"/>
          </w:rPr>
          <w:t>Chapter 3.</w:t>
        </w:r>
        <w:r w:rsidR="007538E7">
          <w:rPr>
            <w:rStyle w:val="Hyperlink"/>
            <w:rFonts w:ascii="Calibri" w:hAnsi="Calibri" w:cs="Calibri"/>
            <w:kern w:val="0"/>
            <w:szCs w:val="22"/>
            <w:lang w:val="en-GB"/>
          </w:rPr>
          <w:t>3</w:t>
        </w:r>
        <w:r w:rsidR="00EA22AE" w:rsidRPr="00EA22AE">
          <w:rPr>
            <w:rStyle w:val="Hyperlink"/>
            <w:rFonts w:ascii="Calibri" w:hAnsi="Calibri" w:cs="Calibri"/>
            <w:kern w:val="0"/>
            <w:szCs w:val="22"/>
            <w:lang w:val="en-GB"/>
          </w:rPr>
          <w:t>.2</w:t>
        </w:r>
      </w:hyperlink>
      <w:r w:rsidR="00FD182A" w:rsidRPr="00EA22AE">
        <w:rPr>
          <w:rFonts w:ascii="Calibri" w:hAnsi="Calibri" w:cs="Calibri"/>
          <w:kern w:val="0"/>
          <w:szCs w:val="22"/>
          <w:u w:color="0000FF"/>
          <w:lang w:val="en-GB"/>
        </w:rPr>
        <w:t>)</w:t>
      </w:r>
    </w:p>
    <w:p w14:paraId="2631DE39" w14:textId="46172EBE" w:rsidR="00926595" w:rsidRPr="00EA22AE"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kern w:val="0"/>
          <w:szCs w:val="22"/>
          <w:u w:color="0000FF"/>
          <w:lang w:val="en-GB"/>
        </w:rPr>
        <w:t xml:space="preserve">Principle 3 </w:t>
      </w:r>
      <w:r w:rsidRPr="006720E4">
        <w:rPr>
          <w:rFonts w:ascii="Calibri" w:hAnsi="Calibri" w:cs="Calibri"/>
          <w:kern w:val="0"/>
          <w:szCs w:val="22"/>
          <w:u w:color="0000FF"/>
          <w:lang w:val="en-GB"/>
        </w:rPr>
        <w:t>Decision-making about donation and transplantation should be free from bias or discrimination based on clinically irrelevant factors such as, for example, disability, cultural identity, social or economic circumstances.</w:t>
      </w:r>
      <w:r w:rsidR="00412EFF" w:rsidRPr="006720E4">
        <w:rPr>
          <w:rFonts w:ascii="Calibri" w:hAnsi="Calibri" w:cs="Calibri"/>
          <w:kern w:val="0"/>
          <w:szCs w:val="22"/>
          <w:u w:color="0000FF"/>
          <w:lang w:val="en-GB"/>
        </w:rPr>
        <w:t xml:space="preserve"> (see </w:t>
      </w:r>
      <w:hyperlink w:anchor="_Principle_3._Decision-making" w:history="1">
        <w:r w:rsidR="00412EFF" w:rsidRPr="006720E4">
          <w:rPr>
            <w:rStyle w:val="Hyperlink"/>
            <w:rFonts w:ascii="Calibri" w:hAnsi="Calibri" w:cs="Calibri"/>
            <w:kern w:val="0"/>
            <w:szCs w:val="22"/>
            <w:lang w:val="en-GB"/>
          </w:rPr>
          <w:t>Chapter 3.3.3</w:t>
        </w:r>
      </w:hyperlink>
      <w:r w:rsidR="001C292C">
        <w:rPr>
          <w:rFonts w:ascii="Calibri" w:hAnsi="Calibri" w:cs="Calibri"/>
          <w:kern w:val="0"/>
          <w:szCs w:val="22"/>
          <w:u w:color="0000FF"/>
          <w:lang w:val="en-GB"/>
        </w:rPr>
        <w:t>)</w:t>
      </w:r>
    </w:p>
    <w:p w14:paraId="7F5D9956" w14:textId="25E3B590" w:rsidR="00926595" w:rsidRPr="00EA22AE"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kern w:val="0"/>
          <w:szCs w:val="22"/>
          <w:u w:color="0000FF"/>
          <w:lang w:val="en-GB"/>
        </w:rPr>
        <w:t>Principle 4</w:t>
      </w:r>
      <w:r w:rsidRPr="006720E4">
        <w:rPr>
          <w:rFonts w:ascii="Calibri" w:hAnsi="Calibri" w:cs="Calibri"/>
          <w:kern w:val="0"/>
          <w:szCs w:val="22"/>
          <w:u w:color="0000FF"/>
          <w:lang w:val="en-GB"/>
        </w:rPr>
        <w:t xml:space="preserve"> In donation and transplantation activities, potential conflicts of interest should be avoided and where unavoidable, should be appropriately managed.</w:t>
      </w:r>
      <w:r w:rsidR="00176412" w:rsidRPr="006720E4">
        <w:rPr>
          <w:rFonts w:ascii="Calibri" w:hAnsi="Calibri" w:cs="Calibri"/>
          <w:kern w:val="0"/>
          <w:szCs w:val="22"/>
          <w:u w:color="0000FF"/>
          <w:lang w:val="en-GB"/>
        </w:rPr>
        <w:t xml:space="preserve"> (see </w:t>
      </w:r>
      <w:hyperlink w:anchor="_Principle_4._In" w:history="1">
        <w:r w:rsidR="00176412" w:rsidRPr="006720E4">
          <w:rPr>
            <w:rStyle w:val="Hyperlink"/>
            <w:rFonts w:ascii="Calibri" w:hAnsi="Calibri" w:cs="Calibri"/>
            <w:kern w:val="0"/>
            <w:szCs w:val="22"/>
            <w:lang w:val="en-GB"/>
          </w:rPr>
          <w:t>Chapter 3.3.4</w:t>
        </w:r>
      </w:hyperlink>
      <w:r w:rsidR="00176412" w:rsidRPr="006720E4">
        <w:rPr>
          <w:rFonts w:ascii="Calibri" w:hAnsi="Calibri" w:cs="Calibri"/>
          <w:kern w:val="0"/>
          <w:szCs w:val="22"/>
          <w:u w:color="0000FF"/>
          <w:lang w:val="en-GB"/>
        </w:rPr>
        <w:t>)</w:t>
      </w:r>
    </w:p>
    <w:p w14:paraId="235EDE6F" w14:textId="3A070B05" w:rsidR="00926595" w:rsidRPr="00EA22AE"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kern w:val="0"/>
          <w:szCs w:val="22"/>
          <w:u w:color="0000FF"/>
          <w:lang w:val="en-GB"/>
        </w:rPr>
        <w:t>Principle 5</w:t>
      </w:r>
      <w:r w:rsidRPr="006720E4">
        <w:rPr>
          <w:rFonts w:ascii="Calibri" w:hAnsi="Calibri" w:cs="Calibri"/>
          <w:kern w:val="0"/>
          <w:szCs w:val="22"/>
          <w:u w:color="0000FF"/>
          <w:lang w:val="en-GB"/>
        </w:rPr>
        <w:t xml:space="preserve"> Donation and transplantation activities and associated decision-making should be transparent and open to scrutiny.</w:t>
      </w:r>
      <w:r w:rsidR="001C292C">
        <w:rPr>
          <w:rFonts w:ascii="Calibri" w:hAnsi="Calibri" w:cs="Calibri"/>
          <w:kern w:val="0"/>
          <w:szCs w:val="22"/>
          <w:u w:color="0000FF"/>
          <w:lang w:val="en-GB"/>
        </w:rPr>
        <w:t xml:space="preserve"> (</w:t>
      </w:r>
      <w:r w:rsidR="007538E7">
        <w:rPr>
          <w:rFonts w:ascii="Calibri" w:hAnsi="Calibri" w:cs="Calibri"/>
          <w:kern w:val="0"/>
          <w:szCs w:val="22"/>
          <w:u w:color="0000FF"/>
          <w:lang w:val="en-GB"/>
        </w:rPr>
        <w:t>S</w:t>
      </w:r>
      <w:r w:rsidR="001C292C">
        <w:rPr>
          <w:rFonts w:ascii="Calibri" w:hAnsi="Calibri" w:cs="Calibri"/>
          <w:kern w:val="0"/>
          <w:szCs w:val="22"/>
          <w:u w:color="0000FF"/>
          <w:lang w:val="en-GB"/>
        </w:rPr>
        <w:t xml:space="preserve">ee </w:t>
      </w:r>
      <w:hyperlink w:anchor="_Principle_5._Donation_1" w:history="1">
        <w:r w:rsidR="001C292C" w:rsidRPr="001C292C">
          <w:rPr>
            <w:rStyle w:val="Hyperlink"/>
            <w:rFonts w:ascii="Calibri" w:hAnsi="Calibri" w:cs="Calibri"/>
            <w:kern w:val="0"/>
            <w:szCs w:val="22"/>
            <w:lang w:val="en-GB"/>
          </w:rPr>
          <w:t>Chapter 3.3.5</w:t>
        </w:r>
      </w:hyperlink>
      <w:r w:rsidR="001C292C">
        <w:rPr>
          <w:rFonts w:ascii="Calibri" w:hAnsi="Calibri" w:cs="Calibri"/>
          <w:kern w:val="0"/>
          <w:szCs w:val="22"/>
          <w:u w:color="0000FF"/>
          <w:lang w:val="en-GB"/>
        </w:rPr>
        <w:t>)</w:t>
      </w:r>
    </w:p>
    <w:p w14:paraId="1571291F" w14:textId="4B2240C2" w:rsidR="00926595" w:rsidRPr="00EA22AE"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kern w:val="0"/>
          <w:szCs w:val="22"/>
          <w:u w:color="0000FF"/>
          <w:lang w:val="en-GB"/>
        </w:rPr>
        <w:t>Principle 6</w:t>
      </w:r>
      <w:r w:rsidRPr="006720E4">
        <w:rPr>
          <w:rFonts w:ascii="Calibri" w:hAnsi="Calibri" w:cs="Calibri"/>
          <w:kern w:val="0"/>
          <w:szCs w:val="22"/>
          <w:u w:color="0000FF"/>
          <w:lang w:val="en-GB"/>
        </w:rPr>
        <w:t xml:space="preserve"> Donation and transplantation activities and associated decision-making should protect the privacy of individuals and their families and the confidentiality of information related to donation and transplantation </w:t>
      </w:r>
      <w:r w:rsidRPr="00FD182A">
        <w:rPr>
          <w:rFonts w:ascii="Calibri" w:hAnsi="Calibri" w:cs="Calibri"/>
          <w:kern w:val="0"/>
          <w:szCs w:val="22"/>
          <w:u w:color="0000FF"/>
          <w:lang w:val="en-GB"/>
        </w:rPr>
        <w:t>activities.</w:t>
      </w:r>
      <w:r w:rsidR="00456907" w:rsidRPr="00FD182A">
        <w:rPr>
          <w:rFonts w:ascii="Calibri" w:hAnsi="Calibri" w:cs="Calibri"/>
          <w:kern w:val="0"/>
          <w:szCs w:val="22"/>
          <w:u w:color="0000FF"/>
          <w:lang w:val="en-GB"/>
        </w:rPr>
        <w:t xml:space="preserve"> (</w:t>
      </w:r>
      <w:r w:rsidR="007538E7">
        <w:rPr>
          <w:rFonts w:ascii="Calibri" w:hAnsi="Calibri" w:cs="Calibri"/>
          <w:kern w:val="0"/>
          <w:szCs w:val="22"/>
          <w:u w:color="0000FF"/>
          <w:lang w:val="en-GB"/>
        </w:rPr>
        <w:t>S</w:t>
      </w:r>
      <w:r w:rsidR="00456907" w:rsidRPr="00FD182A">
        <w:rPr>
          <w:rFonts w:ascii="Calibri" w:hAnsi="Calibri" w:cs="Calibri"/>
          <w:kern w:val="0"/>
          <w:szCs w:val="22"/>
          <w:u w:color="0000FF"/>
          <w:lang w:val="en-GB"/>
        </w:rPr>
        <w:t>ee</w:t>
      </w:r>
      <w:r w:rsidR="007538E7">
        <w:rPr>
          <w:rFonts w:ascii="Calibri" w:hAnsi="Calibri" w:cs="Calibri"/>
          <w:kern w:val="0"/>
          <w:szCs w:val="22"/>
          <w:u w:color="0000FF"/>
          <w:lang w:val="en-GB"/>
        </w:rPr>
        <w:t xml:space="preserve"> </w:t>
      </w:r>
      <w:hyperlink w:anchor="_Principle_6._Donation_1" w:history="1">
        <w:r w:rsidR="007538E7" w:rsidRPr="007538E7">
          <w:rPr>
            <w:rStyle w:val="Hyperlink"/>
            <w:rFonts w:ascii="Calibri" w:hAnsi="Calibri" w:cs="Calibri"/>
            <w:kern w:val="0"/>
            <w:szCs w:val="22"/>
            <w:lang w:val="en-GB"/>
          </w:rPr>
          <w:t>Chapter 3.3.6</w:t>
        </w:r>
      </w:hyperlink>
      <w:r w:rsidR="00456907" w:rsidRPr="00FD182A">
        <w:rPr>
          <w:rFonts w:ascii="Calibri" w:hAnsi="Calibri" w:cs="Calibri"/>
          <w:kern w:val="0"/>
          <w:szCs w:val="22"/>
          <w:u w:color="0000FF"/>
          <w:lang w:val="en-GB"/>
        </w:rPr>
        <w:t>)</w:t>
      </w:r>
    </w:p>
    <w:p w14:paraId="011E1B43" w14:textId="450FFD1E" w:rsidR="00926595" w:rsidRPr="00041D69"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kern w:val="0"/>
          <w:szCs w:val="22"/>
          <w:u w:color="0000FF"/>
          <w:lang w:val="en-GB"/>
        </w:rPr>
        <w:t>Principle 7</w:t>
      </w:r>
      <w:r w:rsidRPr="006720E4">
        <w:rPr>
          <w:rFonts w:ascii="Calibri" w:hAnsi="Calibri" w:cs="Calibri"/>
          <w:kern w:val="0"/>
          <w:szCs w:val="22"/>
          <w:u w:color="0000FF"/>
          <w:lang w:val="en-GB"/>
        </w:rPr>
        <w:t xml:space="preserve"> Donation and transplantation activities should provide benefit and minimise burden and risk of harm: where burdens or risks are unavoidable, they should be proportionate to the benefits that are </w:t>
      </w:r>
      <w:r w:rsidRPr="00041D69">
        <w:rPr>
          <w:rFonts w:ascii="Calibri" w:hAnsi="Calibri" w:cs="Calibri"/>
          <w:kern w:val="0"/>
          <w:szCs w:val="22"/>
          <w:u w:color="0000FF"/>
          <w:lang w:val="en-GB"/>
        </w:rPr>
        <w:t>anticipated.</w:t>
      </w:r>
      <w:r w:rsidR="00456907" w:rsidRPr="00041D69">
        <w:rPr>
          <w:rFonts w:ascii="Calibri" w:hAnsi="Calibri" w:cs="Calibri"/>
          <w:kern w:val="0"/>
          <w:szCs w:val="22"/>
          <w:u w:color="0000FF"/>
          <w:lang w:val="en-GB"/>
        </w:rPr>
        <w:t xml:space="preserve"> (</w:t>
      </w:r>
      <w:r w:rsidR="007538E7">
        <w:rPr>
          <w:rFonts w:ascii="Calibri" w:hAnsi="Calibri" w:cs="Calibri"/>
          <w:kern w:val="0"/>
          <w:szCs w:val="22"/>
          <w:u w:color="0000FF"/>
          <w:lang w:val="en-GB"/>
        </w:rPr>
        <w:t xml:space="preserve">See </w:t>
      </w:r>
      <w:hyperlink w:anchor="_Principle_7_-" w:history="1">
        <w:r w:rsidR="007538E7" w:rsidRPr="007538E7">
          <w:rPr>
            <w:rStyle w:val="Hyperlink"/>
            <w:rFonts w:ascii="Calibri" w:hAnsi="Calibri" w:cs="Calibri"/>
            <w:kern w:val="0"/>
            <w:szCs w:val="22"/>
            <w:lang w:val="en-GB"/>
          </w:rPr>
          <w:t>Chapter 3.3.7</w:t>
        </w:r>
      </w:hyperlink>
      <w:r w:rsidR="00456907" w:rsidRPr="00041D69">
        <w:rPr>
          <w:rFonts w:ascii="Calibri" w:hAnsi="Calibri" w:cs="Calibri"/>
          <w:kern w:val="0"/>
          <w:szCs w:val="22"/>
          <w:u w:color="0000FF"/>
          <w:lang w:val="en-GB"/>
        </w:rPr>
        <w:t>)</w:t>
      </w:r>
    </w:p>
    <w:p w14:paraId="54255890" w14:textId="22C3530F" w:rsidR="00926595" w:rsidRPr="00041D69"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kern w:val="0"/>
          <w:szCs w:val="22"/>
          <w:u w:color="0000FF"/>
          <w:lang w:val="en-GB"/>
        </w:rPr>
        <w:t>Principle 8</w:t>
      </w:r>
      <w:r w:rsidRPr="006720E4">
        <w:rPr>
          <w:rFonts w:ascii="Calibri" w:hAnsi="Calibri" w:cs="Calibri"/>
          <w:kern w:val="0"/>
          <w:szCs w:val="22"/>
          <w:u w:color="0000FF"/>
          <w:lang w:val="en-GB"/>
        </w:rPr>
        <w:t xml:space="preserve"> Donation and transplantation activities should promote equity in the distribution of and access to donation and transplantation of organs and tissues.</w:t>
      </w:r>
      <w:r w:rsidR="00456907">
        <w:rPr>
          <w:rFonts w:ascii="Calibri" w:hAnsi="Calibri" w:cs="Calibri"/>
          <w:kern w:val="0"/>
          <w:szCs w:val="22"/>
          <w:u w:color="0000FF"/>
          <w:lang w:val="en-GB"/>
        </w:rPr>
        <w:t xml:space="preserve"> (</w:t>
      </w:r>
      <w:r w:rsidR="007538E7">
        <w:rPr>
          <w:rFonts w:ascii="Calibri" w:hAnsi="Calibri" w:cs="Calibri"/>
          <w:kern w:val="0"/>
          <w:szCs w:val="22"/>
          <w:u w:color="0000FF"/>
          <w:lang w:val="en-GB"/>
        </w:rPr>
        <w:t>S</w:t>
      </w:r>
      <w:r w:rsidR="00456907">
        <w:rPr>
          <w:rFonts w:ascii="Calibri" w:hAnsi="Calibri" w:cs="Calibri"/>
          <w:kern w:val="0"/>
          <w:szCs w:val="22"/>
          <w:u w:color="0000FF"/>
          <w:lang w:val="en-GB"/>
        </w:rPr>
        <w:t xml:space="preserve">ee </w:t>
      </w:r>
      <w:hyperlink w:anchor="_Principle_8._Donation" w:history="1">
        <w:r w:rsidR="007538E7" w:rsidRPr="007538E7">
          <w:rPr>
            <w:rStyle w:val="Hyperlink"/>
            <w:rFonts w:ascii="Calibri" w:hAnsi="Calibri" w:cs="Calibri"/>
            <w:kern w:val="0"/>
            <w:szCs w:val="22"/>
            <w:lang w:val="en-GB"/>
          </w:rPr>
          <w:t>Chapter 3.3.8</w:t>
        </w:r>
      </w:hyperlink>
      <w:r w:rsidR="00456907">
        <w:rPr>
          <w:rFonts w:ascii="Calibri" w:hAnsi="Calibri" w:cs="Calibri"/>
          <w:kern w:val="0"/>
          <w:szCs w:val="22"/>
          <w:u w:color="0000FF"/>
          <w:lang w:val="en-GB"/>
        </w:rPr>
        <w:t>).</w:t>
      </w:r>
    </w:p>
    <w:p w14:paraId="7C162090" w14:textId="3340FAB1" w:rsidR="00926595" w:rsidRPr="001C292C"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kern w:val="0"/>
          <w:szCs w:val="22"/>
          <w:u w:color="0000FF"/>
          <w:lang w:val="en-GB"/>
        </w:rPr>
        <w:t>Principle 9</w:t>
      </w:r>
      <w:r w:rsidRPr="006720E4">
        <w:rPr>
          <w:rFonts w:ascii="Calibri" w:hAnsi="Calibri" w:cs="Calibri"/>
          <w:kern w:val="0"/>
          <w:szCs w:val="22"/>
          <w:u w:color="0000FF"/>
          <w:lang w:val="en-GB"/>
        </w:rPr>
        <w:t xml:space="preserve"> Donation and transplantation activities should foster solidarity, efficiency, and sustainability, and support progress towards self-sufficiency with regional and international collaboration where </w:t>
      </w:r>
      <w:r w:rsidRPr="00041D69">
        <w:rPr>
          <w:rFonts w:ascii="Calibri" w:hAnsi="Calibri" w:cs="Calibri"/>
          <w:kern w:val="0"/>
          <w:szCs w:val="22"/>
          <w:u w:color="0000FF"/>
          <w:lang w:val="en-GB"/>
        </w:rPr>
        <w:t>necessary.</w:t>
      </w:r>
      <w:r w:rsidR="00456907" w:rsidRPr="00041D69">
        <w:rPr>
          <w:rFonts w:ascii="Calibri" w:hAnsi="Calibri" w:cs="Calibri"/>
          <w:kern w:val="0"/>
          <w:szCs w:val="22"/>
          <w:u w:color="0000FF"/>
          <w:lang w:val="en-GB"/>
        </w:rPr>
        <w:t xml:space="preserve"> (</w:t>
      </w:r>
      <w:r w:rsidR="007538E7">
        <w:rPr>
          <w:rFonts w:ascii="Calibri" w:hAnsi="Calibri" w:cs="Calibri"/>
          <w:kern w:val="0"/>
          <w:szCs w:val="22"/>
          <w:u w:color="0000FF"/>
          <w:lang w:val="en-GB"/>
        </w:rPr>
        <w:t xml:space="preserve">See </w:t>
      </w:r>
      <w:hyperlink w:anchor="_Principle_9._Donation" w:history="1">
        <w:r w:rsidR="007538E7" w:rsidRPr="007538E7">
          <w:rPr>
            <w:rStyle w:val="Hyperlink"/>
            <w:rFonts w:ascii="Calibri" w:hAnsi="Calibri" w:cs="Calibri"/>
            <w:kern w:val="0"/>
            <w:szCs w:val="22"/>
            <w:lang w:val="en-GB"/>
          </w:rPr>
          <w:t>Chapter 3.3.9</w:t>
        </w:r>
      </w:hyperlink>
      <w:r w:rsidR="007538E7">
        <w:rPr>
          <w:rFonts w:ascii="Calibri" w:hAnsi="Calibri" w:cs="Calibri"/>
          <w:kern w:val="0"/>
          <w:szCs w:val="22"/>
          <w:u w:color="0000FF"/>
          <w:lang w:val="en-GB"/>
        </w:rPr>
        <w:t>).</w:t>
      </w:r>
    </w:p>
    <w:p w14:paraId="043586D4" w14:textId="6B1CFA95" w:rsidR="00926595" w:rsidRPr="001C292C"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kern w:val="0"/>
          <w:szCs w:val="22"/>
          <w:u w:color="0000FF"/>
          <w:lang w:val="en-GB"/>
        </w:rPr>
        <w:t>Principle 10</w:t>
      </w:r>
      <w:r w:rsidRPr="006720E4">
        <w:rPr>
          <w:rFonts w:ascii="Calibri" w:hAnsi="Calibri" w:cs="Calibri"/>
          <w:kern w:val="0"/>
          <w:szCs w:val="22"/>
          <w:u w:color="0000FF"/>
          <w:lang w:val="en-GB"/>
        </w:rPr>
        <w:t xml:space="preserve"> Human organs, tissues and cells should not be treated as ordinary commodities that can be sold or exchanged for profit: any profits arising the removal, processing, distribution, storage, transfer or use of donated cells, tissues or organs should be used to enhance quality, safety, sustainability, and equity in healthcare for all.</w:t>
      </w:r>
      <w:r w:rsidR="00456907">
        <w:rPr>
          <w:rFonts w:ascii="Calibri" w:hAnsi="Calibri" w:cs="Calibri"/>
          <w:kern w:val="0"/>
          <w:szCs w:val="22"/>
          <w:u w:color="0000FF"/>
          <w:lang w:val="en-GB"/>
        </w:rPr>
        <w:t xml:space="preserve"> (</w:t>
      </w:r>
      <w:r w:rsidR="007538E7">
        <w:rPr>
          <w:rFonts w:ascii="Calibri" w:hAnsi="Calibri" w:cs="Calibri"/>
          <w:kern w:val="0"/>
          <w:szCs w:val="22"/>
          <w:u w:color="0000FF"/>
          <w:lang w:val="en-GB"/>
        </w:rPr>
        <w:t>S</w:t>
      </w:r>
      <w:r w:rsidR="00456907">
        <w:rPr>
          <w:rFonts w:ascii="Calibri" w:hAnsi="Calibri" w:cs="Calibri"/>
          <w:kern w:val="0"/>
          <w:szCs w:val="22"/>
          <w:u w:color="0000FF"/>
          <w:lang w:val="en-GB"/>
        </w:rPr>
        <w:t xml:space="preserve">ee </w:t>
      </w:r>
      <w:hyperlink w:anchor="Principle 10. Human organs, tissues and cells should not be treated as ordinary commodities that can be sold or exchanged for profit: any profits arising the removal, processing, distribution, storage, transfer or use of donated cells, tissues or organs s" w:history="1">
        <w:r w:rsidR="00456907" w:rsidRPr="00456907">
          <w:rPr>
            <w:rStyle w:val="Hyperlink"/>
            <w:rFonts w:ascii="Calibri" w:hAnsi="Calibri" w:cs="Calibri"/>
            <w:kern w:val="0"/>
            <w:szCs w:val="22"/>
            <w:lang w:val="en-GB"/>
          </w:rPr>
          <w:t>Chapter 3.3.10</w:t>
        </w:r>
      </w:hyperlink>
      <w:r w:rsidR="00456907">
        <w:rPr>
          <w:rFonts w:ascii="Calibri" w:hAnsi="Calibri" w:cs="Calibri"/>
          <w:kern w:val="0"/>
          <w:szCs w:val="22"/>
          <w:u w:color="0000FF"/>
          <w:lang w:val="en-GB"/>
        </w:rPr>
        <w:t>)</w:t>
      </w:r>
    </w:p>
    <w:p w14:paraId="5BB1E4EF" w14:textId="0AE53B3D" w:rsidR="006C6EBA" w:rsidRPr="006824A7" w:rsidRDefault="00926595" w:rsidP="00C3783C">
      <w:pPr>
        <w:pStyle w:val="Guidelinesnormalparagraph"/>
        <w:numPr>
          <w:ilvl w:val="0"/>
          <w:numId w:val="130"/>
        </w:numPr>
        <w:rPr>
          <w:rFonts w:ascii="Calibri" w:hAnsi="Calibri" w:cs="Calibri"/>
          <w:b/>
          <w:bCs/>
          <w:kern w:val="0"/>
          <w:szCs w:val="22"/>
          <w:u w:color="0000FF"/>
          <w:lang w:val="en-GB"/>
        </w:rPr>
      </w:pPr>
      <w:r w:rsidRPr="006720E4">
        <w:rPr>
          <w:rFonts w:ascii="Calibri" w:hAnsi="Calibri" w:cs="Calibri"/>
          <w:b/>
          <w:bCs/>
          <w:szCs w:val="22"/>
        </w:rPr>
        <w:t>Principle 11</w:t>
      </w:r>
      <w:r w:rsidRPr="006720E4">
        <w:rPr>
          <w:rFonts w:ascii="Calibri" w:hAnsi="Calibri" w:cs="Calibri"/>
          <w:szCs w:val="22"/>
        </w:rPr>
        <w:t xml:space="preserve"> </w:t>
      </w:r>
      <w:r w:rsidRPr="006720E4">
        <w:rPr>
          <w:rFonts w:ascii="Calibri" w:hAnsi="Calibri" w:cs="Calibri"/>
          <w:kern w:val="0"/>
          <w:szCs w:val="22"/>
          <w:u w:color="0000FF"/>
          <w:lang w:val="en-GB"/>
        </w:rPr>
        <w:t xml:space="preserve">Decision-making about donation and transplantation should be free from coercion, exploitation or financial incentives; this should not preclude coverage of costs associated with donation or </w:t>
      </w:r>
      <w:r w:rsidRPr="006824A7">
        <w:rPr>
          <w:rFonts w:ascii="Calibri" w:hAnsi="Calibri" w:cs="Calibri"/>
          <w:kern w:val="0"/>
          <w:szCs w:val="22"/>
          <w:u w:color="0000FF"/>
          <w:lang w:val="en-GB"/>
        </w:rPr>
        <w:t>transplantation.</w:t>
      </w:r>
      <w:r w:rsidR="00456907" w:rsidRPr="006824A7">
        <w:rPr>
          <w:rFonts w:ascii="Calibri" w:hAnsi="Calibri" w:cs="Calibri"/>
          <w:kern w:val="0"/>
          <w:szCs w:val="22"/>
          <w:u w:color="0000FF"/>
          <w:lang w:val="en-GB"/>
        </w:rPr>
        <w:t xml:space="preserve"> (</w:t>
      </w:r>
      <w:r w:rsidR="007538E7">
        <w:rPr>
          <w:rFonts w:ascii="Calibri" w:hAnsi="Calibri" w:cs="Calibri"/>
          <w:kern w:val="0"/>
          <w:szCs w:val="22"/>
          <w:u w:color="0000FF"/>
          <w:lang w:val="en-GB"/>
        </w:rPr>
        <w:t>S</w:t>
      </w:r>
      <w:r w:rsidR="00456907" w:rsidRPr="006824A7">
        <w:rPr>
          <w:rFonts w:ascii="Calibri" w:hAnsi="Calibri" w:cs="Calibri"/>
          <w:kern w:val="0"/>
          <w:szCs w:val="22"/>
          <w:u w:color="0000FF"/>
          <w:lang w:val="en-GB"/>
        </w:rPr>
        <w:t xml:space="preserve">ee </w:t>
      </w:r>
      <w:hyperlink w:anchor="_Principle_11._Decision-making" w:history="1">
        <w:r w:rsidR="00456907" w:rsidRPr="006824A7">
          <w:rPr>
            <w:rStyle w:val="Hyperlink"/>
            <w:rFonts w:ascii="Calibri" w:hAnsi="Calibri" w:cs="Calibri"/>
            <w:kern w:val="0"/>
            <w:szCs w:val="22"/>
            <w:lang w:val="en-GB"/>
          </w:rPr>
          <w:t xml:space="preserve">Chapter </w:t>
        </w:r>
        <w:r w:rsidR="006824A7" w:rsidRPr="006824A7">
          <w:rPr>
            <w:rStyle w:val="Hyperlink"/>
            <w:rFonts w:ascii="Calibri" w:hAnsi="Calibri" w:cs="Calibri"/>
            <w:kern w:val="0"/>
            <w:szCs w:val="22"/>
            <w:lang w:val="en-GB"/>
          </w:rPr>
          <w:t>3.3.</w:t>
        </w:r>
        <w:r w:rsidR="00456907" w:rsidRPr="006824A7">
          <w:rPr>
            <w:rStyle w:val="Hyperlink"/>
            <w:rFonts w:ascii="Calibri" w:hAnsi="Calibri" w:cs="Calibri"/>
            <w:kern w:val="0"/>
            <w:szCs w:val="22"/>
            <w:lang w:val="en-GB"/>
          </w:rPr>
          <w:t>1</w:t>
        </w:r>
        <w:r w:rsidR="006824A7" w:rsidRPr="006824A7">
          <w:rPr>
            <w:rStyle w:val="Hyperlink"/>
            <w:rFonts w:ascii="Calibri" w:hAnsi="Calibri" w:cs="Calibri"/>
            <w:kern w:val="0"/>
            <w:szCs w:val="22"/>
            <w:lang w:val="en-GB"/>
          </w:rPr>
          <w:t>1</w:t>
        </w:r>
      </w:hyperlink>
      <w:r w:rsidR="00456907" w:rsidRPr="006824A7">
        <w:rPr>
          <w:rFonts w:ascii="Calibri" w:hAnsi="Calibri" w:cs="Calibri"/>
          <w:kern w:val="0"/>
          <w:szCs w:val="22"/>
          <w:u w:color="0000FF"/>
          <w:lang w:val="en-GB"/>
        </w:rPr>
        <w:t>)</w:t>
      </w:r>
    </w:p>
    <w:p w14:paraId="6B609B29" w14:textId="3EDAA952" w:rsidR="00E7541E" w:rsidRPr="006720E4" w:rsidRDefault="00E7541E" w:rsidP="00EA22AE">
      <w:pPr>
        <w:pStyle w:val="Heading2"/>
        <w:spacing w:after="120"/>
      </w:pPr>
      <w:bookmarkStart w:id="408" w:name="_Principle_1._Respect"/>
      <w:bookmarkStart w:id="409" w:name="_Respect_for_the"/>
      <w:bookmarkStart w:id="410" w:name="_Toc135131433"/>
      <w:bookmarkStart w:id="411" w:name="_Toc70241717"/>
      <w:bookmarkStart w:id="412" w:name="_Toc70243351"/>
      <w:bookmarkStart w:id="413" w:name="_Toc70414787"/>
      <w:bookmarkStart w:id="414" w:name="_Toc70844116"/>
      <w:bookmarkStart w:id="415" w:name="_Toc72615048"/>
      <w:bookmarkStart w:id="416" w:name="_Toc73129767"/>
      <w:bookmarkStart w:id="417" w:name="_Toc73301636"/>
      <w:bookmarkStart w:id="418" w:name="_Toc73302142"/>
      <w:bookmarkStart w:id="419" w:name="_Toc73303275"/>
      <w:bookmarkStart w:id="420" w:name="_Toc73303536"/>
      <w:bookmarkStart w:id="421" w:name="_Toc74080653"/>
      <w:bookmarkStart w:id="422" w:name="_Toc74080961"/>
      <w:bookmarkStart w:id="423" w:name="_Toc74081191"/>
      <w:bookmarkStart w:id="424" w:name="_Toc74081420"/>
      <w:bookmarkStart w:id="425" w:name="_Toc74171022"/>
      <w:bookmarkStart w:id="426" w:name="_Toc74172197"/>
      <w:bookmarkStart w:id="427" w:name="_Toc74172733"/>
      <w:bookmarkStart w:id="428" w:name="_Toc74238696"/>
      <w:bookmarkStart w:id="429" w:name="_Toc79406312"/>
      <w:bookmarkStart w:id="430" w:name="_Toc82773475"/>
      <w:bookmarkStart w:id="431" w:name="_Toc82773828"/>
      <w:bookmarkStart w:id="432" w:name="_Ref134364744"/>
      <w:bookmarkEnd w:id="408"/>
      <w:bookmarkEnd w:id="409"/>
      <w:r w:rsidRPr="006720E4">
        <w:lastRenderedPageBreak/>
        <w:t>Values underpinning donation and transplantation activities</w:t>
      </w:r>
      <w:bookmarkEnd w:id="410"/>
    </w:p>
    <w:p w14:paraId="52A89524" w14:textId="4E494172" w:rsidR="006C6EBA" w:rsidRPr="006720E4" w:rsidRDefault="00931285" w:rsidP="00EA22AE">
      <w:pPr>
        <w:pStyle w:val="Heading3"/>
        <w:spacing w:after="120"/>
      </w:pPr>
      <w:bookmarkStart w:id="433" w:name="_Respect_for_the_1"/>
      <w:bookmarkEnd w:id="433"/>
      <w:r w:rsidRPr="006720E4">
        <w:rPr>
          <w:szCs w:val="22"/>
          <w:u w:color="0000FF"/>
          <w:lang w:val="en-GB"/>
        </w:rPr>
        <w:t>Respect for the dignity and autonomy of donors, recipients, and their families and communities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86E6AA2" w14:textId="2147BF6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Dignity refers to the inherent and equal value of individual human beings. Recognizing and respecting this value in others is the foundation for the ethical obligations or duties that apply in the context of interactions with other people. </w:t>
      </w:r>
      <w:r w:rsidR="00061583" w:rsidRPr="006720E4">
        <w:rPr>
          <w:rFonts w:ascii="Calibri" w:hAnsi="Calibri" w:cs="Calibri"/>
          <w:sz w:val="22"/>
          <w:szCs w:val="22"/>
        </w:rPr>
        <w:t xml:space="preserve">The implications of respect for dignity are discussed below in </w:t>
      </w:r>
      <w:hyperlink w:anchor="_Respect_for_dignity" w:history="1">
        <w:r w:rsidR="00061583" w:rsidRPr="006720E4">
          <w:rPr>
            <w:rStyle w:val="Hyperlink"/>
            <w:rFonts w:ascii="Calibri" w:hAnsi="Calibri" w:cs="Calibri"/>
            <w:sz w:val="22"/>
            <w:szCs w:val="22"/>
          </w:rPr>
          <w:t>Chapter 3.1.1.1</w:t>
        </w:r>
      </w:hyperlink>
      <w:r w:rsidR="00061583" w:rsidRPr="006720E4">
        <w:rPr>
          <w:rFonts w:ascii="Calibri" w:hAnsi="Calibri" w:cs="Calibri"/>
          <w:sz w:val="22"/>
          <w:szCs w:val="22"/>
        </w:rPr>
        <w:t>).</w:t>
      </w:r>
    </w:p>
    <w:p w14:paraId="52CE4F2C" w14:textId="566E4515"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 xml:space="preserve">Autonomy refers to a person’s right to self-governance; the right to live their life freely and to make decisions about things that affect them in accordance with their own values, beliefs, and preferences. Respect for autonomy requires efforts to include relevant people in decision-making about donation and transplantation in the clinical context and in policymaking, and to ensure people are supported to make informed and voluntary decisions. Respect for autonomy is discussed further below in </w:t>
      </w:r>
      <w:hyperlink w:anchor="_Respect_for_autonomy" w:history="1">
        <w:r w:rsidRPr="006720E4">
          <w:rPr>
            <w:rStyle w:val="Hyperlink"/>
            <w:rFonts w:ascii="Calibri" w:hAnsi="Calibri" w:cs="Calibri"/>
            <w:sz w:val="22"/>
            <w:szCs w:val="22"/>
          </w:rPr>
          <w:t>Chapter 3.1.1.2</w:t>
        </w:r>
      </w:hyperlink>
      <w:r w:rsidRPr="006720E4">
        <w:rPr>
          <w:rFonts w:ascii="Calibri" w:hAnsi="Calibri" w:cs="Calibri"/>
          <w:sz w:val="22"/>
          <w:szCs w:val="22"/>
        </w:rPr>
        <w:t>)</w:t>
      </w:r>
    </w:p>
    <w:p w14:paraId="45968030" w14:textId="16AA7D28" w:rsidR="006C6EBA" w:rsidRPr="006720E4" w:rsidRDefault="00061583" w:rsidP="00EA22AE">
      <w:pPr>
        <w:pStyle w:val="Heading4"/>
        <w:spacing w:after="120"/>
      </w:pPr>
      <w:bookmarkStart w:id="434" w:name="_Acknowledging_donors"/>
      <w:bookmarkStart w:id="435" w:name="_Respect_for_dignity"/>
      <w:bookmarkEnd w:id="434"/>
      <w:bookmarkEnd w:id="435"/>
      <w:r w:rsidRPr="006720E4">
        <w:t>Respect for dignity and its implications</w:t>
      </w:r>
    </w:p>
    <w:p w14:paraId="10E05DD9" w14:textId="6B5DB992"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 xml:space="preserve">Respect for dignity also has implications for the way we treat the bodies of deceased persons and human cells, tissues and organs that have been removed from living or deceased individuals. Although people may hold different beliefs regarding the inherent value of human body parts, for many people their own cells, tissues and organs, and the bodies of their loved ones may hold special value. Donated cells, tissues and organs used in transplantation should therefore be regarded as ethically “exceptional” resources that are distinct from other types of </w:t>
      </w:r>
      <w:hyperlink w:anchor="_Glossary_2" w:history="1">
        <w:r w:rsidRPr="006720E4">
          <w:rPr>
            <w:rStyle w:val="Hyperlink"/>
            <w:rFonts w:ascii="Calibri" w:hAnsi="Calibri" w:cs="Calibri"/>
            <w:sz w:val="22"/>
            <w:szCs w:val="22"/>
          </w:rPr>
          <w:t>medical “products</w:t>
        </w:r>
      </w:hyperlink>
      <w:r w:rsidRPr="006720E4">
        <w:rPr>
          <w:rFonts w:ascii="Calibri" w:hAnsi="Calibri" w:cs="Calibri"/>
          <w:sz w:val="22"/>
          <w:szCs w:val="22"/>
        </w:rPr>
        <w:t>” or therapeutic devices.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{"citationItems":[{"id":"ITEM-1","itemData":{"DOI":"10.1097/TP.0b013e3181ec29f0","ISSN":"13899333","PMID":"20664493","abstract":"In May 2010, the Sixty-third World Health Assembly Resolution WHA63.22 endorsed the WHO Guiding Principles, updated in the light of changes in practices and attitudes regarding organ and tissue transplantation. The Guiding Principles are intended to provide an orderly, ethical and acceptable framework for the procurement and transplantation of human cells, tissues and organs for therapeutic purposes. Each jurisdiction will determine the means of implementing these WHO Guiding Principles. They preserve the essential points of the 1991 version while incorporating new provisions in response to current trends in transplantation, particularly the protection of the living donor, and the increasing use of human cells and tissues. The Guiding Principles stress the necessity of documentation and transparency, both for quality management purposes and to justify the confidence of patients, clinicians and the community at large in donation and transplantation services. © World Health Organisation 2010.","author":[{"dropping-particle":"","family":"World Health Organization (WHO)","given":"","non-dropping-particle":"","parse-names":false,"suffix":""}],"container-title":"Cell and Tissue Banking","id":"ITEM-1","issue":"4","issued":{"date-parts":[["2010"]]},"page":"229-233","title":"WHO guiding principles on human cell, tissue and organ transplantation: Sixty-Third World Health Assembly","type":"article-journal","volume":"11"},"uris":["http://www.mendeley.com/documents/?uuid=3d249cf2-01a1-4151-b88c-d3eb0f1edcdc"]},{"id":"ITEM-2","itemData":{"DOI":"10.1111/voxs.12304","abstract":"Medical products of human origin (MPHOs) are ‘substances derived wholly or in part from human biological materials and intended for clinical application’. In 2014, the World Health Organization launched an Initiative for MPHOs. One of the primary goals of this Initiative is to establish global consensus on core principles that should guide policies and practices involving MPHO, particularly with regard to the procurement, distribution and use of these products. Like any medical products with therapeutic value for humans, the sufficiency of their supply, risks and benefits for recipients and equity in their allocation present ethical concerns for health policymakers, professionals and patients. Unlike other medical products, however, MPHOs present additional ethical concerns because their source materials are procured from living or deceased human beings. The clinical and psychosocial risks and benefits of donating specific materials for use in MPHOs vary according to characteristics of the donor, the material procured and the procurement process used. Risks and benefits, for example, continue to evolve as new procurement technologies, standards of donor care, and new donor populations emerge. Nevertheless, several core ethical concerns remain constant, distinguishing MPHOs as ‘exceptional’ health products. They include concerns about care of donors, inequities in donation and commercialization of ‘donation’ and MPHOs. In this article, I explore some major donor-related ethical concerns and argue that these provide a rationale for seeking to establish global consensus on ethical governance of all MPHOs, and a foundation for consensus on issues of donor care, and equity in donation and allocation of these exceptional health products.","author":[{"dropping-particle":"","family":"Martin","given":"Dominique E.","non-dropping-particle":"","parse-names":false,"suffix":""}],"container-title":"ISBT Science Series","id":"ITEM-2","issue":"1","issued":{"date-parts":[["2017"]]},"page":"281-287","title":"Ethical aspects of medical products of human origin","type":"article-journal","volume":"12"},"uris":["http://www.mendeley.com/documents/?uuid=f1cb668d-2d58-4ddf-bac0-f2f3192da540"]}],"mendeley":{"formattedCitation":"(1,26)","plainTextFormattedCitation":"(1,26)","previouslyFormattedCitation":"(1,26)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(1,26)</w:t>
      </w:r>
      <w:r w:rsidRPr="006720E4">
        <w:rPr>
          <w:rFonts w:ascii="Calibri" w:hAnsi="Calibri" w:cs="Calibri"/>
          <w:sz w:val="22"/>
          <w:szCs w:val="22"/>
        </w:rPr>
        <w:fldChar w:fldCharType="end"/>
      </w:r>
      <w:r w:rsidRPr="006720E4">
        <w:rPr>
          <w:rFonts w:ascii="Calibri" w:hAnsi="Calibri" w:cs="Calibri"/>
          <w:sz w:val="22"/>
          <w:szCs w:val="22"/>
        </w:rPr>
        <w:t xml:space="preserve"> </w:t>
      </w:r>
    </w:p>
    <w:p w14:paraId="0CAAD5FF" w14:textId="71BA7962" w:rsidR="00061583" w:rsidRPr="004F318F" w:rsidRDefault="00061583" w:rsidP="00EA22AE">
      <w:pPr>
        <w:spacing w:after="120"/>
        <w:rPr>
          <w:rFonts w:ascii="Calibri" w:hAnsi="Calibri" w:cs="Calibri"/>
          <w:sz w:val="22"/>
          <w:szCs w:val="22"/>
        </w:rPr>
      </w:pPr>
      <w:r w:rsidRPr="004F318F">
        <w:rPr>
          <w:rFonts w:ascii="Calibri" w:hAnsi="Calibri" w:cs="Calibri"/>
          <w:sz w:val="22"/>
          <w:szCs w:val="22"/>
        </w:rPr>
        <w:t xml:space="preserve">Respect for dignity underpins or influences many of the ethical principles and recommendations set out in these guidelines, especially the prohibition of trade in human cells, tissues, and organs (see </w:t>
      </w:r>
      <w:hyperlink w:anchor="Principle 10. Human organs, tissues and cells should not be treated as ordinary commodities that can be sold or exchanged for profit: any profits arising the removal, processing, distribution, storage, transfer or use of donated cells, tissues or organs s" w:history="1">
        <w:r w:rsidR="001C292C" w:rsidRPr="004F318F">
          <w:rPr>
            <w:rStyle w:val="Hyperlink"/>
            <w:rFonts w:ascii="Calibri" w:hAnsi="Calibri" w:cs="Calibri"/>
            <w:sz w:val="22"/>
            <w:szCs w:val="22"/>
          </w:rPr>
          <w:t>Chapter 3.3.10</w:t>
        </w:r>
      </w:hyperlink>
      <w:r w:rsidRPr="004F318F">
        <w:rPr>
          <w:rFonts w:ascii="Calibri" w:hAnsi="Calibri" w:cs="Calibri"/>
          <w:sz w:val="22"/>
          <w:szCs w:val="22"/>
        </w:rPr>
        <w:t xml:space="preserve">), and obligations to avoid exploitation of donors (see </w:t>
      </w:r>
      <w:hyperlink w:anchor="_Principle_10._Potential" w:history="1">
        <w:r w:rsidR="004F318F" w:rsidRPr="004F318F">
          <w:rPr>
            <w:rStyle w:val="Hyperlink"/>
            <w:rFonts w:ascii="Calibri" w:hAnsi="Calibri" w:cs="Calibri"/>
            <w:sz w:val="22"/>
            <w:szCs w:val="22"/>
          </w:rPr>
          <w:t>Chapter 3.3.11</w:t>
        </w:r>
      </w:hyperlink>
      <w:r w:rsidRPr="004F318F">
        <w:rPr>
          <w:rFonts w:ascii="Calibri" w:hAnsi="Calibri" w:cs="Calibri"/>
          <w:sz w:val="22"/>
          <w:szCs w:val="22"/>
        </w:rPr>
        <w:t xml:space="preserve">). Respect for dignity may be especially important when individuals have limited capacity for </w:t>
      </w:r>
      <w:hyperlink w:anchor="_Glossary_2" w:history="1">
        <w:r w:rsidRPr="004F318F">
          <w:rPr>
            <w:rStyle w:val="Hyperlink"/>
            <w:rFonts w:ascii="Calibri" w:hAnsi="Calibri" w:cs="Calibri"/>
            <w:sz w:val="22"/>
            <w:szCs w:val="22"/>
          </w:rPr>
          <w:t>autonomy</w:t>
        </w:r>
      </w:hyperlink>
      <w:r w:rsidRPr="004F318F">
        <w:rPr>
          <w:rFonts w:ascii="Calibri" w:hAnsi="Calibri" w:cs="Calibri"/>
          <w:sz w:val="22"/>
          <w:szCs w:val="22"/>
        </w:rPr>
        <w:t xml:space="preserve">, which is discussed in </w:t>
      </w:r>
      <w:hyperlink w:anchor="_Donation_and_transplantation_1" w:history="1">
        <w:r w:rsidRPr="004F318F">
          <w:rPr>
            <w:rStyle w:val="Hyperlink"/>
            <w:rFonts w:ascii="Calibri" w:hAnsi="Calibri" w:cs="Calibri"/>
            <w:sz w:val="22"/>
            <w:szCs w:val="22"/>
          </w:rPr>
          <w:t>Chapter</w:t>
        </w:r>
      </w:hyperlink>
      <w:r w:rsidRPr="004F318F">
        <w:rPr>
          <w:rStyle w:val="Hyperlink"/>
          <w:rFonts w:ascii="Calibri" w:hAnsi="Calibri" w:cs="Calibri"/>
          <w:sz w:val="22"/>
          <w:szCs w:val="22"/>
        </w:rPr>
        <w:t xml:space="preserve"> 5</w:t>
      </w:r>
      <w:r w:rsidRPr="004F318F">
        <w:rPr>
          <w:rFonts w:ascii="Calibri" w:hAnsi="Calibri" w:cs="Calibri"/>
          <w:sz w:val="22"/>
          <w:szCs w:val="22"/>
        </w:rPr>
        <w:t>.</w:t>
      </w:r>
    </w:p>
    <w:p w14:paraId="2637AC49" w14:textId="77777777" w:rsidR="006C6EBA" w:rsidRPr="006720E4" w:rsidRDefault="006C6EBA" w:rsidP="00EA22AE">
      <w:pPr>
        <w:spacing w:after="120"/>
        <w:rPr>
          <w:rFonts w:ascii="Calibri" w:hAnsi="Calibri" w:cs="Calibri"/>
          <w:sz w:val="22"/>
          <w:szCs w:val="22"/>
        </w:rPr>
      </w:pPr>
      <w:bookmarkStart w:id="436" w:name="_Exploitation_and_donation"/>
      <w:bookmarkEnd w:id="436"/>
      <w:r w:rsidRPr="004F318F">
        <w:rPr>
          <w:rFonts w:ascii="Calibri" w:hAnsi="Calibri" w:cs="Calibri"/>
          <w:sz w:val="22"/>
          <w:szCs w:val="22"/>
        </w:rPr>
        <w:t>Respect for the dignity of donors - including potential donors - means that a donor should never be treated solely as a means to achieve</w:t>
      </w:r>
      <w:r w:rsidRPr="006720E4">
        <w:rPr>
          <w:rFonts w:ascii="Calibri" w:hAnsi="Calibri" w:cs="Calibri"/>
          <w:sz w:val="22"/>
          <w:szCs w:val="22"/>
        </w:rPr>
        <w:t xml:space="preserve"> the goal of transplantation for another individual. Treating a donor merely as a source of cells, tissues or organs for transplantation constitutes unethical exploitation. </w:t>
      </w:r>
    </w:p>
    <w:p w14:paraId="40D928B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Instead, donors must be recognized as individuals with inherent value and goals or interests of their own. While potential donors may also share the goal of providing cells, tissues or organs for transplantation, the obligation to respect their dignity means that donation goals must be considered in the broader context of donor wellbeing and interests.</w:t>
      </w:r>
    </w:p>
    <w:p w14:paraId="65FABC4E" w14:textId="37A8A5A0" w:rsidR="006C6EBA" w:rsidRPr="006720E4" w:rsidRDefault="006C6EBA" w:rsidP="00EA22AE">
      <w:pPr>
        <w:spacing w:after="120"/>
        <w:rPr>
          <w:rStyle w:val="Hyperlink"/>
          <w:rFonts w:ascii="Calibri" w:hAnsi="Calibri" w:cs="Calibri"/>
          <w:sz w:val="22"/>
          <w:szCs w:val="22"/>
        </w:rPr>
      </w:pPr>
      <w:r w:rsidRPr="006720E4">
        <w:rPr>
          <w:rFonts w:ascii="Calibri" w:hAnsi="Calibri" w:cs="Calibri"/>
          <w:sz w:val="22"/>
          <w:szCs w:val="22"/>
        </w:rPr>
        <w:t>In the case of living donation, obligations to avoid exploitation of donors and respect their dignity means that there are limits to the risks or degree of harm to which a donor may be exposed. Despite the substantial potential benefits of donation for a transplant recipient, the wellbeing of the donor should take priority. Ethical considerations with regards to determination of acceptable risk thresholds in living donation are discuss</w:t>
      </w:r>
      <w:r w:rsidRPr="00252C48">
        <w:rPr>
          <w:rFonts w:ascii="Calibri" w:hAnsi="Calibri" w:cs="Calibri"/>
          <w:sz w:val="22"/>
          <w:szCs w:val="22"/>
        </w:rPr>
        <w:t xml:space="preserve">ed in </w:t>
      </w:r>
      <w:hyperlink w:anchor="_Determining_proportionality_and" w:history="1">
        <w:r w:rsidRPr="00252C48">
          <w:rPr>
            <w:rStyle w:val="Hyperlink"/>
            <w:rFonts w:ascii="Calibri" w:hAnsi="Calibri" w:cs="Calibri"/>
            <w:sz w:val="22"/>
            <w:szCs w:val="22"/>
          </w:rPr>
          <w:t xml:space="preserve">Chapter </w:t>
        </w:r>
        <w:r w:rsidR="00252C48" w:rsidRPr="00252C48">
          <w:rPr>
            <w:rStyle w:val="Hyperlink"/>
            <w:rFonts w:ascii="Calibri" w:hAnsi="Calibri" w:cs="Calibri"/>
            <w:sz w:val="22"/>
            <w:szCs w:val="22"/>
          </w:rPr>
          <w:t>6</w:t>
        </w:r>
        <w:r w:rsidRPr="00252C48">
          <w:rPr>
            <w:rStyle w:val="Hyperlink"/>
            <w:rFonts w:ascii="Calibri" w:hAnsi="Calibri" w:cs="Calibri"/>
            <w:sz w:val="22"/>
            <w:szCs w:val="22"/>
          </w:rPr>
          <w:t>.1.4</w:t>
        </w:r>
      </w:hyperlink>
    </w:p>
    <w:p w14:paraId="3FE1CF15" w14:textId="77777777"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 xml:space="preserve">Acknowledging the invaluable contribution of living and deceased donors is ethically important and respectful of their dignity. Providing formal expressions of gratitude to donors in recognition of their gift and paying respect to the families of deceased donors may also help to encourage donation and foster long-term donor and donor family wellbeing. </w:t>
      </w:r>
    </w:p>
    <w:p w14:paraId="6BA3AE3F" w14:textId="2AE28704" w:rsidR="00061583" w:rsidRPr="006720E4" w:rsidRDefault="00061583" w:rsidP="00EA22AE">
      <w:pPr>
        <w:pStyle w:val="Heading4"/>
        <w:spacing w:after="120"/>
      </w:pPr>
      <w:bookmarkStart w:id="437" w:name="_Respect_for_autonomy"/>
      <w:bookmarkEnd w:id="437"/>
      <w:r w:rsidRPr="006720E4">
        <w:lastRenderedPageBreak/>
        <w:t>Respect for autonomy and its implications</w:t>
      </w:r>
    </w:p>
    <w:p w14:paraId="28C97CA7" w14:textId="77777777"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People often wish to make decisions about important aspects of their life in collaboration with others. Even when making decisions as an individual, a person’s values, beliefs and preferences may be influenced by their relationships, life experiences, faith, or culture, as well as societal factors and the context in which the decision is being made. Autonomy should be thought of as a relational concept, acknowledging the way that various relationships shape the autonomy of a person.</w:t>
      </w:r>
    </w:p>
    <w:p w14:paraId="54BFE6E3" w14:textId="3EC68A3E"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Some decisions may have important implications for members of particular communities or organi</w:t>
      </w:r>
      <w:r w:rsidR="000208BF">
        <w:rPr>
          <w:rFonts w:ascii="Calibri" w:hAnsi="Calibri" w:cs="Calibri"/>
          <w:sz w:val="22"/>
          <w:szCs w:val="22"/>
        </w:rPr>
        <w:t>s</w:t>
      </w:r>
      <w:r w:rsidRPr="006720E4">
        <w:rPr>
          <w:rFonts w:ascii="Calibri" w:hAnsi="Calibri" w:cs="Calibri"/>
          <w:sz w:val="22"/>
          <w:szCs w:val="22"/>
        </w:rPr>
        <w:t>ations. Respect for autonomy also requires consideration of the interest that communities and organi</w:t>
      </w:r>
      <w:r w:rsidR="000208BF">
        <w:rPr>
          <w:rFonts w:ascii="Calibri" w:hAnsi="Calibri" w:cs="Calibri"/>
          <w:sz w:val="22"/>
          <w:szCs w:val="22"/>
        </w:rPr>
        <w:t>s</w:t>
      </w:r>
      <w:r w:rsidRPr="006720E4">
        <w:rPr>
          <w:rFonts w:ascii="Calibri" w:hAnsi="Calibri" w:cs="Calibri"/>
          <w:sz w:val="22"/>
          <w:szCs w:val="22"/>
        </w:rPr>
        <w:t xml:space="preserve">ations may have in governing their collective activities and inclusion of representatives of these groups in decision-making that may affect them. This is particularly important to communities that have historically been disempowered and that continue to experience significant barriers to participation in decision-making about matters that affect them, such as Australia’s First Nations people. </w:t>
      </w:r>
    </w:p>
    <w:p w14:paraId="61097299" w14:textId="0D4496E6"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 xml:space="preserve">Some important misconceptions regarding the implications of respect for autonomy and donation are discussed in </w:t>
      </w:r>
      <w:hyperlink w:anchor="_Misconceptions_regarding_the" w:history="1">
        <w:r w:rsidRPr="006720E4">
          <w:rPr>
            <w:rStyle w:val="Hyperlink"/>
            <w:rFonts w:ascii="Calibri" w:hAnsi="Calibri" w:cs="Calibri"/>
            <w:sz w:val="22"/>
            <w:szCs w:val="22"/>
          </w:rPr>
          <w:t>Chapter 3.1.1.3</w:t>
        </w:r>
      </w:hyperlink>
      <w:r w:rsidRPr="006720E4">
        <w:rPr>
          <w:rFonts w:ascii="Calibri" w:hAnsi="Calibri" w:cs="Calibri"/>
          <w:sz w:val="22"/>
          <w:szCs w:val="22"/>
        </w:rPr>
        <w:t xml:space="preserve"> </w:t>
      </w:r>
      <w:r w:rsidRPr="00853FC4">
        <w:rPr>
          <w:rFonts w:ascii="Calibri" w:hAnsi="Calibri" w:cs="Calibri"/>
          <w:sz w:val="22"/>
          <w:szCs w:val="22"/>
        </w:rPr>
        <w:t xml:space="preserve">below. See </w:t>
      </w:r>
      <w:hyperlink w:anchor="_Decision-making_and_consent" w:history="1">
        <w:r w:rsidRPr="00853FC4">
          <w:rPr>
            <w:rStyle w:val="Hyperlink"/>
            <w:rFonts w:ascii="Calibri" w:hAnsi="Calibri" w:cs="Calibri"/>
            <w:sz w:val="22"/>
            <w:szCs w:val="22"/>
          </w:rPr>
          <w:t>Chapter 4</w:t>
        </w:r>
      </w:hyperlink>
      <w:r w:rsidRPr="00853FC4">
        <w:rPr>
          <w:rFonts w:ascii="Calibri" w:hAnsi="Calibri" w:cs="Calibri"/>
          <w:sz w:val="22"/>
          <w:szCs w:val="22"/>
        </w:rPr>
        <w:t xml:space="preserve"> and </w:t>
      </w:r>
      <w:hyperlink w:anchor="_Donation_and_transplantation_1" w:history="1">
        <w:r w:rsidRPr="00853FC4">
          <w:rPr>
            <w:rStyle w:val="Hyperlink"/>
            <w:rFonts w:ascii="Calibri" w:hAnsi="Calibri" w:cs="Calibri"/>
            <w:sz w:val="22"/>
            <w:szCs w:val="22"/>
          </w:rPr>
          <w:t>Chapter 5</w:t>
        </w:r>
      </w:hyperlink>
      <w:r w:rsidRPr="00853FC4">
        <w:rPr>
          <w:rFonts w:ascii="Calibri" w:hAnsi="Calibri" w:cs="Calibri"/>
          <w:sz w:val="22"/>
          <w:szCs w:val="22"/>
        </w:rPr>
        <w:t xml:space="preserve"> for further</w:t>
      </w:r>
      <w:r w:rsidRPr="006720E4">
        <w:rPr>
          <w:rFonts w:ascii="Calibri" w:hAnsi="Calibri" w:cs="Calibri"/>
          <w:sz w:val="22"/>
          <w:szCs w:val="22"/>
        </w:rPr>
        <w:t xml:space="preserve"> discussion of ethical considerations relating to this principle in the context of decision-making about donation and transplantation.</w:t>
      </w:r>
    </w:p>
    <w:p w14:paraId="427E3325" w14:textId="77777777" w:rsidR="00061583" w:rsidRPr="006720E4" w:rsidRDefault="00061583" w:rsidP="00EA22AE">
      <w:pPr>
        <w:pStyle w:val="Heading4"/>
        <w:spacing w:after="120"/>
      </w:pPr>
      <w:bookmarkStart w:id="438" w:name="_Misconceptions_regarding_the"/>
      <w:bookmarkStart w:id="439" w:name="_Toc82773480"/>
      <w:bookmarkStart w:id="440" w:name="_Toc82773833"/>
      <w:bookmarkEnd w:id="438"/>
      <w:r w:rsidRPr="006720E4">
        <w:t>Misconceptions regarding the implications of respect for autonomy</w:t>
      </w:r>
      <w:bookmarkEnd w:id="439"/>
      <w:bookmarkEnd w:id="440"/>
    </w:p>
    <w:p w14:paraId="7E7CEAEE" w14:textId="32780EDC"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Respecting a person’s autonomy - their interest in making voluntary and informed choices about things that are important to them – does not entail an obligation to provide the person with anything they might choose. In other words, people have a right to autonomy – to be able to govern their own lives - but this should not be confused with other rights or entitlements that they might have.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{"citationItems":[{"id":"ITEM-1","itemData":{"DOI":"10.1016/j.semnephrol.2021.05.005","ISSN":"15584488","abstract":"Summary: Respect for patient autonomy is a primary ethical obligation of health care providers. In kidney health care, clinical practice recommendations commonly include strategies to promote shared decision making with patients and their families about treatment options to promote patient autonomy and improve patient outcomes. However, for many people with kidney failure, treatment options may be unavailable or inaccessible. In these circumstances some clinicians may act paternalistically and withhold information from patients because of a fear of causing harm or because clinicians believe that patient autonomy is not a relevant consideration. In this article, we reflect on the concept of autonomy in the context of clinical decision making in kidney failure care, with particular attention to resource-constrained settings and the disclosure of information to patients for whom treatment may be inaccessible. We examine and address key concerns that patient autonomy may be impossible, irrelevant, or harmful in the context of limited treatment choices, and discuss factors that may influence paternalistic practices in such settings. We conclude that respect for autonomy is intrinsically and instrumentally valuable, and argue that in neglecting patient autonomy in resource-constrained settings, clinicians may exacerbate and entrench the structural inequalities and health inequities they are committed to addressing.","author":[{"dropping-particle":"","family":"Martin","given":"Dominique E.","non-dropping-particle":"","parse-names":false,"suffix":""},{"dropping-particle":"","family":"Muller","given":"Elmi","non-dropping-particle":"","parse-names":false,"suffix":""}],"container-title":"Seminars in Nephrology","id":"ITEM-1","issue":"3","issued":{"date-parts":[["2021"]]},"page":"242-252","publisher":"Elsevier Inc.","title":"In Defense of Patient Autonomy in Kidney Failure Care When Treatment Choices Are Limited","type":"article-journal","volume":"41"},"uris":["http://www.mendeley.com/documents/?uuid=c28afb96-b49b-4ec5-9c07-a729e8a2ecd1"]}],"mendeley":{"formattedCitation":"(27)","plainTextFormattedCitation":"(27)","previouslyFormattedCitation":"(27)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(27)</w:t>
      </w:r>
      <w:r w:rsidRPr="006720E4">
        <w:rPr>
          <w:rFonts w:ascii="Calibri" w:hAnsi="Calibri" w:cs="Calibri"/>
          <w:sz w:val="22"/>
          <w:szCs w:val="22"/>
        </w:rPr>
        <w:fldChar w:fldCharType="end"/>
      </w:r>
    </w:p>
    <w:p w14:paraId="194D9A29" w14:textId="3D7998DE"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In the context of health ethics, people sometimes mistakenly assume that if you have an ethical obligation to respect a person’s autonomy, this means you may have to do something for that person if they request it. For example, a doctor might feel they are obliged to provide a patient with a medication at the patient’s request, even if the doctor believes the medication would be clinically inappropriate. This is incorrect.</w:t>
      </w:r>
    </w:p>
    <w:p w14:paraId="511FC75F" w14:textId="01B05454"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 xml:space="preserve">In the context of donation and transplantation, individuals have the right to make autonomous decisions about participation in donation or transplantation opportunities. This does not mean they have an unconditional right to become a donor, or to receive a transplant. Individuals may wish to donate or to receive a transplant but may not be clinically suitable. Resource limitations may also mean that some individuals miss opportunities for donation or transplantation, although it is important to ensure that individuals aren’t unfairly excluded from donation and transplantation opportunities, as </w:t>
      </w:r>
      <w:r w:rsidRPr="00FD182A">
        <w:rPr>
          <w:rFonts w:ascii="Calibri" w:hAnsi="Calibri" w:cs="Calibri"/>
          <w:sz w:val="22"/>
          <w:szCs w:val="22"/>
        </w:rPr>
        <w:t xml:space="preserve">discussed in </w:t>
      </w:r>
      <w:hyperlink w:anchor="_Equity_in_opportunities" w:history="1">
        <w:r w:rsidRPr="00FD182A">
          <w:rPr>
            <w:rStyle w:val="Hyperlink"/>
            <w:rFonts w:ascii="Calibri" w:hAnsi="Calibri" w:cs="Calibri"/>
            <w:sz w:val="22"/>
            <w:szCs w:val="22"/>
          </w:rPr>
          <w:t>Chapter 8.</w:t>
        </w:r>
      </w:hyperlink>
      <w:r w:rsidRPr="006720E4">
        <w:rPr>
          <w:rFonts w:ascii="Calibri" w:hAnsi="Calibri" w:cs="Calibri"/>
          <w:sz w:val="22"/>
          <w:szCs w:val="22"/>
        </w:rPr>
        <w:t xml:space="preserve"> </w:t>
      </w:r>
    </w:p>
    <w:p w14:paraId="4B30755B" w14:textId="77777777"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In these circumstances, respecting a person’s autonomy would involve informing them of the options that may be available to them with regards to donation or transplantation, or explaining why options may be unavailable. The individual can then make informed choices where relevant, or at the very least develop an understanding of their situation. Respecting autonomy does not mean that a health professional has an obligation to perform a clinically inappropriate procedure or to violate resource allocation policies.</w:t>
      </w:r>
    </w:p>
    <w:p w14:paraId="05B4295E" w14:textId="77777777" w:rsidR="00061583" w:rsidRPr="006720E4" w:rsidRDefault="00061583" w:rsidP="00EA22AE">
      <w:pPr>
        <w:spacing w:after="120"/>
        <w:rPr>
          <w:rFonts w:ascii="Calibri" w:hAnsi="Calibri" w:cs="Calibri"/>
          <w:sz w:val="22"/>
          <w:szCs w:val="22"/>
        </w:rPr>
      </w:pPr>
    </w:p>
    <w:p w14:paraId="485B3706" w14:textId="77777777" w:rsidR="00061583" w:rsidRPr="006720E4" w:rsidRDefault="00061583" w:rsidP="00EA22AE">
      <w:pPr>
        <w:spacing w:after="120"/>
        <w:rPr>
          <w:rFonts w:ascii="Calibri" w:hAnsi="Calibri" w:cs="Calibri"/>
          <w:sz w:val="22"/>
          <w:szCs w:val="22"/>
        </w:rPr>
      </w:pPr>
    </w:p>
    <w:p w14:paraId="59018AC1" w14:textId="3178B602" w:rsidR="00931285" w:rsidRPr="006720E4" w:rsidRDefault="00931285" w:rsidP="00EA22AE">
      <w:pPr>
        <w:pStyle w:val="Heading3"/>
        <w:spacing w:after="120"/>
      </w:pPr>
      <w:bookmarkStart w:id="441" w:name="_Principle_2._Ethical"/>
      <w:bookmarkStart w:id="442" w:name="_Promotion_of_the"/>
      <w:bookmarkStart w:id="443" w:name="_Toc70844117"/>
      <w:bookmarkStart w:id="444" w:name="_Toc72615049"/>
      <w:bookmarkStart w:id="445" w:name="_Toc73129768"/>
      <w:bookmarkStart w:id="446" w:name="_Toc73301637"/>
      <w:bookmarkStart w:id="447" w:name="_Toc73302143"/>
      <w:bookmarkStart w:id="448" w:name="_Toc73303276"/>
      <w:bookmarkStart w:id="449" w:name="_Toc73303537"/>
      <w:bookmarkStart w:id="450" w:name="_Toc74080654"/>
      <w:bookmarkStart w:id="451" w:name="_Toc74080962"/>
      <w:bookmarkStart w:id="452" w:name="_Toc74081192"/>
      <w:bookmarkStart w:id="453" w:name="_Toc74081421"/>
      <w:bookmarkStart w:id="454" w:name="_Toc74171023"/>
      <w:bookmarkStart w:id="455" w:name="_Toc74172198"/>
      <w:bookmarkStart w:id="456" w:name="_Toc74172734"/>
      <w:bookmarkStart w:id="457" w:name="_Toc74238697"/>
      <w:bookmarkStart w:id="458" w:name="_Toc79406313"/>
      <w:bookmarkStart w:id="459" w:name="_Toc82773478"/>
      <w:bookmarkStart w:id="460" w:name="_Toc82773831"/>
      <w:bookmarkStart w:id="461" w:name="_Toc70241718"/>
      <w:bookmarkStart w:id="462" w:name="_Toc70243352"/>
      <w:bookmarkStart w:id="463" w:name="_Toc70414788"/>
      <w:bookmarkEnd w:id="441"/>
      <w:bookmarkEnd w:id="442"/>
      <w:r w:rsidRPr="006720E4">
        <w:lastRenderedPageBreak/>
        <w:t>Promotion of the wellbeing of potential and actual donors, recipients, and their families and communities</w:t>
      </w:r>
    </w:p>
    <w:p w14:paraId="7B3EE192" w14:textId="77777777"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Promoting and safeguarding the wellbeing of others means acting with respect for beneficence – the ethical obligation to help benefit others – and for nonmaleficence – the ethical obligation to avoid causing harm to others. Some burdens or risks may sometimes be necessary in order to produce benefits. It is important to ensure that the expected benefits of an action are proportionate to the expected risks or burdens of the action, all things considered.</w:t>
      </w:r>
    </w:p>
    <w:p w14:paraId="36608657" w14:textId="77777777"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This principle also underpins obligations to prevent needs for donation and transplantation where possible, thereby promoting population health and wellbeing by reducing the potential burdens of illness or disability and of donation.</w:t>
      </w:r>
    </w:p>
    <w:p w14:paraId="77614F50" w14:textId="4AAD1E72" w:rsidR="00931285" w:rsidRPr="006720E4" w:rsidRDefault="00061583" w:rsidP="00EA22AE">
      <w:pPr>
        <w:spacing w:after="120"/>
        <w:rPr>
          <w:rFonts w:ascii="Calibri" w:hAnsi="Calibri" w:cs="Calibri"/>
          <w:sz w:val="22"/>
          <w:szCs w:val="22"/>
        </w:rPr>
      </w:pPr>
      <w:r w:rsidRPr="00252C48">
        <w:rPr>
          <w:rFonts w:ascii="Calibri" w:hAnsi="Calibri" w:cs="Calibri"/>
          <w:sz w:val="22"/>
          <w:szCs w:val="22"/>
        </w:rPr>
        <w:t xml:space="preserve">See </w:t>
      </w:r>
      <w:hyperlink w:anchor="_Risks_and_benefits_1" w:history="1">
        <w:r w:rsidR="00252C48" w:rsidRPr="00252C48">
          <w:rPr>
            <w:rStyle w:val="Hyperlink"/>
            <w:rFonts w:ascii="Calibri" w:hAnsi="Calibri" w:cs="Calibri"/>
            <w:sz w:val="22"/>
            <w:szCs w:val="22"/>
          </w:rPr>
          <w:t>Chapter 6</w:t>
        </w:r>
      </w:hyperlink>
      <w:r w:rsidR="00252C48" w:rsidRPr="00252C48">
        <w:rPr>
          <w:rFonts w:ascii="Calibri" w:hAnsi="Calibri" w:cs="Calibri"/>
          <w:sz w:val="22"/>
          <w:szCs w:val="22"/>
        </w:rPr>
        <w:t xml:space="preserve"> </w:t>
      </w:r>
      <w:r w:rsidRPr="00252C48">
        <w:rPr>
          <w:rFonts w:ascii="Calibri" w:hAnsi="Calibri" w:cs="Calibri"/>
          <w:sz w:val="22"/>
          <w:szCs w:val="22"/>
        </w:rPr>
        <w:t>for discussion</w:t>
      </w:r>
      <w:r w:rsidRPr="006720E4">
        <w:rPr>
          <w:rFonts w:ascii="Calibri" w:hAnsi="Calibri" w:cs="Calibri"/>
          <w:sz w:val="22"/>
          <w:szCs w:val="22"/>
        </w:rPr>
        <w:t xml:space="preserve"> of ethical considerations relating to this principle.</w:t>
      </w:r>
    </w:p>
    <w:p w14:paraId="6AF6E242" w14:textId="6C241CD1" w:rsidR="00931285" w:rsidRPr="006720E4" w:rsidRDefault="00931285" w:rsidP="00EA22AE">
      <w:pPr>
        <w:pStyle w:val="Heading3"/>
        <w:spacing w:after="120"/>
      </w:pPr>
      <w:bookmarkStart w:id="464" w:name="_Promotion_of_justice"/>
      <w:bookmarkEnd w:id="464"/>
      <w:r w:rsidRPr="006720E4">
        <w:t xml:space="preserve">Promotion of justice in donation and transplantation of </w:t>
      </w:r>
      <w:r w:rsidR="005F7698">
        <w:t xml:space="preserve">cells, </w:t>
      </w:r>
      <w:r w:rsidRPr="006720E4">
        <w:t>organs and tissues</w:t>
      </w:r>
    </w:p>
    <w:p w14:paraId="1026BC0C" w14:textId="12DD2527" w:rsidR="00061583" w:rsidRPr="006720E4" w:rsidRDefault="00061583" w:rsidP="00EA22AE">
      <w:pPr>
        <w:spacing w:after="120"/>
        <w:rPr>
          <w:rFonts w:ascii="Calibri" w:hAnsi="Calibri" w:cs="Calibri"/>
          <w:sz w:val="22"/>
          <w:szCs w:val="22"/>
        </w:rPr>
      </w:pPr>
      <w:r w:rsidRPr="006720E4">
        <w:rPr>
          <w:rFonts w:ascii="Calibri" w:hAnsi="Calibri" w:cs="Calibri"/>
          <w:sz w:val="22"/>
          <w:szCs w:val="22"/>
        </w:rPr>
        <w:t>Justice, or fairness, is important in the context of many different elements of donation and transplantation programs, including the processes for decision-making and implementation of guidelines and policies (“</w:t>
      </w:r>
      <w:hyperlink w:anchor="_Glossary_2" w:history="1">
        <w:r w:rsidRPr="006720E4">
          <w:rPr>
            <w:rStyle w:val="Hyperlink"/>
            <w:rFonts w:ascii="Calibri" w:hAnsi="Calibri" w:cs="Calibri"/>
            <w:sz w:val="22"/>
            <w:szCs w:val="22"/>
          </w:rPr>
          <w:t>procedural justice</w:t>
        </w:r>
      </w:hyperlink>
      <w:r w:rsidRPr="006720E4">
        <w:rPr>
          <w:rFonts w:ascii="Calibri" w:hAnsi="Calibri" w:cs="Calibri"/>
          <w:sz w:val="22"/>
          <w:szCs w:val="22"/>
        </w:rPr>
        <w:t>”) as well as the outcomes of decision-making processes. Specific mechanisms to promote transparency and accountability are often needed to support justice and maintain the trust of stakeholders including the public.</w:t>
      </w:r>
    </w:p>
    <w:p w14:paraId="311FEB25" w14:textId="48557603" w:rsidR="004501A5" w:rsidRPr="006720E4" w:rsidRDefault="004501A5" w:rsidP="00EA22AE">
      <w:pPr>
        <w:spacing w:after="120"/>
        <w:rPr>
          <w:rFonts w:ascii="Calibri" w:hAnsi="Calibri" w:cs="Calibri"/>
          <w:sz w:val="22"/>
          <w:szCs w:val="22"/>
        </w:rPr>
      </w:pPr>
      <w:r w:rsidRPr="006720E4">
        <w:rPr>
          <w:rFonts w:ascii="Calibri" w:hAnsi="Calibri" w:cs="Calibri"/>
          <w:sz w:val="22"/>
          <w:szCs w:val="22"/>
        </w:rPr>
        <w:t xml:space="preserve">Respecting everyone’s right to health requires efforts to ensure that access to beneficial resources such as donated cells, tissues and organs is fair, meaning just or equitable. Achieving </w:t>
      </w:r>
      <w:hyperlink w:anchor="_Glossary_2" w:history="1">
        <w:r w:rsidRPr="006720E4">
          <w:rPr>
            <w:rStyle w:val="Hyperlink"/>
            <w:rFonts w:ascii="Calibri" w:hAnsi="Calibri" w:cs="Calibri"/>
            <w:sz w:val="22"/>
            <w:szCs w:val="22"/>
          </w:rPr>
          <w:t>equity</w:t>
        </w:r>
      </w:hyperlink>
      <w:r w:rsidRPr="006720E4">
        <w:rPr>
          <w:rFonts w:ascii="Calibri" w:hAnsi="Calibri" w:cs="Calibri"/>
          <w:sz w:val="22"/>
          <w:szCs w:val="22"/>
        </w:rPr>
        <w:t xml:space="preserve"> in the distribution of the benefits and burdens of donation means that unavoidable inequalities in distribution are nevertheless fair. Equity is also essential with regards to opportunities for donation and for access to transplantation services.</w:t>
      </w:r>
    </w:p>
    <w:p w14:paraId="308CC8C7" w14:textId="77777777" w:rsidR="004501A5" w:rsidRPr="006720E4" w:rsidRDefault="004501A5" w:rsidP="00EA22AE">
      <w:pPr>
        <w:spacing w:after="120"/>
        <w:rPr>
          <w:rFonts w:ascii="Calibri" w:hAnsi="Calibri" w:cs="Calibri"/>
          <w:sz w:val="22"/>
          <w:szCs w:val="22"/>
        </w:rPr>
      </w:pPr>
      <w:r w:rsidRPr="006720E4">
        <w:rPr>
          <w:rFonts w:ascii="Calibri" w:hAnsi="Calibri" w:cs="Calibri"/>
          <w:sz w:val="22"/>
          <w:szCs w:val="22"/>
        </w:rPr>
        <w:t>Equity is especially important when allocating scarce and valuable resources such as donated organs because there are insufficient organs to meet all needs for transplantation and it is often necessary to discriminate between the competing needs of several individuals who might benefit from an available donor organ. This requires careful selection of clinical criteria and consideration of relevant ethical values to guide decision-making consistently in a way that promotes fairness.</w:t>
      </w:r>
    </w:p>
    <w:p w14:paraId="23FF4812" w14:textId="728E6E2E" w:rsidR="004501A5" w:rsidRPr="006720E4" w:rsidRDefault="004501A5" w:rsidP="00EA22AE">
      <w:pPr>
        <w:spacing w:after="120"/>
        <w:rPr>
          <w:rFonts w:ascii="Calibri" w:hAnsi="Calibri" w:cs="Calibri"/>
          <w:sz w:val="22"/>
          <w:szCs w:val="22"/>
        </w:rPr>
      </w:pPr>
      <w:r w:rsidRPr="006720E4">
        <w:rPr>
          <w:rFonts w:ascii="Calibri" w:hAnsi="Calibri" w:cs="Calibri"/>
          <w:sz w:val="22"/>
          <w:szCs w:val="22"/>
        </w:rPr>
        <w:t xml:space="preserve">In other contexts, while several individuals might require a transplant, only one transplant candidate may be able to benefit from an available donation due to clinical factors. For example, the need for a donor with a closely matched </w:t>
      </w:r>
      <w:hyperlink w:anchor="_Glossary_2" w:history="1">
        <w:r w:rsidRPr="006720E4">
          <w:rPr>
            <w:rStyle w:val="Hyperlink"/>
            <w:rFonts w:ascii="Calibri" w:hAnsi="Calibri" w:cs="Calibri"/>
            <w:sz w:val="22"/>
            <w:szCs w:val="22"/>
          </w:rPr>
          <w:t>Human Leucocyte Antigen</w:t>
        </w:r>
      </w:hyperlink>
      <w:r w:rsidRPr="006720E4">
        <w:rPr>
          <w:rFonts w:ascii="Calibri" w:hAnsi="Calibri" w:cs="Calibri"/>
          <w:sz w:val="22"/>
          <w:szCs w:val="22"/>
        </w:rPr>
        <w:t xml:space="preserve"> (HLA) tissue type means that most candidates for HSC transplants will not find a suitable HSC donor registered with the ABMDR. In such cases, this means that only some individuals will benefit from transplantation, however these inequalities are unavoidable, necessary, and fair, and hence equitable.</w:t>
      </w:r>
    </w:p>
    <w:p w14:paraId="137CA2D9" w14:textId="4D1F9F08" w:rsidR="004501A5" w:rsidRPr="006720E4" w:rsidRDefault="004501A5" w:rsidP="00EA22AE">
      <w:pPr>
        <w:spacing w:after="120"/>
        <w:rPr>
          <w:rFonts w:ascii="Calibri" w:hAnsi="Calibri" w:cs="Calibri"/>
          <w:sz w:val="22"/>
          <w:szCs w:val="22"/>
        </w:rPr>
      </w:pPr>
      <w:r w:rsidRPr="006720E4">
        <w:rPr>
          <w:rFonts w:ascii="Calibri" w:hAnsi="Calibri" w:cs="Calibri"/>
          <w:sz w:val="22"/>
          <w:szCs w:val="22"/>
        </w:rPr>
        <w:t xml:space="preserve">Promotion of equity in donation and transplantation requires attention to broader concerns about equity in healthcare and society (“social justice”). Structural inequalities and racism, sexism and other forms of discrimination and bias may negatively influence equity in access to care and quality of care, and may undermine procedural </w:t>
      </w:r>
      <w:r w:rsidRPr="004F318F">
        <w:rPr>
          <w:rFonts w:ascii="Calibri" w:hAnsi="Calibri" w:cs="Calibri"/>
          <w:sz w:val="22"/>
          <w:szCs w:val="22"/>
        </w:rPr>
        <w:t>justice (see</w:t>
      </w:r>
      <w:r w:rsidR="004F318F" w:rsidRPr="004F318F">
        <w:rPr>
          <w:rFonts w:ascii="Calibri" w:hAnsi="Calibri" w:cs="Calibri"/>
        </w:rPr>
        <w:t xml:space="preserve"> </w:t>
      </w:r>
      <w:hyperlink w:anchor="_Procedural_justice_and" w:history="1">
        <w:r w:rsidR="004F318F" w:rsidRPr="004F318F">
          <w:rPr>
            <w:rStyle w:val="Hyperlink"/>
            <w:rFonts w:ascii="Calibri" w:hAnsi="Calibri" w:cs="Calibri"/>
          </w:rPr>
          <w:t>Chapter 3.6.3</w:t>
        </w:r>
      </w:hyperlink>
      <w:r w:rsidRPr="004F318F">
        <w:rPr>
          <w:rFonts w:ascii="Calibri" w:hAnsi="Calibri" w:cs="Calibri"/>
          <w:sz w:val="22"/>
          <w:szCs w:val="22"/>
        </w:rPr>
        <w:t>), for example</w:t>
      </w:r>
      <w:r w:rsidRPr="006720E4">
        <w:rPr>
          <w:rFonts w:ascii="Calibri" w:hAnsi="Calibri" w:cs="Calibri"/>
          <w:sz w:val="22"/>
          <w:szCs w:val="22"/>
        </w:rPr>
        <w:t xml:space="preserve"> through exclusion of individuals or groups from decision-making.</w:t>
      </w:r>
    </w:p>
    <w:p w14:paraId="0E9BF586" w14:textId="1436E584" w:rsidR="00061583" w:rsidRPr="006720E4" w:rsidRDefault="004501A5" w:rsidP="00EA22AE">
      <w:pPr>
        <w:spacing w:after="120"/>
        <w:rPr>
          <w:rFonts w:ascii="Calibri" w:hAnsi="Calibri" w:cs="Calibri"/>
          <w:sz w:val="22"/>
          <w:szCs w:val="22"/>
        </w:rPr>
      </w:pPr>
      <w:r w:rsidRPr="004F318F">
        <w:rPr>
          <w:rFonts w:ascii="Calibri" w:hAnsi="Calibri" w:cs="Calibri"/>
          <w:sz w:val="22"/>
          <w:szCs w:val="22"/>
        </w:rPr>
        <w:t xml:space="preserve">See </w:t>
      </w:r>
      <w:hyperlink w:anchor="_Equity_in_opportunities" w:history="1">
        <w:r w:rsidR="004F318F">
          <w:rPr>
            <w:rStyle w:val="Hyperlink"/>
            <w:rFonts w:ascii="Calibri" w:hAnsi="Calibri" w:cs="Calibri"/>
            <w:sz w:val="22"/>
            <w:szCs w:val="22"/>
          </w:rPr>
          <w:t>Chapter</w:t>
        </w:r>
      </w:hyperlink>
      <w:r w:rsidR="004F318F">
        <w:rPr>
          <w:rStyle w:val="Hyperlink"/>
          <w:rFonts w:ascii="Calibri" w:hAnsi="Calibri" w:cs="Calibri"/>
          <w:sz w:val="22"/>
          <w:szCs w:val="22"/>
        </w:rPr>
        <w:t xml:space="preserve"> 8</w:t>
      </w:r>
      <w:r w:rsidRPr="004F318F">
        <w:rPr>
          <w:rFonts w:ascii="Calibri" w:hAnsi="Calibri" w:cs="Calibri"/>
          <w:sz w:val="22"/>
          <w:szCs w:val="22"/>
        </w:rPr>
        <w:t xml:space="preserve"> and </w:t>
      </w:r>
      <w:hyperlink w:anchor="_Self-sufficiency_in_organ" w:history="1">
        <w:r w:rsidR="004F318F">
          <w:rPr>
            <w:rStyle w:val="Hyperlink"/>
            <w:rFonts w:ascii="Calibri" w:hAnsi="Calibri" w:cs="Calibri"/>
            <w:sz w:val="22"/>
            <w:szCs w:val="22"/>
          </w:rPr>
          <w:t>Chapter</w:t>
        </w:r>
      </w:hyperlink>
      <w:r w:rsidR="004F318F">
        <w:rPr>
          <w:rStyle w:val="Hyperlink"/>
          <w:rFonts w:ascii="Calibri" w:hAnsi="Calibri" w:cs="Calibri"/>
          <w:sz w:val="22"/>
          <w:szCs w:val="22"/>
        </w:rPr>
        <w:t xml:space="preserve"> 9</w:t>
      </w:r>
      <w:r w:rsidRPr="004F318F">
        <w:rPr>
          <w:rFonts w:ascii="Calibri" w:hAnsi="Calibri" w:cs="Calibri"/>
          <w:sz w:val="22"/>
          <w:szCs w:val="22"/>
        </w:rPr>
        <w:t xml:space="preserve"> for a discussion</w:t>
      </w:r>
      <w:r w:rsidRPr="006720E4">
        <w:rPr>
          <w:rFonts w:ascii="Calibri" w:hAnsi="Calibri" w:cs="Calibri"/>
          <w:sz w:val="22"/>
          <w:szCs w:val="22"/>
        </w:rPr>
        <w:t xml:space="preserve"> of further ethical considerations relating to this principle. </w:t>
      </w:r>
    </w:p>
    <w:p w14:paraId="2FD9983D" w14:textId="103F3626" w:rsidR="00931285" w:rsidRPr="006720E4" w:rsidRDefault="00931285" w:rsidP="00EA22AE">
      <w:pPr>
        <w:pStyle w:val="Heading3"/>
        <w:spacing w:after="120"/>
      </w:pPr>
      <w:bookmarkStart w:id="465" w:name="_Promotion_of_solidarity"/>
      <w:bookmarkEnd w:id="465"/>
      <w:r w:rsidRPr="006720E4">
        <w:t>Promotion of solidarity and community reciprocity</w:t>
      </w:r>
    </w:p>
    <w:p w14:paraId="1DB9DE82" w14:textId="77777777" w:rsidR="000A224F" w:rsidRPr="006720E4" w:rsidRDefault="000A224F" w:rsidP="00EA22AE">
      <w:pPr>
        <w:spacing w:after="120"/>
        <w:rPr>
          <w:rFonts w:ascii="Calibri" w:hAnsi="Calibri" w:cs="Calibri"/>
          <w:sz w:val="22"/>
          <w:szCs w:val="22"/>
        </w:rPr>
      </w:pPr>
      <w:r w:rsidRPr="006720E4">
        <w:rPr>
          <w:rFonts w:ascii="Calibri" w:hAnsi="Calibri" w:cs="Calibri"/>
          <w:sz w:val="22"/>
          <w:szCs w:val="22"/>
        </w:rPr>
        <w:t xml:space="preserve">Solidarity is broadly construed as a collective commitment to achieve a shared goal or addressing common challenges. Solidarity is a value that recognizes the importance of helping others, even when some individuals may not be able to contribute to collective efforts and not all individuals may require help. </w:t>
      </w:r>
    </w:p>
    <w:p w14:paraId="7E99D094" w14:textId="77777777" w:rsidR="000A224F" w:rsidRPr="006720E4" w:rsidRDefault="000A224F" w:rsidP="00EA22AE">
      <w:pPr>
        <w:spacing w:after="120"/>
        <w:rPr>
          <w:rFonts w:ascii="Calibri" w:hAnsi="Calibri" w:cs="Calibri"/>
          <w:sz w:val="22"/>
          <w:szCs w:val="22"/>
        </w:rPr>
      </w:pPr>
      <w:r w:rsidRPr="006720E4">
        <w:rPr>
          <w:rFonts w:ascii="Calibri" w:hAnsi="Calibri" w:cs="Calibri"/>
          <w:sz w:val="22"/>
          <w:szCs w:val="22"/>
        </w:rPr>
        <w:lastRenderedPageBreak/>
        <w:t>It is an important foundation for donation and transplant programs, as opportunities for donation and needs for transplantation may not be easily predicted. Solidarity encourages everyone to participate in donation when possible, optimising donation and the probability of individual members of the community receiving a transplant if they require one. In this sense, solidarity goes beyond the notion of reciprocity which is sometimes interpreted as more of a direct exchange of benefits in return for individual contributions.</w:t>
      </w:r>
    </w:p>
    <w:p w14:paraId="267F9966" w14:textId="50F613CD" w:rsidR="000A224F" w:rsidRPr="006720E4" w:rsidRDefault="000A224F" w:rsidP="00EA22AE">
      <w:pPr>
        <w:spacing w:after="120"/>
        <w:rPr>
          <w:rFonts w:ascii="Calibri" w:hAnsi="Calibri" w:cs="Calibri"/>
          <w:sz w:val="22"/>
          <w:szCs w:val="22"/>
        </w:rPr>
      </w:pPr>
      <w:r w:rsidRPr="006720E4">
        <w:rPr>
          <w:rFonts w:ascii="Calibri" w:hAnsi="Calibri" w:cs="Calibri"/>
          <w:sz w:val="22"/>
          <w:szCs w:val="22"/>
        </w:rPr>
        <w:t xml:space="preserve">In the context of donation and transplantation, the principle of reciprocity </w:t>
      </w:r>
      <w:r w:rsidR="001466E0" w:rsidRPr="006720E4">
        <w:rPr>
          <w:rFonts w:ascii="Calibri" w:hAnsi="Calibri" w:cs="Calibri"/>
          <w:sz w:val="22"/>
          <w:szCs w:val="22"/>
        </w:rPr>
        <w:t xml:space="preserve">is often invoked when </w:t>
      </w:r>
      <w:r w:rsidRPr="006720E4">
        <w:rPr>
          <w:rFonts w:ascii="Calibri" w:hAnsi="Calibri" w:cs="Calibri"/>
          <w:sz w:val="22"/>
          <w:szCs w:val="22"/>
        </w:rPr>
        <w:t>refer</w:t>
      </w:r>
      <w:r w:rsidR="001466E0" w:rsidRPr="006720E4">
        <w:rPr>
          <w:rFonts w:ascii="Calibri" w:hAnsi="Calibri" w:cs="Calibri"/>
          <w:sz w:val="22"/>
          <w:szCs w:val="22"/>
        </w:rPr>
        <w:t>ring</w:t>
      </w:r>
      <w:r w:rsidRPr="006720E4">
        <w:rPr>
          <w:rFonts w:ascii="Calibri" w:hAnsi="Calibri" w:cs="Calibri"/>
          <w:sz w:val="22"/>
          <w:szCs w:val="22"/>
        </w:rPr>
        <w:t xml:space="preserve"> to the idea that those who may serve as potential donors should also be recognized as potential transplant recipients. That is, those who may contribute to meeting needs deserve to benefit from these efforts. Conversely, reciprocity can be framed as an obligation to participate in donation opportunities on the part of everyone who may benefit from transplantation.</w:t>
      </w:r>
    </w:p>
    <w:p w14:paraId="082CB101" w14:textId="5F44AE3A" w:rsidR="000A224F" w:rsidRPr="006720E4" w:rsidRDefault="000A224F" w:rsidP="00EA22AE">
      <w:pPr>
        <w:spacing w:after="120"/>
        <w:rPr>
          <w:rFonts w:ascii="Calibri" w:hAnsi="Calibri" w:cs="Calibri"/>
          <w:sz w:val="22"/>
          <w:szCs w:val="22"/>
        </w:rPr>
      </w:pPr>
      <w:r w:rsidRPr="006720E4">
        <w:rPr>
          <w:rFonts w:ascii="Calibri" w:hAnsi="Calibri" w:cs="Calibri"/>
          <w:sz w:val="22"/>
          <w:szCs w:val="22"/>
        </w:rPr>
        <w:t xml:space="preserve">This norm is inherent in the ethos of policies aimed at </w:t>
      </w:r>
      <w:hyperlink w:anchor="_Ethical_values_embedded" w:history="1">
        <w:r w:rsidRPr="006720E4">
          <w:rPr>
            <w:rStyle w:val="Hyperlink"/>
            <w:rFonts w:ascii="Calibri" w:hAnsi="Calibri" w:cs="Calibri"/>
            <w:sz w:val="22"/>
            <w:szCs w:val="22"/>
          </w:rPr>
          <w:t>self-sufficiency</w:t>
        </w:r>
      </w:hyperlink>
      <w:r w:rsidRPr="006720E4">
        <w:rPr>
          <w:rFonts w:ascii="Calibri" w:hAnsi="Calibri" w:cs="Calibri"/>
          <w:sz w:val="22"/>
          <w:szCs w:val="22"/>
        </w:rPr>
        <w:t xml:space="preserve"> in donation and </w:t>
      </w:r>
      <w:r w:rsidRPr="004F318F">
        <w:rPr>
          <w:rFonts w:ascii="Calibri" w:hAnsi="Calibri" w:cs="Calibri"/>
          <w:sz w:val="22"/>
          <w:szCs w:val="22"/>
        </w:rPr>
        <w:t xml:space="preserve">transplantation (see </w:t>
      </w:r>
      <w:hyperlink w:anchor="_Ethical_values_embedded_1" w:history="1">
        <w:r w:rsidRPr="004F318F">
          <w:rPr>
            <w:rStyle w:val="Hyperlink"/>
            <w:rFonts w:ascii="Calibri" w:hAnsi="Calibri" w:cs="Calibri"/>
            <w:sz w:val="22"/>
            <w:szCs w:val="22"/>
          </w:rPr>
          <w:t xml:space="preserve">Chapter </w:t>
        </w:r>
        <w:r w:rsidR="00A963CF" w:rsidRPr="004F318F">
          <w:rPr>
            <w:rStyle w:val="Hyperlink"/>
            <w:rFonts w:ascii="Calibri" w:hAnsi="Calibri" w:cs="Calibri"/>
            <w:sz w:val="22"/>
            <w:szCs w:val="22"/>
          </w:rPr>
          <w:t>9</w:t>
        </w:r>
        <w:r w:rsidRPr="004F318F">
          <w:rPr>
            <w:rStyle w:val="Hyperlink"/>
            <w:rFonts w:ascii="Calibri" w:hAnsi="Calibri" w:cs="Calibri"/>
            <w:sz w:val="22"/>
            <w:szCs w:val="22"/>
          </w:rPr>
          <w:t>.1</w:t>
        </w:r>
      </w:hyperlink>
      <w:r w:rsidRPr="004F318F">
        <w:rPr>
          <w:rFonts w:ascii="Calibri" w:hAnsi="Calibri" w:cs="Calibri"/>
          <w:sz w:val="22"/>
          <w:szCs w:val="22"/>
        </w:rPr>
        <w:t>); it would</w:t>
      </w:r>
      <w:r w:rsidRPr="006720E4">
        <w:rPr>
          <w:rFonts w:ascii="Calibri" w:hAnsi="Calibri" w:cs="Calibri"/>
          <w:sz w:val="22"/>
          <w:szCs w:val="22"/>
        </w:rPr>
        <w:t xml:space="preserve"> be unfair to exclude people from accessing the benefits of transplantation if those people are responsible for making those benefits available.  </w:t>
      </w:r>
    </w:p>
    <w:p w14:paraId="0EDF0B1C" w14:textId="0B6282C2" w:rsidR="000A224F" w:rsidRPr="006720E4" w:rsidRDefault="000A224F" w:rsidP="00EA22AE">
      <w:pPr>
        <w:spacing w:after="120"/>
        <w:rPr>
          <w:rFonts w:ascii="Calibri" w:hAnsi="Calibri" w:cs="Calibri"/>
          <w:sz w:val="22"/>
          <w:szCs w:val="22"/>
        </w:rPr>
      </w:pPr>
      <w:r w:rsidRPr="006720E4">
        <w:rPr>
          <w:rFonts w:ascii="Calibri" w:hAnsi="Calibri" w:cs="Calibri"/>
          <w:sz w:val="22"/>
          <w:szCs w:val="22"/>
        </w:rPr>
        <w:t>For example, providing access to transplantation in Australia for wealthy patients traveling from other countries at the expense of meeting transplant needs of Australian residents who comprise the pool of potential deceased donors would be inconsistent with reciprocity and hence unfair.</w:t>
      </w:r>
    </w:p>
    <w:p w14:paraId="61E7B6F7" w14:textId="6B672071" w:rsidR="00931285" w:rsidRPr="006720E4" w:rsidRDefault="00931285" w:rsidP="00EA22AE">
      <w:pPr>
        <w:pStyle w:val="Heading3"/>
        <w:spacing w:after="120"/>
      </w:pPr>
      <w:bookmarkStart w:id="466" w:name="_Stewardship_of_the"/>
      <w:bookmarkEnd w:id="466"/>
      <w:r w:rsidRPr="006720E4">
        <w:t>Stewardship of the common good</w:t>
      </w:r>
    </w:p>
    <w:p w14:paraId="0724FC4B" w14:textId="61B24D1B" w:rsidR="00F00353" w:rsidRPr="006720E4" w:rsidRDefault="001466E0" w:rsidP="00EA22AE">
      <w:pPr>
        <w:spacing w:after="120"/>
        <w:rPr>
          <w:rFonts w:ascii="Calibri" w:hAnsi="Calibri" w:cs="Calibri"/>
          <w:sz w:val="22"/>
          <w:szCs w:val="22"/>
        </w:rPr>
      </w:pPr>
      <w:r w:rsidRPr="006720E4">
        <w:rPr>
          <w:rFonts w:ascii="Calibri" w:hAnsi="Calibri" w:cs="Calibri"/>
          <w:sz w:val="22"/>
          <w:szCs w:val="22"/>
        </w:rPr>
        <w:t xml:space="preserve">The donation and transplantation ‘sector’ comprises a range of systems, programs and </w:t>
      </w:r>
      <w:proofErr w:type="spellStart"/>
      <w:r w:rsidRPr="006720E4">
        <w:rPr>
          <w:rFonts w:ascii="Calibri" w:hAnsi="Calibri" w:cs="Calibri"/>
          <w:sz w:val="22"/>
          <w:szCs w:val="22"/>
        </w:rPr>
        <w:t>organiz</w:t>
      </w:r>
      <w:r w:rsidR="000208BF">
        <w:rPr>
          <w:rFonts w:ascii="Calibri" w:hAnsi="Calibri" w:cs="Calibri"/>
          <w:sz w:val="22"/>
          <w:szCs w:val="22"/>
        </w:rPr>
        <w:t>s</w:t>
      </w:r>
      <w:r w:rsidRPr="006720E4">
        <w:rPr>
          <w:rFonts w:ascii="Calibri" w:hAnsi="Calibri" w:cs="Calibri"/>
          <w:sz w:val="22"/>
          <w:szCs w:val="22"/>
        </w:rPr>
        <w:t>ations</w:t>
      </w:r>
      <w:proofErr w:type="spellEnd"/>
      <w:r w:rsidRPr="006720E4">
        <w:rPr>
          <w:rFonts w:ascii="Calibri" w:hAnsi="Calibri" w:cs="Calibri"/>
          <w:sz w:val="22"/>
          <w:szCs w:val="22"/>
        </w:rPr>
        <w:t xml:space="preserve"> as outlined in Chapter 2. These collectively </w:t>
      </w:r>
      <w:r w:rsidR="00F00353" w:rsidRPr="006720E4">
        <w:rPr>
          <w:rFonts w:ascii="Calibri" w:hAnsi="Calibri" w:cs="Calibri"/>
          <w:sz w:val="22"/>
          <w:szCs w:val="22"/>
        </w:rPr>
        <w:t xml:space="preserve">aim to </w:t>
      </w:r>
      <w:r w:rsidRPr="006720E4">
        <w:rPr>
          <w:rFonts w:ascii="Calibri" w:hAnsi="Calibri" w:cs="Calibri"/>
          <w:sz w:val="22"/>
          <w:szCs w:val="22"/>
        </w:rPr>
        <w:t>produce benefits for all Australian residents</w:t>
      </w:r>
      <w:r w:rsidR="00F00353" w:rsidRPr="006720E4">
        <w:rPr>
          <w:rFonts w:ascii="Calibri" w:hAnsi="Calibri" w:cs="Calibri"/>
          <w:sz w:val="22"/>
          <w:szCs w:val="22"/>
        </w:rPr>
        <w:t xml:space="preserve"> without undermining the wellbeing or interests of any; that is, they aim to promote the “common good”</w:t>
      </w:r>
      <w:r w:rsidRPr="006720E4">
        <w:rPr>
          <w:rFonts w:ascii="Calibri" w:hAnsi="Calibri" w:cs="Calibri"/>
          <w:sz w:val="22"/>
          <w:szCs w:val="22"/>
        </w:rPr>
        <w:t xml:space="preserve">. </w:t>
      </w:r>
    </w:p>
    <w:p w14:paraId="530DFAE9" w14:textId="1206FF7C" w:rsidR="001466E0" w:rsidRPr="006720E4" w:rsidRDefault="001466E0" w:rsidP="00EA22AE">
      <w:pPr>
        <w:spacing w:after="120"/>
        <w:rPr>
          <w:rFonts w:ascii="Calibri" w:hAnsi="Calibri" w:cs="Calibri"/>
          <w:sz w:val="22"/>
          <w:szCs w:val="22"/>
        </w:rPr>
      </w:pPr>
      <w:r w:rsidRPr="006720E4">
        <w:rPr>
          <w:rFonts w:ascii="Calibri" w:hAnsi="Calibri" w:cs="Calibri"/>
          <w:sz w:val="22"/>
          <w:szCs w:val="22"/>
        </w:rPr>
        <w:t>Stewardship refers to the responsibilities and duties of those tasked with overseeing and implementing activities in the sector for</w:t>
      </w:r>
      <w:r w:rsidR="00F00353" w:rsidRPr="006720E4">
        <w:rPr>
          <w:rFonts w:ascii="Calibri" w:hAnsi="Calibri" w:cs="Calibri"/>
          <w:sz w:val="22"/>
          <w:szCs w:val="22"/>
        </w:rPr>
        <w:t xml:space="preserve"> the</w:t>
      </w:r>
      <w:r w:rsidRPr="006720E4">
        <w:rPr>
          <w:rFonts w:ascii="Calibri" w:hAnsi="Calibri" w:cs="Calibri"/>
          <w:sz w:val="22"/>
          <w:szCs w:val="22"/>
        </w:rPr>
        <w:t xml:space="preserve"> good of </w:t>
      </w:r>
      <w:r w:rsidR="00F00353" w:rsidRPr="006720E4">
        <w:rPr>
          <w:rFonts w:ascii="Calibri" w:hAnsi="Calibri" w:cs="Calibri"/>
          <w:sz w:val="22"/>
          <w:szCs w:val="22"/>
        </w:rPr>
        <w:t>everyone. In particular, stewardship entails obligations to manage the sector effectively and efficiently and to ensure ethical custodianship of donated cells, tissues, and organs. It also requires accountability and transparency in decision-making, in order to ensure that activities do indeed serve the good of all.</w:t>
      </w:r>
    </w:p>
    <w:p w14:paraId="372A7342" w14:textId="0124ADE4" w:rsidR="00F00353" w:rsidRPr="006720E4" w:rsidRDefault="00F00353" w:rsidP="00EA22AE">
      <w:pPr>
        <w:pStyle w:val="Heading4"/>
        <w:spacing w:after="120"/>
      </w:pPr>
      <w:r w:rsidRPr="006720E4">
        <w:t>Custodianship</w:t>
      </w:r>
    </w:p>
    <w:p w14:paraId="01407107" w14:textId="3DE4AF0E" w:rsidR="00FB2EF3" w:rsidRPr="006720E4" w:rsidRDefault="00F00353" w:rsidP="00EA22AE">
      <w:pPr>
        <w:spacing w:after="120"/>
        <w:rPr>
          <w:rFonts w:ascii="Calibri" w:hAnsi="Calibri" w:cs="Calibri"/>
          <w:sz w:val="22"/>
          <w:szCs w:val="22"/>
        </w:rPr>
      </w:pPr>
      <w:r w:rsidRPr="006720E4">
        <w:rPr>
          <w:rFonts w:ascii="Calibri" w:hAnsi="Calibri" w:cs="Calibri"/>
          <w:sz w:val="22"/>
          <w:szCs w:val="22"/>
        </w:rPr>
        <w:t>Ethical custodianship is an important aspect of stewardship, as ethical concerns may arise in the context of any donation and transplantation activities. Professionals, organi</w:t>
      </w:r>
      <w:r w:rsidR="000208BF">
        <w:rPr>
          <w:rFonts w:ascii="Calibri" w:hAnsi="Calibri" w:cs="Calibri"/>
          <w:sz w:val="22"/>
          <w:szCs w:val="22"/>
        </w:rPr>
        <w:t>s</w:t>
      </w:r>
      <w:r w:rsidRPr="006720E4">
        <w:rPr>
          <w:rFonts w:ascii="Calibri" w:hAnsi="Calibri" w:cs="Calibri"/>
          <w:sz w:val="22"/>
          <w:szCs w:val="22"/>
        </w:rPr>
        <w:t xml:space="preserve">ations, and institutions that may be directly or indirectly involved in these activities have a responsibility to ensure their own actions are ethically appropriate and consistent with the principles set out in these guidelines. </w:t>
      </w:r>
      <w:r w:rsidR="00FB2EF3" w:rsidRPr="006720E4">
        <w:rPr>
          <w:rFonts w:ascii="Calibri" w:hAnsi="Calibri" w:cs="Calibri"/>
          <w:sz w:val="22"/>
          <w:szCs w:val="22"/>
        </w:rPr>
        <w:t>All custodians of human cells, tissues and organs should also act in accordance with relevant laws, regulatory frameworks and clinical standards governing their practice.</w:t>
      </w:r>
    </w:p>
    <w:p w14:paraId="17B428D7" w14:textId="23DAE2D6" w:rsidR="00F00353" w:rsidRPr="006720E4" w:rsidRDefault="00FB2EF3" w:rsidP="00EA22AE">
      <w:pPr>
        <w:spacing w:after="120"/>
        <w:rPr>
          <w:rFonts w:ascii="Calibri" w:hAnsi="Calibri" w:cs="Calibri"/>
          <w:sz w:val="22"/>
          <w:szCs w:val="22"/>
        </w:rPr>
      </w:pPr>
      <w:r w:rsidRPr="006720E4">
        <w:rPr>
          <w:rFonts w:ascii="Calibri" w:hAnsi="Calibri" w:cs="Calibri"/>
          <w:sz w:val="22"/>
          <w:szCs w:val="22"/>
        </w:rPr>
        <w:t>Custodians</w:t>
      </w:r>
      <w:r w:rsidR="00F00353" w:rsidRPr="006720E4">
        <w:rPr>
          <w:rFonts w:ascii="Calibri" w:hAnsi="Calibri" w:cs="Calibri"/>
          <w:sz w:val="22"/>
          <w:szCs w:val="22"/>
        </w:rPr>
        <w:t xml:space="preserve"> also have a responsibility to promote and sustain ethical practice more widely, by taking steps to ensure that when they entrust human cells, tissues or organs to other individuals or organi</w:t>
      </w:r>
      <w:r w:rsidR="000208BF">
        <w:rPr>
          <w:rFonts w:ascii="Calibri" w:hAnsi="Calibri" w:cs="Calibri"/>
          <w:sz w:val="22"/>
          <w:szCs w:val="22"/>
        </w:rPr>
        <w:t>s</w:t>
      </w:r>
      <w:r w:rsidR="00F00353" w:rsidRPr="006720E4">
        <w:rPr>
          <w:rFonts w:ascii="Calibri" w:hAnsi="Calibri" w:cs="Calibri"/>
          <w:sz w:val="22"/>
          <w:szCs w:val="22"/>
        </w:rPr>
        <w:t>ations, these persons will also maintain clinical and ethical standards of practice. When taking custody of donated cells, tissues or organs, individuals and institutions should strive to verify that previous custodians have maintained clinical and ethical standards and should take action if this is not the case.</w:t>
      </w:r>
    </w:p>
    <w:p w14:paraId="758F8423" w14:textId="77777777" w:rsidR="00F00353" w:rsidRPr="006720E4" w:rsidRDefault="00F00353" w:rsidP="00EA22AE">
      <w:pPr>
        <w:spacing w:after="120"/>
        <w:rPr>
          <w:rFonts w:ascii="Calibri" w:hAnsi="Calibri" w:cs="Calibri"/>
          <w:sz w:val="22"/>
          <w:szCs w:val="22"/>
        </w:rPr>
      </w:pPr>
      <w:r w:rsidRPr="006720E4">
        <w:rPr>
          <w:rFonts w:ascii="Calibri" w:hAnsi="Calibri" w:cs="Calibri"/>
          <w:sz w:val="22"/>
          <w:szCs w:val="22"/>
        </w:rPr>
        <w:t>Maintenance of clinical standards, in particular with regards to minimum standards for quality and safety, is ethically essential in order to fulfil obligations to prevent harm and to optimise the benefits of donation and transplantation.</w:t>
      </w:r>
    </w:p>
    <w:p w14:paraId="1DCD3039" w14:textId="4CCDA98E" w:rsidR="00F00353" w:rsidRPr="006720E4" w:rsidRDefault="00F00353" w:rsidP="00EA22AE">
      <w:pPr>
        <w:spacing w:after="120"/>
        <w:rPr>
          <w:rFonts w:ascii="Calibri" w:hAnsi="Calibri" w:cs="Calibri"/>
          <w:sz w:val="22"/>
          <w:szCs w:val="22"/>
        </w:rPr>
      </w:pPr>
      <w:r w:rsidRPr="00471664">
        <w:rPr>
          <w:rFonts w:ascii="Calibri" w:hAnsi="Calibri" w:cs="Calibri"/>
          <w:sz w:val="22"/>
          <w:szCs w:val="22"/>
        </w:rPr>
        <w:t xml:space="preserve">See </w:t>
      </w:r>
      <w:hyperlink w:anchor="_Ethical_obligations_of_1"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.2</w:t>
        </w:r>
      </w:hyperlink>
      <w:r w:rsidRPr="00471664">
        <w:rPr>
          <w:rFonts w:ascii="Calibri" w:hAnsi="Calibri" w:cs="Calibri"/>
          <w:sz w:val="22"/>
          <w:szCs w:val="22"/>
        </w:rPr>
        <w:t xml:space="preserve"> for discussion</w:t>
      </w:r>
      <w:r w:rsidRPr="006720E4">
        <w:rPr>
          <w:rFonts w:ascii="Calibri" w:hAnsi="Calibri" w:cs="Calibri"/>
          <w:sz w:val="22"/>
          <w:szCs w:val="22"/>
        </w:rPr>
        <w:t xml:space="preserve"> of ethical considerations relating to custodianship.</w:t>
      </w:r>
    </w:p>
    <w:p w14:paraId="2A80511A" w14:textId="77777777" w:rsidR="00F00353" w:rsidRPr="006720E4" w:rsidRDefault="00F00353" w:rsidP="00EA22AE">
      <w:pPr>
        <w:spacing w:after="120"/>
        <w:rPr>
          <w:rFonts w:ascii="Calibri" w:hAnsi="Calibri" w:cs="Calibri"/>
          <w:sz w:val="22"/>
          <w:szCs w:val="22"/>
        </w:rPr>
      </w:pPr>
    </w:p>
    <w:p w14:paraId="590BB548" w14:textId="77777777" w:rsidR="001466E0" w:rsidRPr="006720E4" w:rsidRDefault="001466E0" w:rsidP="00EA22AE">
      <w:pPr>
        <w:spacing w:after="120"/>
        <w:rPr>
          <w:rFonts w:ascii="Calibri" w:hAnsi="Calibri" w:cs="Calibri"/>
        </w:rPr>
      </w:pPr>
    </w:p>
    <w:p w14:paraId="0E683A1A" w14:textId="5D05601B" w:rsidR="00E7541E" w:rsidRPr="006720E4" w:rsidRDefault="00E7541E" w:rsidP="00EA22AE">
      <w:pPr>
        <w:pStyle w:val="Heading2"/>
        <w:spacing w:after="120"/>
      </w:pPr>
      <w:bookmarkStart w:id="467" w:name="_Toc135131434"/>
      <w:r w:rsidRPr="006720E4">
        <w:t>Principles guiding donation and transplantation activities</w:t>
      </w:r>
      <w:bookmarkEnd w:id="467"/>
    </w:p>
    <w:p w14:paraId="671D1F4D" w14:textId="5EB2DA29" w:rsidR="00E7541E" w:rsidRPr="006720E4" w:rsidRDefault="006C6EBA" w:rsidP="00EA22AE">
      <w:pPr>
        <w:pStyle w:val="Heading3"/>
        <w:spacing w:after="120"/>
        <w:rPr>
          <w:szCs w:val="22"/>
          <w:u w:color="0000FF"/>
          <w:lang w:val="en-GB"/>
        </w:rPr>
      </w:pPr>
      <w:bookmarkStart w:id="468" w:name="_Principle_1._Decision-making"/>
      <w:bookmarkEnd w:id="468"/>
      <w:r w:rsidRPr="006720E4">
        <w:t xml:space="preserve">Principle </w:t>
      </w:r>
      <w:r w:rsidR="00E7541E" w:rsidRPr="006720E4">
        <w:t>1</w:t>
      </w:r>
      <w:r w:rsidRPr="006720E4">
        <w:t xml:space="preserve">. </w:t>
      </w:r>
      <w:r w:rsidR="00E7541E" w:rsidRPr="006720E4">
        <w:rPr>
          <w:szCs w:val="22"/>
          <w:u w:color="0000FF"/>
          <w:lang w:val="en-GB"/>
        </w:rPr>
        <w:t>Decision-making about donation and transplantation should seek out and take account of expressed preferences of donors, recipients, their families and communities, and facilitate self-determination.</w:t>
      </w:r>
    </w:p>
    <w:p w14:paraId="6BCE9DA8" w14:textId="4722CA59" w:rsidR="008C7C66" w:rsidRPr="006720E4" w:rsidRDefault="004E5710" w:rsidP="00EA22AE">
      <w:pPr>
        <w:spacing w:after="120"/>
        <w:rPr>
          <w:rFonts w:ascii="Calibri" w:hAnsi="Calibri" w:cs="Calibri"/>
          <w:sz w:val="22"/>
          <w:szCs w:val="22"/>
        </w:rPr>
      </w:pPr>
      <w:r w:rsidRPr="006720E4">
        <w:rPr>
          <w:rFonts w:ascii="Calibri" w:hAnsi="Calibri" w:cs="Calibri"/>
          <w:sz w:val="22"/>
          <w:szCs w:val="22"/>
        </w:rPr>
        <w:t xml:space="preserve">This principle reflects the value accorded to the autonomy of potential donors and transplant recipients and their families and communities, as </w:t>
      </w:r>
      <w:r w:rsidRPr="004F318F">
        <w:rPr>
          <w:rFonts w:ascii="Calibri" w:hAnsi="Calibri" w:cs="Calibri"/>
          <w:sz w:val="22"/>
          <w:szCs w:val="22"/>
        </w:rPr>
        <w:t xml:space="preserve">discussed in </w:t>
      </w:r>
      <w:hyperlink w:anchor="_Respect_for_the_1" w:history="1">
        <w:r w:rsidRPr="004F318F">
          <w:rPr>
            <w:rStyle w:val="Hyperlink"/>
            <w:rFonts w:ascii="Calibri" w:hAnsi="Calibri" w:cs="Calibri"/>
            <w:sz w:val="22"/>
            <w:szCs w:val="22"/>
          </w:rPr>
          <w:t>Chapter 3.2.1</w:t>
        </w:r>
      </w:hyperlink>
      <w:r w:rsidRPr="004F318F">
        <w:rPr>
          <w:rFonts w:ascii="Calibri" w:hAnsi="Calibri" w:cs="Calibri"/>
          <w:sz w:val="22"/>
          <w:szCs w:val="22"/>
        </w:rPr>
        <w:t xml:space="preserve">. </w:t>
      </w:r>
      <w:r w:rsidR="008C7C66" w:rsidRPr="004F318F">
        <w:rPr>
          <w:rFonts w:ascii="Calibri" w:hAnsi="Calibri" w:cs="Calibri"/>
          <w:sz w:val="22"/>
          <w:szCs w:val="22"/>
        </w:rPr>
        <w:t>Key ethical</w:t>
      </w:r>
      <w:r w:rsidR="008C7C66" w:rsidRPr="006720E4">
        <w:rPr>
          <w:rFonts w:ascii="Calibri" w:hAnsi="Calibri" w:cs="Calibri"/>
          <w:sz w:val="22"/>
          <w:szCs w:val="22"/>
        </w:rPr>
        <w:t xml:space="preserve"> </w:t>
      </w:r>
      <w:r w:rsidR="008C7C66" w:rsidRPr="004F318F">
        <w:rPr>
          <w:rFonts w:ascii="Calibri" w:hAnsi="Calibri" w:cs="Calibri"/>
          <w:sz w:val="22"/>
          <w:szCs w:val="22"/>
        </w:rPr>
        <w:t xml:space="preserve">considerations when supporting decision-making about donation and transplantation are discussed in </w:t>
      </w:r>
      <w:hyperlink w:anchor="_Decision-making_and_consent_2" w:history="1">
        <w:r w:rsidR="008C7C66" w:rsidRPr="004F318F">
          <w:rPr>
            <w:rStyle w:val="Hyperlink"/>
            <w:rFonts w:ascii="Calibri" w:hAnsi="Calibri" w:cs="Calibri"/>
            <w:sz w:val="22"/>
            <w:szCs w:val="22"/>
          </w:rPr>
          <w:t>Chapter 4</w:t>
        </w:r>
      </w:hyperlink>
      <w:r w:rsidR="008C7C66" w:rsidRPr="004F318F">
        <w:rPr>
          <w:rFonts w:ascii="Calibri" w:hAnsi="Calibri" w:cs="Calibri"/>
          <w:sz w:val="22"/>
          <w:szCs w:val="22"/>
        </w:rPr>
        <w:t>.</w:t>
      </w:r>
    </w:p>
    <w:p w14:paraId="1A15D0E7" w14:textId="3401019B" w:rsidR="004E5710" w:rsidRPr="006720E4" w:rsidRDefault="008C7C66" w:rsidP="00EA22AE">
      <w:pPr>
        <w:spacing w:after="120"/>
        <w:rPr>
          <w:rFonts w:ascii="Calibri" w:hAnsi="Calibri" w:cs="Calibri"/>
          <w:lang w:val="en-GB"/>
        </w:rPr>
      </w:pPr>
      <w:r w:rsidRPr="006720E4">
        <w:rPr>
          <w:rFonts w:ascii="Calibri" w:hAnsi="Calibri" w:cs="Calibri"/>
          <w:sz w:val="22"/>
          <w:szCs w:val="22"/>
        </w:rPr>
        <w:t>The principle</w:t>
      </w:r>
      <w:r w:rsidR="004E5710" w:rsidRPr="006720E4">
        <w:rPr>
          <w:rFonts w:ascii="Calibri" w:hAnsi="Calibri" w:cs="Calibri"/>
          <w:sz w:val="22"/>
          <w:szCs w:val="22"/>
        </w:rPr>
        <w:t xml:space="preserve"> also highlights the importance of active efforts to engage people in decision-making. Even where individuals may be unable to make decisions on their own behalf, or may </w:t>
      </w:r>
      <w:r w:rsidRPr="006720E4">
        <w:rPr>
          <w:rFonts w:ascii="Calibri" w:hAnsi="Calibri" w:cs="Calibri"/>
          <w:sz w:val="22"/>
          <w:szCs w:val="22"/>
        </w:rPr>
        <w:t xml:space="preserve">not be legally authorised to provide consent for donation or </w:t>
      </w:r>
      <w:r w:rsidRPr="004F318F">
        <w:rPr>
          <w:rFonts w:ascii="Calibri" w:hAnsi="Calibri" w:cs="Calibri"/>
          <w:sz w:val="22"/>
          <w:szCs w:val="22"/>
        </w:rPr>
        <w:t xml:space="preserve">transplantation, their values and preferences should be carefully considered in decision-making as discussed in </w:t>
      </w:r>
      <w:hyperlink w:anchor="_Involvement_of_children" w:history="1">
        <w:r w:rsidRPr="004F318F">
          <w:rPr>
            <w:rStyle w:val="Hyperlink"/>
            <w:rFonts w:ascii="Calibri" w:hAnsi="Calibri" w:cs="Calibri"/>
            <w:sz w:val="22"/>
            <w:szCs w:val="22"/>
          </w:rPr>
          <w:t>Chapter 5.</w:t>
        </w:r>
        <w:r w:rsidR="004F318F" w:rsidRPr="004F318F">
          <w:rPr>
            <w:rStyle w:val="Hyperlink"/>
            <w:rFonts w:ascii="Calibri" w:hAnsi="Calibri" w:cs="Calibri"/>
            <w:sz w:val="22"/>
            <w:szCs w:val="22"/>
          </w:rPr>
          <w:t>1.4</w:t>
        </w:r>
      </w:hyperlink>
      <w:r w:rsidRPr="004F318F">
        <w:rPr>
          <w:rFonts w:ascii="Calibri" w:hAnsi="Calibri" w:cs="Calibri"/>
          <w:sz w:val="22"/>
          <w:szCs w:val="22"/>
        </w:rPr>
        <w:t>).</w:t>
      </w:r>
    </w:p>
    <w:p w14:paraId="5F16EA67" w14:textId="4E320C02" w:rsidR="006C6EBA" w:rsidRPr="006720E4" w:rsidRDefault="00E7541E" w:rsidP="00EA22AE">
      <w:pPr>
        <w:pStyle w:val="Heading3"/>
        <w:spacing w:after="120"/>
      </w:pPr>
      <w:bookmarkStart w:id="469" w:name="_Principle_2._Decision-making"/>
      <w:bookmarkEnd w:id="469"/>
      <w:r w:rsidRPr="006720E4">
        <w:rPr>
          <w:szCs w:val="22"/>
          <w:u w:color="0000FF"/>
          <w:lang w:val="en-GB"/>
        </w:rPr>
        <w:t>Principle 2. Decision-making about donation and transplantation should promote cultural safety, demonstrating cultural humility, critical reflection, and awareness of power dynamics.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D2B6B1B" w14:textId="30C462B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concept of cultural safety was first introduced by a </w:t>
      </w:r>
      <w:r w:rsidR="000A4F63" w:rsidRPr="006720E4">
        <w:rPr>
          <w:rFonts w:ascii="Calibri" w:hAnsi="Calibri" w:cs="Calibri"/>
          <w:sz w:val="22"/>
          <w:szCs w:val="22"/>
        </w:rPr>
        <w:t>Māori</w:t>
      </w:r>
      <w:r w:rsidRPr="006720E4">
        <w:rPr>
          <w:rFonts w:ascii="Calibri" w:hAnsi="Calibri" w:cs="Calibri"/>
          <w:sz w:val="22"/>
          <w:szCs w:val="22"/>
        </w:rPr>
        <w:t xml:space="preserve"> scholar and health professional, ﻿Dr Irihapeti Ramsden.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{"citationItems":[{"id":"ITEM-1","itemData":{"DOI":"10.1186/s12939-019-1082-3","ISBN":"1293901910823","ISSN":"14759276","PMID":"31727076","abstract":"Background: Eliminating indigenous and ethnic health inequities requires addressing the determinants of health inequities which includes institutionalised racism, and ensuring a health care system that delivers appropriate and equitable care. There is growing recognition of the importance of cultural competency and cultural safety at both individual health practitioner and organisational levels to achieve equitable health care. Some jurisdictions have included cultural competency in health professional licensing legislation, health professional accreditation standards, and pre-service and in-service training programmes. However, there are mixed definitions and understandings of cultural competency and cultural safety, and how best to achieve them. Methods: A literature review of 59 international articles on the definitions of cultural competency and cultural safety was undertaken. Findings were contextualised to the cultural competency legislation, statements and initiatives present within Aotearoa New Zealand, a national Symposium on Cultural Competence and Maori Health, convened by the Medical Council of New Zealand and Te Ohu Rata o Aotearoa-Maori Medical Practitioners Association (Te ORA) and consultation with Maori medical practitioners via Te ORA. Results: Health practitioners, healthcare organisations and health systems need to be engaged in working towards cultural safety and critical consciousness. To do this, they must be prepared to critique the 'taken for granted' power structures and be prepared to challenge their own culture and cultural systems rather than prioritise becoming 'competent' in the cultures of others. The objective of cultural safety activities also needs to be clearly linked to achieving health equity. Healthcare organisations and authorities need to be held accountable for providing culturally safe care, as defined by patients and their communities, and as measured through progress towards achieving health equity. Conclusions: A move to cultural safety rather than cultural competency is recommended. We propose a definition for cultural safety that we believe to be more fit for purpose in achieving health equity, and clarify the essential principles and practical steps to operationalise this approach in healthcare organisations and workforce development. The unintended consequences of a narrow or limited understanding of cultural competency are discussed, along with recommendations for how a broader conceptualisation of thes…","author":[{"dropping-particle":"","family":"Curtis","given":"Elana","non-dropping-particle":"","parse-names":false,"suffix":""},{"dropping-particle":"","family":"Jones","given":"Rhys","non-dropping-particle":"","parse-names":false,"suffix":""},{"dropping-particle":"","family":"Tipene-Leach","given":"David","non-dropping-particle":"","parse-names":false,"suffix":""},{"dropping-particle":"","family":"Walker","given":"Curtis","non-dropping-particle":"","parse-names":false,"suffix":""},{"dropping-particle":"","family":"Loring","given":"Belinda","non-dropping-particle":"","parse-names":false,"suffix":""},{"dropping-particle":"","family":"Paine","given":"Sarah Jane","non-dropping-particle":"","parse-names":false,"suffix":""},{"dropping-particle":"","family":"Reid","given":"Papaarangi","non-dropping-particle":"","parse-names":false,"suffix":""}],"container-title":"International Journal for Equity in Health","id":"ITEM-1","issue":"1","issued":{"date-parts":[["2019"]]},"page":"1-17","publisher":"International Journal for Equity in Health","title":"Why cultural safety rather than cultural competency is required to achieve health equity: A literature review and recommended definition","type":"article-journal","volume":"18"},"uris":["http://www.mendeley.com/documents/?uuid=4daab1ed-53a3-4243-b650-8e96ff3ff9dd"]}],"mendeley":{"formattedCitation":"(28)","plainTextFormattedCitation":"(28)","previouslyFormattedCitation":"(28)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(28)</w:t>
      </w:r>
      <w:r w:rsidRPr="006720E4">
        <w:rPr>
          <w:rFonts w:ascii="Calibri" w:hAnsi="Calibri" w:cs="Calibri"/>
          <w:sz w:val="22"/>
          <w:szCs w:val="22"/>
        </w:rPr>
        <w:fldChar w:fldCharType="end"/>
      </w:r>
      <w:r w:rsidRPr="006720E4">
        <w:rPr>
          <w:rFonts w:ascii="Calibri" w:hAnsi="Calibri" w:cs="Calibri"/>
          <w:sz w:val="22"/>
          <w:szCs w:val="22"/>
        </w:rPr>
        <w:t xml:space="preserve"> In “The National Scheme’s Aboriginal and Torres Strait Islander Health and Cultural Safety Strategy 2020-2025”, the Australian Health Practitioner Regulatory Agency (AHPRA) defines cultural safety as follows:</w:t>
      </w:r>
    </w:p>
    <w:p w14:paraId="55B89DAF" w14:textId="519F06F6"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Cultural safety is determined by Aboriginal and Torres Strait Islander individuals, families and communities. Culturally safe practise is the ongoing critical reflection of health practitioner knowledge, skills, attitudes, practising behaviours and power differentials in delivering safe, accessible and responsive healthcare free of racism.</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{"citationItems":[{"id":"ITEM-1","itemData":{"author":[{"dropping-particle":"","family":"Australian Health Practitioner Regulation Agency (AHPRA)","given":"","non-dropping-particle":"","parse-names":false,"suffix":""}],"container-title":"Australian Health Practitioner Regulation Agency","id":"ITEM-1","issued":{"date-parts":[["2020"]]},"title":"The National Scheme's Aboriginal and Torres Strait Islander Health and Cultural Safety Strategy 2020-2025","type":"report"},"uris":["http://www.mendeley.com/documents/?uuid=da182113-ba18-413e-85c9-ed5271959dfc"]}],"mendeley":{"formattedCitation":"(29)","plainTextFormattedCitation":"(29)","previouslyFormattedCitation":"(29)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(29)</w:t>
      </w:r>
      <w:r w:rsidRPr="006720E4">
        <w:rPr>
          <w:rFonts w:ascii="Calibri" w:hAnsi="Calibri" w:cs="Calibri"/>
          <w:sz w:val="22"/>
          <w:szCs w:val="22"/>
        </w:rPr>
        <w:fldChar w:fldCharType="end"/>
      </w:r>
    </w:p>
    <w:p w14:paraId="2686293A" w14:textId="7B4CCED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Cultural safety is a core standard for quality and safety in Australian healthcare;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{"citationItems":[{"id":"ITEM-1","itemData":{"DOI":"10.1111/nep.13233","ISSN":"14401797","PMID":"29436104","author":[{"dropping-particle":"","family":"Hughes","given":"J. T.","non-dropping-particle":"","parse-names":false,"suffix":""},{"dropping-particle":"","family":"Dembski","given":"L.","non-dropping-particle":"","parse-names":false,"suffix":""},{"dropping-particle":"","family":"Kerrigan","given":"V.","non-dropping-particle":"","parse-names":false,"suffix":""},{"dropping-particle":"","family":"Majoni","given":"S. W.","non-dropping-particle":"","parse-names":false,"suffix":""},{"dropping-particle":"","family":"Lawton","given":"P. D.","non-dropping-particle":"","parse-names":false,"suffix":""},{"dropping-particle":"","family":"Cass","given":"A.","non-dropping-particle":"","parse-names":false,"suffix":""}],"container-title":"Nephrology","id":"ITEM-1","issued":{"date-parts":[["2018"]]},"page":"5-13","title":"Gathering Perspectives - Finding Solutions for Chronic and End Stage Kidney Disease","type":"article-journal","volume":"23"},"uris":["http://www.mendeley.com/documents/?uuid=6a9d00a4-849e-4857-a889-6ca6c1cd60a7"]}],"mendeley":{"formattedCitation":"(30)","plainTextFormattedCitation":"(30)","previouslyFormattedCitation":"(30)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(30)</w:t>
      </w:r>
      <w:r w:rsidRPr="006720E4">
        <w:rPr>
          <w:rFonts w:ascii="Calibri" w:hAnsi="Calibri" w:cs="Calibri"/>
          <w:sz w:val="22"/>
          <w:szCs w:val="22"/>
        </w:rPr>
        <w:fldChar w:fldCharType="end"/>
      </w:r>
      <w:r w:rsidRPr="006720E4">
        <w:rPr>
          <w:rFonts w:ascii="Calibri" w:hAnsi="Calibri" w:cs="Calibri"/>
          <w:sz w:val="22"/>
          <w:szCs w:val="22"/>
        </w:rPr>
        <w:t xml:space="preserve"> culturally safe care for Indigenous healthcare users is associated with better access to care and better quality of care.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{"citationItems":[{"id":"ITEM-1","itemData":{"abstract":"Leadership and responsibility 5 Health equality and a human rights approach 5 Partnerships 5 Monitoring and Accountability 5 Definitions supporting action on cultural resepect 5 ABORIGINAL AND TORRES STRAIT ISLANDER PEOPLE, HISTORY AND CULTURE 6 Understanding the cultural construct of health for Aboriginal and Torres Strait Islander people 6 Enabling cultural respect improves health outcomes 6 RESPONSIVENESS OF THE AUSTRALIAN HEALTH SYSTEM 7 Addressing health inequalities 7 Health disparities continue to exist for Aboriginal and Torres Strait Islander people 7 Racism and discrimination in the health system affects health outcomes 8 Critical role of the health workforce to achieve culturally respectful services 9 CULTURAL RESPECT ACROSS STATES AND TERRITORIES 9 Longstanding commitment to enabling cultural respect across the health system 9","author":[{"dropping-particle":"","family":"Australian Health Ministers’ Advisory Council’s National","given":"","non-dropping-particle":"","parse-names":false,"suffix":""},{"dropping-particle":"","family":"Aboriginal and Torres Strait Islander Health Standing Committee","given":"","non-dropping-particle":"","parse-names":false,"suffix":""}],"id":"ITEM-1","issued":{"date-parts":[["2016"]]},"number-of-pages":"1-24","title":"Cultural respect framework 2016-2026","type":"report"},"uris":["http://www.mendeley.com/documents/?uuid=30a4f222-f59e-4069-b683-fde4e0b2c741"]}],"mendeley":{"formattedCitation":"(31)","plainTextFormattedCitation":"(31)","previouslyFormattedCitation":"(31)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(31)</w:t>
      </w:r>
      <w:r w:rsidRPr="006720E4">
        <w:rPr>
          <w:rFonts w:ascii="Calibri" w:hAnsi="Calibri" w:cs="Calibri"/>
          <w:sz w:val="22"/>
          <w:szCs w:val="22"/>
        </w:rPr>
        <w:fldChar w:fldCharType="end"/>
      </w:r>
      <w:r w:rsidRPr="006720E4">
        <w:rPr>
          <w:rFonts w:ascii="Calibri" w:hAnsi="Calibri" w:cs="Calibri"/>
          <w:sz w:val="22"/>
          <w:szCs w:val="22"/>
        </w:rPr>
        <w:t xml:space="preserve"> Engaging in culturally safe decision-makin</w:t>
      </w:r>
      <w:r w:rsidRPr="00A800B4">
        <w:rPr>
          <w:rFonts w:ascii="Calibri" w:hAnsi="Calibri" w:cs="Calibri"/>
          <w:sz w:val="22"/>
          <w:szCs w:val="22"/>
        </w:rPr>
        <w:t>g (</w:t>
      </w:r>
      <w:r w:rsidR="00A800B4" w:rsidRPr="00A800B4">
        <w:rPr>
          <w:rFonts w:ascii="Calibri" w:hAnsi="Calibri" w:cs="Calibri"/>
          <w:sz w:val="22"/>
          <w:szCs w:val="22"/>
        </w:rPr>
        <w:t xml:space="preserve">see </w:t>
      </w:r>
      <w:hyperlink w:anchor="_Cultural_safety" w:history="1">
        <w:r w:rsidR="00A800B4" w:rsidRPr="00A800B4">
          <w:rPr>
            <w:rStyle w:val="Hyperlink"/>
            <w:rFonts w:ascii="Calibri" w:hAnsi="Calibri" w:cs="Calibri"/>
            <w:sz w:val="22"/>
            <w:szCs w:val="22"/>
          </w:rPr>
          <w:t>Chapter 3.4.2</w:t>
        </w:r>
      </w:hyperlink>
      <w:r w:rsidR="00A800B4" w:rsidRPr="00A800B4">
        <w:rPr>
          <w:rFonts w:cs="Calibri"/>
          <w:szCs w:val="22"/>
        </w:rPr>
        <w:t>)</w:t>
      </w:r>
      <w:r w:rsidR="00A800B4">
        <w:rPr>
          <w:rFonts w:cs="Calibri"/>
          <w:szCs w:val="22"/>
        </w:rPr>
        <w:t xml:space="preserve"> </w:t>
      </w:r>
      <w:r w:rsidRPr="006720E4">
        <w:rPr>
          <w:rFonts w:ascii="Calibri" w:hAnsi="Calibri" w:cs="Calibri"/>
          <w:sz w:val="22"/>
          <w:szCs w:val="22"/>
        </w:rPr>
        <w:t>and acting to promote culturally safe care in donation and transplantation is essential to help address the significant inequities experienced by Aboriginal and Torres Strait Islander peoples in Australia. Previous experiences of healthcare, as well as historical injustices and cultural norms, may influence Aboriginal and Torres Strait Islander peoples’ attitudes and choices regarding donation and transplantation opportunities.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{"citationItems":[{"id":"ITEM-1","itemData":{"DOI":"10.1186/s12882-017-0726-z","ISSN":"14712369","PMID":"29020932","abstract":"Background: Indigenous Australians suffer a disproportionate burden of end stage kidney disease (ESKD) but are significantly less likely to receive a transplant. This study explores Indigenous ESKD patients' views on transplantation as a treatment option. Methods: The Improving Access to Kidney Transplants (IMPAKT) research program investigated barriers to kidney transplantation for Indigenous Australians. An interview study, conducted in 2005-2006, elicited illness experience narratives from 146 Indigenous patients, including views on transplant. Interviews were conducted at 26 sites that collectively treat the majority of Indigenous ESKD patients. Key themes were identified via team consensus meetings, providing a flexible framework and focus for continued coding. Results: Four inter-related themes were identified in patient commentary: a very high level (90% of respondents) of positive interest in transplantation; patients experienced a range of communication difficulties and felt uninformed about transplant; family involvement in decision-making was constrained by inadequate information; and patients needed to negotiate cultural and social sensitivities around transplantation. Conclusions: Indigenous ESKD patients demonstrated an intense interest in transplantation preferring deceased over living kidney donation. Patients believe transplant is the path most likely to support the re-establishment of their 'normal' family life. Patients described themselves as poorly informed; most had only a rudimentary knowledge of the notion of transplant but no understanding of eligibility criteria, the transplant procedure and associated risks. Patients experienced multiple communication barriers that - taken together - undermine their engagement in treatment decision-making. Families and communities are disempowered because they also lack information to reach a shared understanding of transplantation. Cultural sensitivities associated with transplantation were described but these did not appear to constrain patients in making choices about their own health. Transplant units and local treatment providers should collaborate to develop user-friendly, culturally informed and region-specific patient education programs. Quality improvement cycles should underpin the development of national guidelines for patient education. Noting Indigenous patients' intense interest in transplantation, and nephrologists' concerns regarding poor transplant outcomes, research should pr…","author":[{"dropping-particle":"","family":"Devitt","given":"Jeannie","non-dropping-particle":"","parse-names":false,"suffix":""},{"dropping-particle":"","family":"Anderson","given":"Kate","non-dropping-particle":"","parse-names":false,"suffix":""},{"dropping-particle":"","family":"Cunningham","given":"Joan","non-dropping-particle":"","parse-names":false,"suffix":""},{"dropping-particle":"","family":"Preece","given":"Cilla","non-dropping-particle":"","parse-names":false,"suffix":""},{"dropping-particle":"","family":"Snelling","given":"Paul","non-dropping-particle":"","parse-names":false,"suffix":""},{"dropping-particle":"","family":"Cass","given":"Alan","non-dropping-particle":"","parse-names":false,"suffix":""}],"container-title":"BMC Nephrology","id":"ITEM-1","issue":"1","issued":{"date-parts":[["2017"]]},"page":"1-14","publisher":"BMC Nephrology","title":"Difficult conversations: Australian Indigenous patients' views on kidney transplantation","type":"article-journal","volume":"18"},"uris":["http://www.mendeley.com/documents/?uuid=ed26cbec-a2b4-4295-9c12-1eb568408282"]}],"mendeley":{"formattedCitation":"(32)","plainTextFormattedCitation":"(32)","previouslyFormattedCitation":"(32)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(32)</w:t>
      </w:r>
      <w:r w:rsidRPr="006720E4">
        <w:rPr>
          <w:rFonts w:ascii="Calibri" w:hAnsi="Calibri" w:cs="Calibri"/>
          <w:sz w:val="22"/>
          <w:szCs w:val="22"/>
        </w:rPr>
        <w:fldChar w:fldCharType="end"/>
      </w:r>
      <w:r w:rsidRPr="006720E4">
        <w:rPr>
          <w:rFonts w:ascii="Calibri" w:hAnsi="Calibri" w:cs="Calibri"/>
          <w:sz w:val="22"/>
          <w:szCs w:val="22"/>
        </w:rPr>
        <w:t xml:space="preserve"> The availability and use of culturally and linguistically appropriate resources for education, information and communication in decision-making about donation and transplantation is therefore important. </w:t>
      </w:r>
    </w:p>
    <w:p w14:paraId="03E86A12" w14:textId="27DA677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Cultural safety is also important in providing care for and addressing inequities experienced by minoritized culturally and linguistically diverse groups.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{"citationItems":[{"id":"ITEM-1","itemData":{"DOI":"10.1186/s12939-019-1082-3","ISBN":"1293901910823","ISSN":"14759276","PMID":"31727076","abstract":"Background: Eliminating indigenous and ethnic health inequities requires addressing the determinants of health inequities which includes institutionalised racism, and ensuring a health care system that delivers appropriate and equitable care. There is growing recognition of the importance of cultural competency and cultural safety at both individual health practitioner and organisational levels to achieve equitable health care. Some jurisdictions have included cultural competency in health professional licensing legislation, health professional accreditation standards, and pre-service and in-service training programmes. However, there are mixed definitions and understandings of cultural competency and cultural safety, and how best to achieve them. Methods: A literature review of 59 international articles on the definitions of cultural competency and cultural safety was undertaken. Findings were contextualised to the cultural competency legislation, statements and initiatives present within Aotearoa New Zealand, a national Symposium on Cultural Competence and Maori Health, convened by the Medical Council of New Zealand and Te Ohu Rata o Aotearoa-Maori Medical Practitioners Association (Te ORA) and consultation with Maori medical practitioners via Te ORA. Results: Health practitioners, healthcare organisations and health systems need to be engaged in working towards cultural safety and critical consciousness. To do this, they must be prepared to critique the 'taken for granted' power structures and be prepared to challenge their own culture and cultural systems rather than prioritise becoming 'competent' in the cultures of others. The objective of cultural safety activities also needs to be clearly linked to achieving health equity. Healthcare organisations and authorities need to be held accountable for providing culturally safe care, as defined by patients and their communities, and as measured through progress towards achieving health equity. Conclusions: A move to cultural safety rather than cultural competency is recommended. We propose a definition for cultural safety that we believe to be more fit for purpose in achieving health equity, and clarify the essential principles and practical steps to operationalise this approach in healthcare organisations and workforce development. The unintended consequences of a narrow or limited understanding of cultural competency are discussed, along with recommendations for how a broader conceptualisation of thes…","author":[{"dropping-particle":"","family":"Curtis","given":"Elana","non-dropping-particle":"","parse-names":false,"suffix":""},{"dropping-particle":"","family":"Jones","given":"Rhys","non-dropping-particle":"","parse-names":false,"suffix":""},{"dropping-particle":"","family":"Tipene-Leach","given":"David","non-dropping-particle":"","parse-names":false,"suffix":""},{"dropping-particle":"","family":"Walker","given":"Curtis","non-dropping-particle":"","parse-names":false,"suffix":""},{"dropping-particle":"","family":"Loring","given":"Belinda","non-dropping-particle":"","parse-names":false,"suffix":""},{"dropping-particle":"","family":"Paine","given":"Sarah Jane","non-dropping-particle":"","parse-names":false,"suffix":""},{"dropping-particle":"","family":"Reid","given":"Papaarangi","non-dropping-particle":"","parse-names":false,"suffix":""}],"container-title":"International Journal for Equity in Health","id":"ITEM-1","issue":"1","issued":{"date-parts":[["2019"]]},"page":"1-17","publisher":"International Journal for Equity in Health","title":"Why cultural safety rather than cultural competency is required to achieve health equity: A literature review and recommended definition","type":"article-journal","volume":"18"},"uris":["http://www.mendeley.com/documents/?uuid=4daab1ed-53a3-4243-b650-8e96ff3ff9dd"]}],"mendeley":{"formattedCitation":"(28)","plainTextFormattedCitation":"(28)","previouslyFormattedCitation":"(28)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(28)</w:t>
      </w:r>
      <w:r w:rsidRPr="006720E4">
        <w:rPr>
          <w:rFonts w:ascii="Calibri" w:hAnsi="Calibri" w:cs="Calibri"/>
          <w:sz w:val="22"/>
          <w:szCs w:val="22"/>
        </w:rPr>
        <w:fldChar w:fldCharType="end"/>
      </w:r>
      <w:r w:rsidRPr="006720E4">
        <w:rPr>
          <w:rFonts w:ascii="Calibri" w:hAnsi="Calibri" w:cs="Calibri"/>
          <w:sz w:val="22"/>
          <w:szCs w:val="22"/>
        </w:rPr>
        <w:t xml:space="preserve"> The general principles of cultural safety, in particular with respect to cultural humility, critical reflection, and the recognition of power relations in decision-making are also key requirements for ethical decision-making, as discussed below in </w:t>
      </w:r>
      <w:r w:rsidR="00A800B4" w:rsidRPr="00A800B4">
        <w:rPr>
          <w:rFonts w:ascii="Calibri" w:hAnsi="Calibri" w:cs="Calibri"/>
          <w:sz w:val="22"/>
          <w:szCs w:val="22"/>
        </w:rPr>
        <w:t xml:space="preserve">see </w:t>
      </w:r>
      <w:hyperlink w:anchor="_Cultural_safety" w:history="1">
        <w:r w:rsidR="00A800B4" w:rsidRPr="00A800B4">
          <w:rPr>
            <w:rStyle w:val="Hyperlink"/>
            <w:rFonts w:ascii="Calibri" w:hAnsi="Calibri" w:cs="Calibri"/>
            <w:sz w:val="22"/>
            <w:szCs w:val="22"/>
          </w:rPr>
          <w:t>Chapter 3.4.2</w:t>
        </w:r>
      </w:hyperlink>
      <w:r w:rsidR="00A800B4" w:rsidRPr="00A800B4">
        <w:rPr>
          <w:rFonts w:cs="Calibri"/>
          <w:szCs w:val="22"/>
        </w:rPr>
        <w:t>.</w:t>
      </w:r>
    </w:p>
    <w:p w14:paraId="4E72327F" w14:textId="0F1D0039" w:rsidR="00E7541E" w:rsidRPr="006720E4" w:rsidRDefault="006C6EBA" w:rsidP="00EA22AE">
      <w:pPr>
        <w:pStyle w:val="Heading3"/>
        <w:spacing w:after="120"/>
        <w:rPr>
          <w:szCs w:val="22"/>
          <w:u w:color="0000FF"/>
          <w:lang w:val="en-GB"/>
        </w:rPr>
      </w:pPr>
      <w:bookmarkStart w:id="470" w:name="_Principle_3._Respect"/>
      <w:bookmarkStart w:id="471" w:name="_Principle_4._Promote"/>
      <w:bookmarkStart w:id="472" w:name="_Principle_4._Organ"/>
      <w:bookmarkStart w:id="473" w:name="_Principle_5._Organ"/>
      <w:bookmarkStart w:id="474" w:name="_Principle_5._Donation"/>
      <w:bookmarkStart w:id="475" w:name="_Principle_3._Decision-making"/>
      <w:bookmarkStart w:id="476" w:name="_Toc70241720"/>
      <w:bookmarkStart w:id="477" w:name="_Toc70243354"/>
      <w:bookmarkStart w:id="478" w:name="_Toc70414790"/>
      <w:bookmarkStart w:id="479" w:name="_Toc70844120"/>
      <w:bookmarkStart w:id="480" w:name="_Toc72615052"/>
      <w:bookmarkStart w:id="481" w:name="_Toc73129771"/>
      <w:bookmarkStart w:id="482" w:name="_Toc73301640"/>
      <w:bookmarkStart w:id="483" w:name="_Toc73302146"/>
      <w:bookmarkStart w:id="484" w:name="_Toc73303279"/>
      <w:bookmarkStart w:id="485" w:name="_Toc73303540"/>
      <w:bookmarkStart w:id="486" w:name="_Toc74080657"/>
      <w:bookmarkStart w:id="487" w:name="_Toc74080965"/>
      <w:bookmarkStart w:id="488" w:name="_Toc74081195"/>
      <w:bookmarkStart w:id="489" w:name="_Toc74081424"/>
      <w:bookmarkStart w:id="490" w:name="_Toc74171026"/>
      <w:bookmarkStart w:id="491" w:name="_Toc74172201"/>
      <w:bookmarkStart w:id="492" w:name="_Toc74172737"/>
      <w:bookmarkStart w:id="493" w:name="_Toc74238700"/>
      <w:bookmarkStart w:id="494" w:name="_Toc79406316"/>
      <w:bookmarkStart w:id="495" w:name="_Toc82773482"/>
      <w:bookmarkStart w:id="496" w:name="_Toc82773835"/>
      <w:bookmarkEnd w:id="461"/>
      <w:bookmarkEnd w:id="462"/>
      <w:bookmarkEnd w:id="463"/>
      <w:bookmarkEnd w:id="470"/>
      <w:bookmarkEnd w:id="471"/>
      <w:bookmarkEnd w:id="472"/>
      <w:bookmarkEnd w:id="473"/>
      <w:bookmarkEnd w:id="474"/>
      <w:bookmarkEnd w:id="475"/>
      <w:r w:rsidRPr="006720E4">
        <w:t xml:space="preserve">Principle </w:t>
      </w:r>
      <w:r w:rsidR="00E7541E" w:rsidRPr="006720E4">
        <w:t>3</w:t>
      </w:r>
      <w:r w:rsidRPr="006720E4">
        <w:t xml:space="preserve">. </w:t>
      </w:r>
      <w:r w:rsidR="00E7541E" w:rsidRPr="006720E4">
        <w:rPr>
          <w:szCs w:val="22"/>
          <w:u w:color="0000FF"/>
          <w:lang w:val="en-GB"/>
        </w:rPr>
        <w:t>Decision-making about donation and transplantation should be free from bias or discrimination based on clinically irrelevant factors such as, for example, disability, cultural identity, social or economic circumstances.</w:t>
      </w:r>
    </w:p>
    <w:p w14:paraId="5255730A" w14:textId="23AB6B6E" w:rsidR="002F14F9" w:rsidRPr="006720E4" w:rsidRDefault="002F14F9" w:rsidP="00EA22AE">
      <w:pPr>
        <w:spacing w:after="120"/>
        <w:rPr>
          <w:rFonts w:ascii="Calibri" w:hAnsi="Calibri" w:cs="Calibri"/>
          <w:sz w:val="22"/>
          <w:szCs w:val="22"/>
        </w:rPr>
      </w:pPr>
      <w:r w:rsidRPr="006720E4">
        <w:rPr>
          <w:rFonts w:ascii="Calibri" w:hAnsi="Calibri" w:cs="Calibri"/>
          <w:sz w:val="22"/>
          <w:szCs w:val="22"/>
        </w:rPr>
        <w:t xml:space="preserve">Ensuring that only relevant factors are considered in decision-making is important to promote equity in donation and transplantation (see </w:t>
      </w:r>
      <w:hyperlink w:anchor="_The_role_and" w:history="1">
        <w:r w:rsidR="00D11BFA" w:rsidRPr="00D11BFA">
          <w:rPr>
            <w:rStyle w:val="Hyperlink"/>
            <w:rFonts w:ascii="Calibri" w:hAnsi="Calibri" w:cs="Calibri"/>
            <w:sz w:val="22"/>
            <w:szCs w:val="22"/>
          </w:rPr>
          <w:t>Chapter 8.2.3</w:t>
        </w:r>
      </w:hyperlink>
      <w:r w:rsidR="00D11BFA" w:rsidRPr="00D11BFA">
        <w:rPr>
          <w:rFonts w:ascii="Calibri" w:hAnsi="Calibri" w:cs="Calibri"/>
          <w:sz w:val="22"/>
          <w:szCs w:val="22"/>
        </w:rPr>
        <w:t>).</w:t>
      </w:r>
    </w:p>
    <w:p w14:paraId="6576DC71" w14:textId="5C109839" w:rsidR="002F14F9" w:rsidRPr="006720E4" w:rsidRDefault="002F14F9" w:rsidP="00EA22AE">
      <w:pPr>
        <w:spacing w:after="120"/>
        <w:rPr>
          <w:rFonts w:ascii="Calibri" w:hAnsi="Calibri" w:cs="Calibri"/>
          <w:sz w:val="22"/>
          <w:szCs w:val="22"/>
        </w:rPr>
      </w:pPr>
      <w:r w:rsidRPr="006720E4">
        <w:rPr>
          <w:rFonts w:ascii="Calibri" w:hAnsi="Calibri" w:cs="Calibri"/>
          <w:sz w:val="22"/>
          <w:szCs w:val="22"/>
        </w:rPr>
        <w:lastRenderedPageBreak/>
        <w:t xml:space="preserve">Attitudes towards donation and transplantation in general and in specific circumstances may differ and are shaped by an individual’s own values, experiences, preferences, and beliefs, as well as those of their colleagues, family and/or community. Individuals may also be influenced by prejudices, such as racism, sexism, ableism, and ageism, as well as cultural and cognitive biases, when communicating or processing information and making judgements or decisions. </w:t>
      </w:r>
    </w:p>
    <w:p w14:paraId="1BF3CC45" w14:textId="675CE5F7" w:rsidR="002F14F9" w:rsidRPr="006720E4" w:rsidRDefault="002F14F9" w:rsidP="00EA22AE">
      <w:pPr>
        <w:spacing w:after="120"/>
        <w:rPr>
          <w:rFonts w:ascii="Calibri" w:hAnsi="Calibri" w:cs="Calibri"/>
          <w:sz w:val="22"/>
          <w:szCs w:val="22"/>
        </w:rPr>
      </w:pPr>
      <w:r w:rsidRPr="006720E4">
        <w:rPr>
          <w:rFonts w:ascii="Calibri" w:hAnsi="Calibri" w:cs="Calibri"/>
          <w:sz w:val="22"/>
          <w:szCs w:val="22"/>
        </w:rPr>
        <w:t>Cognitive biases and heuristics are common in healthcare (and everyday) decision-making; they involve mental “shortcuts” in judgements and decision-making that can lead to “systematic and predictable errors”.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{"citationItems":[{"id":"ITEM-1","itemData":{"DOI":"10.1177/0272989X14547740","ISSN":"1552681X","PMID":"25145577","abstract":"Background. The role of cognitive biases and heuristics in medical decision making is of growing interest. The purpose of this study was to determine whether studies on cognitive biases and heuristics in medical decision making are based on actual or hypothetical decisions and are conducted with populations that are representative of those who typically make the medical decision; to categorize the types of cognitive biases and heuristics found and whether they are found in patients or in medical personnel; and to critically review the studies based on standard methodological quality criteria. Method. Data sources were original, peer-reviewed, empirical studies on cognitive biases and heuristics in medical decision making found in Ovid Medline, PsycINFO, and the CINAHL databases published in 1980-2013. Predefined exclusion criteria were used to identify 213 studies. During data extraction, information was collected on type of bias or heuristic studied, respondent population, decision type, study type (actual or hypothetical), study method, and study conclusion. Results. Of the 213 studies analyzed, 164 (77%) were based on hypothetical vignettes, and 175 (82%) were conducted with representative populations. Nineteen types of cognitive biases and heuristics were found. Only 34% of studies (n = 73) investigated medical personnel, and 68% (n = 145) confirmed the presence of a bias or heuristic. Each methodological quality criterion was satisfied by more than 50% of the studies, except for sample size and validated instruments/questions. Limitations are that existing terms were used to inform search terms, and study inclusion criteria focused strictly on decision making. Conclusions. Most of the studies on biases and heuristics in medical decision making are based on hypothetical vignettes, raising concerns about applicability of these findings to actual decision making. Biases and heuristics have been underinvestigated in medical personnel compared with patients.","author":[{"dropping-particle":"","family":"Blumenthal-Barby","given":"J. S.","non-dropping-particle":"","parse-names":false,"suffix":""},{"dropping-particle":"","family":"Krieger","given":"Heather","non-dropping-particle":"","parse-names":false,"suffix":""}],"container-title":"Medical Decision Making","id":"ITEM-1","issue":"4","issued":{"date-parts":[["2015"]]},"page":"539-557","title":"Cognitive biases and heuristics in medical decision making: A critical review using a systematic search strategy","type":"article-journal","volume":"35"},"uris":["http://www.mendeley.com/documents/?uuid=cd973267-9aa8-4009-99ca-03f86e4dd644"]}],"mendeley":{"formattedCitation":"(33)","plainTextFormattedCitation":"(33)","previouslyFormattedCitation":"(33)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(33)</w:t>
      </w:r>
      <w:r w:rsidRPr="006720E4">
        <w:rPr>
          <w:rFonts w:ascii="Calibri" w:hAnsi="Calibri" w:cs="Calibri"/>
          <w:sz w:val="22"/>
          <w:szCs w:val="22"/>
        </w:rPr>
        <w:fldChar w:fldCharType="end"/>
      </w:r>
      <w:r w:rsidRPr="006720E4">
        <w:rPr>
          <w:rFonts w:ascii="Calibri" w:hAnsi="Calibri" w:cs="Calibri"/>
          <w:sz w:val="22"/>
          <w:szCs w:val="22"/>
        </w:rPr>
        <w:t xml:space="preserve"> Although sometimes helpful in facilitating decision-making when there is limited time, heuristics and cognitive biases on the part of decision-makers and those who are supporting decision-making can also undermine autonomy.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{"citationItems":[{"id":"ITEM-1","itemData":{"DOI":"10.1080/15265161.2016.1159750","ISSN":"15360075","PMID":"27111357","abstract":"Cognitive scientists have identified a wide range of biases and heuristics in human decision making over the past few decades. Only recently have bioethicists begun to think seriously about the implications of these findings for topics such as agency, autonomy, and consent. This article aims to provide an overview of biases and heuristics that have been identified and a framework in which to think comprehensively about the impact of them on the exercise of autonomous decision making. I analyze the impact that these biases and heuristics have on the following dimensions of autonomy: understanding, intentionality, absence of alienating or controlling influence, and match between formally autonomous preferences or decisions and actual choices or actions.","author":[{"dropping-particle":"","family":"Blumenthal-Barby","given":"J. S.","non-dropping-particle":"","parse-names":false,"suffix":""}],"container-title":"American Journal of Bioethics","id":"ITEM-1","issue":"5","issued":{"date-parts":[["2016"]]},"page":"5-15","title":"Biases and Heuristics in Decision Making and Their Impact on Autonomy","type":"article-journal","volume":"16"},"uris":["http://www.mendeley.com/documents/?uuid=8c0af821-9276-42ad-884a-96eaf7b745ab"]}],"mendeley":{"formattedCitation":"(34)","plainTextFormattedCitation":"(34)","previouslyFormattedCitation":"(34)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(34)</w:t>
      </w:r>
      <w:r w:rsidRPr="006720E4">
        <w:rPr>
          <w:rFonts w:ascii="Calibri" w:hAnsi="Calibri" w:cs="Calibri"/>
          <w:sz w:val="22"/>
          <w:szCs w:val="22"/>
        </w:rPr>
        <w:fldChar w:fldCharType="end"/>
      </w:r>
      <w:r w:rsidRPr="006720E4">
        <w:rPr>
          <w:rFonts w:ascii="Calibri" w:hAnsi="Calibri" w:cs="Calibri"/>
          <w:sz w:val="22"/>
          <w:szCs w:val="22"/>
        </w:rPr>
        <w:t xml:space="preserve"> </w:t>
      </w:r>
    </w:p>
    <w:p w14:paraId="72F03826" w14:textId="77777777" w:rsidR="002F14F9" w:rsidRPr="006720E4" w:rsidRDefault="002F14F9" w:rsidP="00EA22AE">
      <w:pPr>
        <w:spacing w:after="120"/>
        <w:rPr>
          <w:rFonts w:ascii="Calibri" w:hAnsi="Calibri" w:cs="Calibri"/>
          <w:sz w:val="22"/>
          <w:szCs w:val="22"/>
        </w:rPr>
      </w:pPr>
      <w:r w:rsidRPr="006720E4">
        <w:rPr>
          <w:rFonts w:ascii="Calibri" w:hAnsi="Calibri" w:cs="Calibri"/>
          <w:sz w:val="22"/>
          <w:szCs w:val="22"/>
        </w:rPr>
        <w:t xml:space="preserve">For example, cultural biases may lead some health professionals to make assumptions about the preferences of people who identify with particular religions or cultural groups, which might influence the way that treatment options are presented to those people. While knowledge of common cultural beliefs or values may be helpful in supporting respectful communication and shared decision-making, each person should be treated as an individual and their values, beliefs and preferences should be determined rather than assumed. </w:t>
      </w:r>
    </w:p>
    <w:p w14:paraId="1C5807CA" w14:textId="785651AE" w:rsidR="002F14F9" w:rsidRPr="006720E4" w:rsidRDefault="002F14F9" w:rsidP="00EA22AE">
      <w:pPr>
        <w:spacing w:after="120"/>
        <w:rPr>
          <w:rFonts w:ascii="Calibri" w:hAnsi="Calibri" w:cs="Calibri"/>
          <w:sz w:val="22"/>
          <w:szCs w:val="22"/>
        </w:rPr>
      </w:pPr>
      <w:r w:rsidRPr="006720E4">
        <w:rPr>
          <w:rFonts w:ascii="Calibri" w:hAnsi="Calibri" w:cs="Calibri"/>
          <w:sz w:val="22"/>
          <w:szCs w:val="22"/>
        </w:rPr>
        <w:t xml:space="preserve">Potential strategies to </w:t>
      </w:r>
      <w:r w:rsidRPr="004F318F">
        <w:rPr>
          <w:rFonts w:ascii="Calibri" w:hAnsi="Calibri" w:cs="Calibri"/>
          <w:sz w:val="22"/>
          <w:szCs w:val="22"/>
        </w:rPr>
        <w:t xml:space="preserve">help avoid unfair discrimination, manage biases, and support impartiality in ethical decision-making are discussed in </w:t>
      </w:r>
      <w:hyperlink w:anchor="_Moral_distress" w:history="1">
        <w:r w:rsidRPr="004F318F">
          <w:rPr>
            <w:rStyle w:val="Hyperlink"/>
            <w:rFonts w:ascii="Calibri" w:hAnsi="Calibri" w:cs="Calibri"/>
            <w:sz w:val="22"/>
            <w:szCs w:val="22"/>
          </w:rPr>
          <w:t>Chapter 3.6.2</w:t>
        </w:r>
      </w:hyperlink>
      <w:r w:rsidRPr="004F318F">
        <w:rPr>
          <w:rFonts w:ascii="Calibri" w:hAnsi="Calibri" w:cs="Calibri"/>
          <w:sz w:val="22"/>
          <w:szCs w:val="22"/>
        </w:rPr>
        <w:t>.</w:t>
      </w:r>
    </w:p>
    <w:p w14:paraId="0F260FC0" w14:textId="5ABDA578" w:rsidR="00E7541E" w:rsidRPr="006720E4" w:rsidRDefault="00E7541E" w:rsidP="00EA22AE">
      <w:pPr>
        <w:pStyle w:val="Heading3"/>
        <w:spacing w:after="120"/>
        <w:rPr>
          <w:szCs w:val="22"/>
          <w:u w:color="0000FF"/>
          <w:lang w:val="en-GB"/>
        </w:rPr>
      </w:pPr>
      <w:bookmarkStart w:id="497" w:name="_Principle_4._In"/>
      <w:bookmarkEnd w:id="497"/>
      <w:r w:rsidRPr="006720E4">
        <w:rPr>
          <w:szCs w:val="22"/>
          <w:u w:color="0000FF"/>
          <w:lang w:val="en-GB"/>
        </w:rPr>
        <w:t>Principle 4. In donation and transplantation activities, potential conflicts of interest should be avoided and where unavoidable, should be appropriately managed.</w:t>
      </w:r>
    </w:p>
    <w:p w14:paraId="2B77D74F" w14:textId="7F04053A" w:rsidR="00AE024A" w:rsidRPr="006720E4" w:rsidRDefault="00AE024A" w:rsidP="00EA22AE">
      <w:pPr>
        <w:spacing w:after="120"/>
        <w:rPr>
          <w:rFonts w:ascii="Calibri" w:hAnsi="Calibri" w:cs="Calibri"/>
          <w:sz w:val="22"/>
          <w:szCs w:val="22"/>
        </w:rPr>
      </w:pPr>
      <w:r w:rsidRPr="006720E4">
        <w:rPr>
          <w:rFonts w:ascii="Calibri" w:hAnsi="Calibri" w:cs="Calibri"/>
          <w:sz w:val="22"/>
          <w:szCs w:val="22"/>
        </w:rPr>
        <w:t>Potential conflicts of interest exist when individuals or organi</w:t>
      </w:r>
      <w:r w:rsidR="000208BF">
        <w:rPr>
          <w:rFonts w:ascii="Calibri" w:hAnsi="Calibri" w:cs="Calibri"/>
          <w:sz w:val="22"/>
          <w:szCs w:val="22"/>
        </w:rPr>
        <w:t>s</w:t>
      </w:r>
      <w:r w:rsidRPr="006720E4">
        <w:rPr>
          <w:rFonts w:ascii="Calibri" w:hAnsi="Calibri" w:cs="Calibri"/>
          <w:sz w:val="22"/>
          <w:szCs w:val="22"/>
        </w:rPr>
        <w:t xml:space="preserve">ations have multiple commitments, relationships, goals, or values (“interests”) that may influence their actions or decisions in a particular situation, and these interests may conflict with one another in a way that may compromise fulfilment of primary duties or obligations, and cause bias in decision-making. Primary duties typically include a health professional’s duty of care towards their </w:t>
      </w:r>
      <w:r w:rsidRPr="00630779">
        <w:rPr>
          <w:rFonts w:ascii="Calibri" w:hAnsi="Calibri" w:cs="Calibri"/>
          <w:sz w:val="22"/>
          <w:szCs w:val="22"/>
        </w:rPr>
        <w:t xml:space="preserve">patients (see </w:t>
      </w:r>
      <w:hyperlink w:anchor="_Duty_of_care" w:history="1">
        <w:r w:rsidR="00630779" w:rsidRPr="00630779">
          <w:rPr>
            <w:rStyle w:val="Hyperlink"/>
            <w:rFonts w:ascii="Calibri" w:hAnsi="Calibri" w:cs="Calibri"/>
            <w:sz w:val="22"/>
            <w:szCs w:val="22"/>
          </w:rPr>
          <w:t>Chapter 3.3.4.1</w:t>
        </w:r>
      </w:hyperlink>
      <w:r w:rsidRPr="00630779">
        <w:rPr>
          <w:rFonts w:ascii="Calibri" w:hAnsi="Calibri" w:cs="Calibri"/>
          <w:sz w:val="22"/>
          <w:szCs w:val="22"/>
        </w:rPr>
        <w:t xml:space="preserve">), and their duty to respect the </w:t>
      </w:r>
      <w:r w:rsidRPr="004F318F">
        <w:rPr>
          <w:rFonts w:ascii="Calibri" w:hAnsi="Calibri" w:cs="Calibri"/>
          <w:sz w:val="22"/>
          <w:szCs w:val="22"/>
        </w:rPr>
        <w:t>dignity and autonomy</w:t>
      </w:r>
      <w:r w:rsidR="004F318F" w:rsidRPr="004F318F">
        <w:rPr>
          <w:rFonts w:ascii="Calibri" w:hAnsi="Calibri" w:cs="Calibri"/>
          <w:sz w:val="22"/>
          <w:szCs w:val="22"/>
        </w:rPr>
        <w:t xml:space="preserve"> (see </w:t>
      </w:r>
      <w:hyperlink w:anchor="_Principle_1._Respect" w:history="1">
        <w:r w:rsidR="004F318F" w:rsidRPr="004F318F">
          <w:rPr>
            <w:rStyle w:val="Hyperlink"/>
            <w:rFonts w:ascii="Calibri" w:hAnsi="Calibri" w:cs="Calibri"/>
            <w:sz w:val="22"/>
            <w:szCs w:val="22"/>
          </w:rPr>
          <w:t>Chapter 3.2.1</w:t>
        </w:r>
      </w:hyperlink>
      <w:r w:rsidR="004F318F" w:rsidRPr="004F318F">
        <w:rPr>
          <w:rFonts w:ascii="Calibri" w:hAnsi="Calibri" w:cs="Calibri"/>
          <w:sz w:val="22"/>
          <w:szCs w:val="22"/>
        </w:rPr>
        <w:t xml:space="preserve">) </w:t>
      </w:r>
      <w:r w:rsidRPr="004F318F">
        <w:rPr>
          <w:rFonts w:ascii="Calibri" w:hAnsi="Calibri" w:cs="Calibri"/>
          <w:sz w:val="22"/>
          <w:szCs w:val="22"/>
        </w:rPr>
        <w:t>of individuals.</w:t>
      </w:r>
      <w:r w:rsidRPr="006720E4">
        <w:rPr>
          <w:rFonts w:ascii="Calibri" w:hAnsi="Calibri" w:cs="Calibri"/>
          <w:sz w:val="22"/>
          <w:szCs w:val="22"/>
        </w:rPr>
        <w:t xml:space="preserve"> </w:t>
      </w:r>
    </w:p>
    <w:p w14:paraId="2F8BCACA" w14:textId="77777777" w:rsidR="00AE024A" w:rsidRPr="006720E4" w:rsidRDefault="00AE024A" w:rsidP="00EA22AE">
      <w:pPr>
        <w:spacing w:after="120"/>
        <w:rPr>
          <w:rFonts w:ascii="Calibri" w:hAnsi="Calibri" w:cs="Calibri"/>
          <w:sz w:val="22"/>
          <w:szCs w:val="22"/>
        </w:rPr>
      </w:pPr>
      <w:r w:rsidRPr="006720E4">
        <w:rPr>
          <w:rFonts w:ascii="Calibri" w:hAnsi="Calibri" w:cs="Calibri"/>
          <w:sz w:val="22"/>
          <w:szCs w:val="22"/>
        </w:rPr>
        <w:t>Management of potential conflicts of interest is essential not only to ensure the integrity of decision-making about donation and transplantation but also to sustain public trust.</w:t>
      </w:r>
    </w:p>
    <w:p w14:paraId="20EF801A" w14:textId="29E5B119" w:rsidR="00AE024A" w:rsidRPr="006720E4" w:rsidRDefault="00AE024A" w:rsidP="00EA22AE">
      <w:pPr>
        <w:spacing w:after="120"/>
        <w:rPr>
          <w:rFonts w:ascii="Calibri" w:hAnsi="Calibri" w:cs="Calibri"/>
          <w:sz w:val="22"/>
          <w:szCs w:val="22"/>
        </w:rPr>
      </w:pPr>
      <w:r w:rsidRPr="004F318F">
        <w:rPr>
          <w:rFonts w:ascii="Calibri" w:hAnsi="Calibri" w:cs="Calibri"/>
          <w:sz w:val="22"/>
          <w:szCs w:val="22"/>
        </w:rPr>
        <w:t xml:space="preserve">General considerations with regards to conflicts of interest are explored in </w:t>
      </w:r>
      <w:hyperlink w:anchor="_Legislation" w:history="1">
        <w:r w:rsidR="003B6DEC" w:rsidRPr="004F318F">
          <w:rPr>
            <w:rStyle w:val="Hyperlink"/>
            <w:rFonts w:ascii="Calibri" w:hAnsi="Calibri" w:cs="Calibri"/>
            <w:sz w:val="22"/>
            <w:szCs w:val="22"/>
          </w:rPr>
          <w:t>Chapter 3.8</w:t>
        </w:r>
      </w:hyperlink>
      <w:r w:rsidR="003B6DEC" w:rsidRPr="004F318F">
        <w:rPr>
          <w:rFonts w:ascii="Calibri" w:hAnsi="Calibri" w:cs="Calibri"/>
          <w:sz w:val="22"/>
          <w:szCs w:val="22"/>
        </w:rPr>
        <w:t xml:space="preserve"> </w:t>
      </w:r>
      <w:r w:rsidRPr="004F318F">
        <w:rPr>
          <w:rFonts w:ascii="Calibri" w:hAnsi="Calibri" w:cs="Calibri"/>
          <w:sz w:val="22"/>
          <w:szCs w:val="22"/>
        </w:rPr>
        <w:t xml:space="preserve">below and specific contexts in which conflicts may arise are explored in </w:t>
      </w:r>
      <w:hyperlink w:anchor="_Management_of_conflicts_1" w:history="1">
        <w:r w:rsidRPr="004F318F">
          <w:rPr>
            <w:rStyle w:val="Hyperlink"/>
            <w:rFonts w:ascii="Calibri" w:hAnsi="Calibri" w:cs="Calibri"/>
            <w:sz w:val="22"/>
            <w:szCs w:val="22"/>
          </w:rPr>
          <w:t xml:space="preserve">Chapter </w:t>
        </w:r>
        <w:r w:rsidR="00896317" w:rsidRPr="004F318F">
          <w:rPr>
            <w:rStyle w:val="Hyperlink"/>
            <w:rFonts w:ascii="Calibri" w:hAnsi="Calibri" w:cs="Calibri"/>
            <w:sz w:val="22"/>
            <w:szCs w:val="22"/>
          </w:rPr>
          <w:t>5</w:t>
        </w:r>
        <w:r w:rsidRPr="004F318F">
          <w:rPr>
            <w:rStyle w:val="Hyperlink"/>
            <w:rFonts w:ascii="Calibri" w:hAnsi="Calibri" w:cs="Calibri"/>
            <w:sz w:val="22"/>
            <w:szCs w:val="22"/>
          </w:rPr>
          <w:t>.5.3.3</w:t>
        </w:r>
      </w:hyperlink>
      <w:r w:rsidRPr="004F318F">
        <w:rPr>
          <w:rFonts w:ascii="Calibri" w:hAnsi="Calibri" w:cs="Calibri"/>
          <w:sz w:val="22"/>
          <w:szCs w:val="22"/>
        </w:rPr>
        <w:t xml:space="preserve"> (living donation by </w:t>
      </w:r>
      <w:hyperlink w:anchor="_Glossary" w:history="1">
        <w:r w:rsidRPr="004F318F">
          <w:rPr>
            <w:rStyle w:val="Hyperlink"/>
            <w:rFonts w:ascii="Calibri" w:hAnsi="Calibri" w:cs="Calibri"/>
            <w:sz w:val="22"/>
            <w:szCs w:val="22"/>
          </w:rPr>
          <w:t>dependent donors</w:t>
        </w:r>
      </w:hyperlink>
      <w:r w:rsidRPr="004F318F">
        <w:rPr>
          <w:rFonts w:ascii="Calibri" w:hAnsi="Calibri" w:cs="Calibri"/>
          <w:sz w:val="22"/>
          <w:szCs w:val="22"/>
        </w:rPr>
        <w:t xml:space="preserve">), </w:t>
      </w:r>
      <w:hyperlink w:anchor="_Potential_conflicts_of" w:history="1">
        <w:r w:rsidRPr="004F318F">
          <w:rPr>
            <w:rStyle w:val="Hyperlink"/>
            <w:rFonts w:ascii="Calibri" w:hAnsi="Calibri" w:cs="Calibri"/>
            <w:sz w:val="22"/>
            <w:szCs w:val="22"/>
          </w:rPr>
          <w:t xml:space="preserve">Chapter </w:t>
        </w:r>
        <w:r w:rsidR="00896317" w:rsidRPr="004F318F">
          <w:rPr>
            <w:rStyle w:val="Hyperlink"/>
            <w:rFonts w:ascii="Calibri" w:hAnsi="Calibri" w:cs="Calibri"/>
            <w:sz w:val="22"/>
            <w:szCs w:val="22"/>
          </w:rPr>
          <w:t>8</w:t>
        </w:r>
        <w:r w:rsidRPr="004F318F">
          <w:rPr>
            <w:rStyle w:val="Hyperlink"/>
            <w:rFonts w:ascii="Calibri" w:hAnsi="Calibri" w:cs="Calibri"/>
            <w:sz w:val="22"/>
            <w:szCs w:val="22"/>
          </w:rPr>
          <w:t>.5.1.3</w:t>
        </w:r>
      </w:hyperlink>
      <w:r w:rsidRPr="004F318F">
        <w:rPr>
          <w:rFonts w:ascii="Calibri" w:hAnsi="Calibri" w:cs="Calibri"/>
          <w:sz w:val="22"/>
          <w:szCs w:val="22"/>
        </w:rPr>
        <w:t xml:space="preserve"> (allocation of donor tissues), and </w:t>
      </w:r>
      <w:hyperlink w:anchor="_Management_of_potential" w:history="1">
        <w:r w:rsidRPr="004F318F">
          <w:rPr>
            <w:rStyle w:val="Hyperlink"/>
            <w:rFonts w:ascii="Calibri" w:hAnsi="Calibri" w:cs="Calibri"/>
            <w:sz w:val="22"/>
            <w:szCs w:val="22"/>
          </w:rPr>
          <w:t>Chapter 1</w:t>
        </w:r>
        <w:r w:rsidR="00896317" w:rsidRPr="004F318F">
          <w:rPr>
            <w:rStyle w:val="Hyperlink"/>
            <w:rFonts w:ascii="Calibri" w:hAnsi="Calibri" w:cs="Calibri"/>
            <w:sz w:val="22"/>
            <w:szCs w:val="22"/>
          </w:rPr>
          <w:t>1</w:t>
        </w:r>
        <w:r w:rsidRPr="004F318F">
          <w:rPr>
            <w:rStyle w:val="Hyperlink"/>
            <w:rFonts w:ascii="Calibri" w:hAnsi="Calibri" w:cs="Calibri"/>
            <w:sz w:val="22"/>
            <w:szCs w:val="22"/>
          </w:rPr>
          <w:t>.3</w:t>
        </w:r>
      </w:hyperlink>
      <w:r w:rsidRPr="004F318F">
        <w:rPr>
          <w:rFonts w:ascii="Calibri" w:hAnsi="Calibri" w:cs="Calibri"/>
          <w:sz w:val="22"/>
          <w:szCs w:val="22"/>
        </w:rPr>
        <w:t xml:space="preserve"> (end-of-</w:t>
      </w:r>
      <w:r w:rsidRPr="006720E4">
        <w:rPr>
          <w:rFonts w:ascii="Calibri" w:hAnsi="Calibri" w:cs="Calibri"/>
          <w:sz w:val="22"/>
          <w:szCs w:val="22"/>
        </w:rPr>
        <w:t xml:space="preserve">life care). </w:t>
      </w:r>
    </w:p>
    <w:p w14:paraId="1F121B52" w14:textId="77777777" w:rsidR="00AE024A" w:rsidRPr="006720E4" w:rsidRDefault="00AE024A" w:rsidP="00EA22AE">
      <w:pPr>
        <w:pStyle w:val="Heading4"/>
        <w:spacing w:after="120"/>
      </w:pPr>
      <w:bookmarkStart w:id="498" w:name="_Duty_of_care"/>
      <w:bookmarkStart w:id="499" w:name="_Toc82773490"/>
      <w:bookmarkStart w:id="500" w:name="_Toc82773843"/>
      <w:bookmarkEnd w:id="498"/>
      <w:r w:rsidRPr="006720E4">
        <w:t>Duty of care</w:t>
      </w:r>
      <w:bookmarkEnd w:id="499"/>
      <w:bookmarkEnd w:id="500"/>
    </w:p>
    <w:p w14:paraId="14AEE345" w14:textId="77777777" w:rsidR="00AE024A" w:rsidRDefault="00AE024A" w:rsidP="00EA22AE">
      <w:pPr>
        <w:spacing w:after="120"/>
        <w:rPr>
          <w:rFonts w:ascii="Calibri" w:hAnsi="Calibri" w:cs="Calibri"/>
          <w:sz w:val="22"/>
          <w:szCs w:val="22"/>
        </w:rPr>
      </w:pPr>
      <w:r w:rsidRPr="006720E4">
        <w:rPr>
          <w:rFonts w:ascii="Calibri" w:hAnsi="Calibri" w:cs="Calibri"/>
          <w:sz w:val="22"/>
          <w:szCs w:val="22"/>
        </w:rPr>
        <w:t xml:space="preserve">Health professionals are considered to have a primary duty of care towards their patients. This generally means that where a therapeutic relationship has been established between a health professional and a patient, the health professional’s first concern should be to fulfil their ethical and professional obligations towards the patient. </w:t>
      </w:r>
    </w:p>
    <w:p w14:paraId="76AF7E67" w14:textId="6BFA0694" w:rsidR="00CD249E" w:rsidRPr="006720E4" w:rsidRDefault="00CD249E" w:rsidP="00EA22AE">
      <w:pPr>
        <w:spacing w:after="120"/>
        <w:rPr>
          <w:rFonts w:ascii="Calibri" w:hAnsi="Calibri" w:cs="Calibri"/>
          <w:sz w:val="22"/>
          <w:szCs w:val="22"/>
        </w:rPr>
      </w:pPr>
      <w:r w:rsidRPr="00CD249E">
        <w:rPr>
          <w:rFonts w:ascii="Calibri" w:hAnsi="Calibri" w:cs="Calibri"/>
          <w:sz w:val="22"/>
          <w:szCs w:val="22"/>
        </w:rPr>
        <w:t>Health professionals’ duties of care may extend to the family of donors or transplant recipients. Duties of care are also applicable to those who are declined as donors or transplant recipients, and during the screening/evaluation process.</w:t>
      </w:r>
    </w:p>
    <w:p w14:paraId="145196AD" w14:textId="77777777" w:rsidR="00AE024A" w:rsidRPr="006720E4" w:rsidRDefault="00AE024A" w:rsidP="00EA22AE">
      <w:pPr>
        <w:spacing w:after="120"/>
        <w:rPr>
          <w:rFonts w:ascii="Calibri" w:hAnsi="Calibri" w:cs="Calibri"/>
          <w:sz w:val="22"/>
          <w:szCs w:val="22"/>
        </w:rPr>
      </w:pPr>
      <w:r w:rsidRPr="006720E4">
        <w:rPr>
          <w:rFonts w:ascii="Calibri" w:hAnsi="Calibri" w:cs="Calibri"/>
          <w:sz w:val="22"/>
          <w:szCs w:val="22"/>
        </w:rPr>
        <w:t xml:space="preserve">Health professionals often have multiple responsibilities in the context of their professional roles, and if it is necessary to prioritise these responsibilities, the duty of care requires patients to be prioritised. </w:t>
      </w:r>
    </w:p>
    <w:p w14:paraId="5EA899E7" w14:textId="130B1EFB" w:rsidR="00CD249E" w:rsidRPr="006720E4" w:rsidRDefault="00AE024A" w:rsidP="00EA22AE">
      <w:pPr>
        <w:spacing w:after="120"/>
        <w:rPr>
          <w:rFonts w:ascii="Calibri" w:hAnsi="Calibri" w:cs="Calibri"/>
          <w:sz w:val="22"/>
          <w:szCs w:val="22"/>
        </w:rPr>
      </w:pPr>
      <w:r w:rsidRPr="006720E4">
        <w:rPr>
          <w:rFonts w:ascii="Calibri" w:hAnsi="Calibri" w:cs="Calibri"/>
          <w:sz w:val="22"/>
          <w:szCs w:val="22"/>
        </w:rPr>
        <w:t xml:space="preserve">The primacy of the duty of care does not mean that health professionals are expected to promote the interests of their own patients at the expense of other patients. Nor does it mean that professionals may violate other ethical duties in order to help their own patients. For example, </w:t>
      </w:r>
      <w:r w:rsidRPr="006720E4">
        <w:rPr>
          <w:rFonts w:ascii="Calibri" w:hAnsi="Calibri" w:cs="Calibri"/>
          <w:sz w:val="22"/>
          <w:szCs w:val="22"/>
        </w:rPr>
        <w:lastRenderedPageBreak/>
        <w:t xml:space="preserve">participating in organ </w:t>
      </w:r>
      <w:r w:rsidRPr="001C292C">
        <w:rPr>
          <w:rFonts w:ascii="Calibri" w:hAnsi="Calibri" w:cs="Calibri"/>
          <w:sz w:val="22"/>
          <w:szCs w:val="22"/>
        </w:rPr>
        <w:t>trafficking</w:t>
      </w:r>
      <w:r w:rsidR="00896317" w:rsidRPr="001C292C">
        <w:rPr>
          <w:rFonts w:ascii="Calibri" w:hAnsi="Calibri" w:cs="Calibri"/>
          <w:sz w:val="22"/>
          <w:szCs w:val="22"/>
        </w:rPr>
        <w:t xml:space="preserve"> (see </w:t>
      </w:r>
      <w:hyperlink w:anchor="_Organ_and_tissue_2" w:history="1">
        <w:r w:rsidR="00896317" w:rsidRPr="001C292C">
          <w:rPr>
            <w:rStyle w:val="Hyperlink"/>
            <w:rFonts w:ascii="Calibri" w:hAnsi="Calibri" w:cs="Calibri"/>
            <w:sz w:val="22"/>
            <w:szCs w:val="22"/>
          </w:rPr>
          <w:t xml:space="preserve">Chapter </w:t>
        </w:r>
        <w:r w:rsidR="001C292C" w:rsidRPr="001C292C">
          <w:rPr>
            <w:rStyle w:val="Hyperlink"/>
            <w:rFonts w:ascii="Calibri" w:hAnsi="Calibri" w:cs="Calibri"/>
            <w:sz w:val="22"/>
            <w:szCs w:val="22"/>
          </w:rPr>
          <w:t>10.6</w:t>
        </w:r>
      </w:hyperlink>
      <w:r w:rsidR="00896317" w:rsidRPr="001C292C">
        <w:rPr>
          <w:rFonts w:ascii="Calibri" w:hAnsi="Calibri" w:cs="Calibri"/>
          <w:sz w:val="22"/>
          <w:szCs w:val="22"/>
        </w:rPr>
        <w:t>)</w:t>
      </w:r>
      <w:r w:rsidRPr="001C292C">
        <w:rPr>
          <w:rFonts w:ascii="Calibri" w:hAnsi="Calibri" w:cs="Calibri"/>
          <w:sz w:val="22"/>
          <w:szCs w:val="22"/>
        </w:rPr>
        <w:t xml:space="preserve"> in</w:t>
      </w:r>
      <w:r w:rsidRPr="006720E4">
        <w:rPr>
          <w:rFonts w:ascii="Calibri" w:hAnsi="Calibri" w:cs="Calibri"/>
          <w:sz w:val="22"/>
          <w:szCs w:val="22"/>
        </w:rPr>
        <w:t xml:space="preserve"> order to help a patient receive an organ transplant would not be justified by the duty of care. </w:t>
      </w:r>
    </w:p>
    <w:p w14:paraId="346B0A7A" w14:textId="4BB44613" w:rsidR="00E7541E" w:rsidRPr="006720E4" w:rsidRDefault="00E7541E" w:rsidP="00EA22AE">
      <w:pPr>
        <w:pStyle w:val="Heading3"/>
        <w:spacing w:after="120"/>
      </w:pPr>
      <w:bookmarkStart w:id="501" w:name="_Principle_5._Donation_1"/>
      <w:bookmarkEnd w:id="501"/>
      <w:r w:rsidRPr="006720E4">
        <w:rPr>
          <w:szCs w:val="22"/>
          <w:u w:color="0000FF"/>
          <w:lang w:val="en-GB"/>
        </w:rPr>
        <w:t xml:space="preserve">Principle 5. </w:t>
      </w:r>
      <w:r w:rsidRPr="006720E4">
        <w:t>Donation and transplantation activities and decision-making should be transparent and open to scrutiny.</w:t>
      </w:r>
    </w:p>
    <w:p w14:paraId="35FB329B" w14:textId="7710608D" w:rsidR="0046685A" w:rsidRPr="006720E4" w:rsidRDefault="0046685A" w:rsidP="00EA22AE">
      <w:pPr>
        <w:spacing w:after="120"/>
        <w:rPr>
          <w:rFonts w:ascii="Calibri" w:hAnsi="Calibri" w:cs="Calibri"/>
          <w:sz w:val="22"/>
          <w:szCs w:val="22"/>
        </w:rPr>
      </w:pPr>
      <w:r w:rsidRPr="006720E4">
        <w:rPr>
          <w:rFonts w:ascii="Calibri" w:hAnsi="Calibri" w:cs="Calibri"/>
          <w:sz w:val="22"/>
          <w:szCs w:val="22"/>
        </w:rPr>
        <w:t xml:space="preserve">Information about donation and transplantation activities is of public interest because deceased donation and transplantation are a collective societal activity in which individuals depend on other individuals to meet their needs for transplantation. Ensuring that the public good of donation and transplantation is appropriately and optimally managed for the benefit of all requires transparency of policy and practice to facilitate accountability. </w:t>
      </w:r>
    </w:p>
    <w:p w14:paraId="0E0F489C" w14:textId="45638D09" w:rsidR="00896317" w:rsidRPr="006720E4" w:rsidRDefault="0046685A" w:rsidP="00EA22AE">
      <w:pPr>
        <w:spacing w:after="120"/>
        <w:rPr>
          <w:rFonts w:ascii="Calibri" w:hAnsi="Calibri" w:cs="Calibri"/>
          <w:sz w:val="22"/>
          <w:szCs w:val="22"/>
        </w:rPr>
      </w:pPr>
      <w:r w:rsidRPr="001C292C">
        <w:rPr>
          <w:rFonts w:ascii="Calibri" w:hAnsi="Calibri" w:cs="Calibri"/>
          <w:sz w:val="22"/>
          <w:szCs w:val="22"/>
        </w:rPr>
        <w:t xml:space="preserve">See </w:t>
      </w:r>
      <w:hyperlink w:anchor="_Data_collection_and_1" w:history="1">
        <w:r w:rsidR="001C292C" w:rsidRPr="001C292C">
          <w:rPr>
            <w:rStyle w:val="Hyperlink"/>
            <w:rFonts w:ascii="Calibri" w:hAnsi="Calibri" w:cs="Calibri"/>
            <w:sz w:val="22"/>
            <w:szCs w:val="22"/>
          </w:rPr>
          <w:t>Chapter 8.4</w:t>
        </w:r>
      </w:hyperlink>
      <w:r w:rsidR="001C292C" w:rsidRPr="001C292C">
        <w:rPr>
          <w:rFonts w:ascii="Calibri" w:hAnsi="Calibri" w:cs="Calibri"/>
          <w:sz w:val="22"/>
          <w:szCs w:val="22"/>
        </w:rPr>
        <w:t xml:space="preserve"> </w:t>
      </w:r>
      <w:r w:rsidRPr="001C292C">
        <w:rPr>
          <w:rFonts w:ascii="Calibri" w:hAnsi="Calibri" w:cs="Calibri"/>
          <w:sz w:val="22"/>
          <w:szCs w:val="22"/>
        </w:rPr>
        <w:t>for a discussion</w:t>
      </w:r>
      <w:r w:rsidRPr="006720E4">
        <w:rPr>
          <w:rFonts w:ascii="Calibri" w:hAnsi="Calibri" w:cs="Calibri"/>
          <w:sz w:val="22"/>
          <w:szCs w:val="22"/>
        </w:rPr>
        <w:t xml:space="preserve"> of ethical considerations relating to this principle.</w:t>
      </w:r>
    </w:p>
    <w:p w14:paraId="7A3A3BC3" w14:textId="4810AFE2" w:rsidR="00E7541E" w:rsidRPr="006720E4" w:rsidRDefault="00E7541E" w:rsidP="00EA22AE">
      <w:pPr>
        <w:pStyle w:val="Heading3"/>
        <w:spacing w:after="120"/>
      </w:pPr>
      <w:bookmarkStart w:id="502" w:name="_Principle_6._Donation_1"/>
      <w:bookmarkEnd w:id="502"/>
      <w:r w:rsidRPr="006720E4">
        <w:rPr>
          <w:szCs w:val="22"/>
          <w:u w:color="0000FF"/>
          <w:lang w:val="en-GB"/>
        </w:rPr>
        <w:t>Principle 6. Donation and transplantation activities and associated decision-making should protect the privacy of individuals and their families and the confidentiality of information related to donation and transplantation activities.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980930E" w14:textId="1B5C2090" w:rsidR="006C6EBA" w:rsidRPr="006720E4" w:rsidRDefault="0046685A" w:rsidP="00EA22AE">
      <w:pPr>
        <w:spacing w:after="120"/>
        <w:rPr>
          <w:rFonts w:ascii="Calibri" w:hAnsi="Calibri" w:cs="Calibri"/>
          <w:sz w:val="22"/>
          <w:szCs w:val="22"/>
        </w:rPr>
      </w:pPr>
      <w:r w:rsidRPr="006720E4">
        <w:rPr>
          <w:rFonts w:ascii="Calibri" w:hAnsi="Calibri" w:cs="Calibri"/>
          <w:sz w:val="22"/>
          <w:szCs w:val="22"/>
        </w:rPr>
        <w:t>Noting the principle that information about donation and transplantation activities should be transparent and open to scrutiny, i</w:t>
      </w:r>
      <w:r w:rsidR="006C6EBA" w:rsidRPr="006720E4">
        <w:rPr>
          <w:rFonts w:ascii="Calibri" w:hAnsi="Calibri" w:cs="Calibri"/>
          <w:sz w:val="22"/>
          <w:szCs w:val="22"/>
        </w:rPr>
        <w:t xml:space="preserve">ndividuals </w:t>
      </w:r>
      <w:r w:rsidRPr="006720E4">
        <w:rPr>
          <w:rFonts w:ascii="Calibri" w:hAnsi="Calibri" w:cs="Calibri"/>
          <w:sz w:val="22"/>
          <w:szCs w:val="22"/>
        </w:rPr>
        <w:t xml:space="preserve">nevertheless </w:t>
      </w:r>
      <w:r w:rsidR="006C6EBA" w:rsidRPr="006720E4">
        <w:rPr>
          <w:rFonts w:ascii="Calibri" w:hAnsi="Calibri" w:cs="Calibri"/>
          <w:sz w:val="22"/>
          <w:szCs w:val="22"/>
        </w:rPr>
        <w:t>have rights to privacy and confidentiality, meaning the right to control access to one’s physical person and to manage access to and use of one’s personal information. These rights are particularly important in the healthcare context where individuals must be able to trust that health professionals and healthcare institutions will protect their personal information when this is provided to them in confidence for the purpose of receiving medical care. There are some limitations on rights to privacy and confidentiality, usually in circumstances where disclosure of private information may be necessary to prevent serious harm to others.</w:t>
      </w:r>
    </w:p>
    <w:p w14:paraId="7791846E" w14:textId="577951A4" w:rsidR="006C6EBA" w:rsidRPr="006720E4" w:rsidRDefault="006C6EBA" w:rsidP="00EA22AE">
      <w:pPr>
        <w:spacing w:after="120"/>
        <w:rPr>
          <w:rFonts w:ascii="Calibri" w:hAnsi="Calibri" w:cs="Calibri"/>
          <w:sz w:val="22"/>
          <w:szCs w:val="22"/>
        </w:rPr>
      </w:pPr>
      <w:r w:rsidRPr="00252C48">
        <w:rPr>
          <w:rFonts w:ascii="Calibri" w:hAnsi="Calibri" w:cs="Calibri"/>
          <w:sz w:val="22"/>
          <w:szCs w:val="22"/>
        </w:rPr>
        <w:t xml:space="preserve">See </w:t>
      </w:r>
      <w:hyperlink w:anchor="_Privacy_and_confidentiality" w:history="1">
        <w:r w:rsidR="00252C48" w:rsidRPr="00252C48">
          <w:rPr>
            <w:rStyle w:val="Hyperlink"/>
            <w:rFonts w:ascii="Calibri" w:hAnsi="Calibri" w:cs="Calibri"/>
            <w:sz w:val="22"/>
            <w:szCs w:val="22"/>
          </w:rPr>
          <w:t>Chapter 7</w:t>
        </w:r>
      </w:hyperlink>
      <w:r w:rsidRPr="00252C48">
        <w:rPr>
          <w:rFonts w:ascii="Calibri" w:hAnsi="Calibri" w:cs="Calibri"/>
          <w:sz w:val="22"/>
          <w:szCs w:val="22"/>
        </w:rPr>
        <w:t xml:space="preserve"> for a</w:t>
      </w:r>
      <w:r w:rsidRPr="006720E4">
        <w:rPr>
          <w:rFonts w:ascii="Calibri" w:hAnsi="Calibri" w:cs="Calibri"/>
          <w:sz w:val="22"/>
          <w:szCs w:val="22"/>
        </w:rPr>
        <w:t xml:space="preserve"> discussion of ethical considerations relating to this principle.</w:t>
      </w:r>
    </w:p>
    <w:p w14:paraId="544D0282" w14:textId="5E94ABB2" w:rsidR="00E7541E" w:rsidRPr="006720E4" w:rsidRDefault="00E7541E" w:rsidP="00EA22AE">
      <w:pPr>
        <w:pStyle w:val="Heading3"/>
        <w:spacing w:after="120"/>
        <w:rPr>
          <w:szCs w:val="22"/>
          <w:u w:color="0000FF"/>
          <w:lang w:val="en-GB"/>
        </w:rPr>
      </w:pPr>
      <w:bookmarkStart w:id="503" w:name="_Principle_5._Promote"/>
      <w:bookmarkStart w:id="504" w:name="_Principle_6._Promote"/>
      <w:bookmarkStart w:id="505" w:name="_Principle_7_-"/>
      <w:bookmarkStart w:id="506" w:name="_Toc70241721"/>
      <w:bookmarkStart w:id="507" w:name="_Toc70243355"/>
      <w:bookmarkStart w:id="508" w:name="_Toc70414791"/>
      <w:bookmarkStart w:id="509" w:name="_Toc70844121"/>
      <w:bookmarkStart w:id="510" w:name="_Toc72615053"/>
      <w:bookmarkStart w:id="511" w:name="_Toc73129772"/>
      <w:bookmarkStart w:id="512" w:name="_Toc73301641"/>
      <w:bookmarkStart w:id="513" w:name="_Toc73302147"/>
      <w:bookmarkStart w:id="514" w:name="_Toc73303280"/>
      <w:bookmarkStart w:id="515" w:name="_Toc73303541"/>
      <w:bookmarkStart w:id="516" w:name="_Toc74080658"/>
      <w:bookmarkStart w:id="517" w:name="_Toc74080966"/>
      <w:bookmarkStart w:id="518" w:name="_Toc74081196"/>
      <w:bookmarkStart w:id="519" w:name="_Toc74081425"/>
      <w:bookmarkStart w:id="520" w:name="_Toc74171027"/>
      <w:bookmarkStart w:id="521" w:name="_Toc74172202"/>
      <w:bookmarkStart w:id="522" w:name="_Toc74172738"/>
      <w:bookmarkStart w:id="523" w:name="_Toc74238701"/>
      <w:bookmarkStart w:id="524" w:name="_Toc79406317"/>
      <w:bookmarkStart w:id="525" w:name="_Toc82773483"/>
      <w:bookmarkStart w:id="526" w:name="_Toc82773836"/>
      <w:bookmarkEnd w:id="503"/>
      <w:bookmarkEnd w:id="504"/>
      <w:bookmarkEnd w:id="505"/>
      <w:r w:rsidRPr="006720E4">
        <w:rPr>
          <w:szCs w:val="22"/>
          <w:u w:color="0000FF"/>
          <w:lang w:val="en-GB"/>
        </w:rPr>
        <w:t>Principle 7</w:t>
      </w:r>
      <w:r w:rsidR="007538E7">
        <w:rPr>
          <w:szCs w:val="22"/>
          <w:u w:color="0000FF"/>
          <w:lang w:val="en-GB"/>
        </w:rPr>
        <w:t>.</w:t>
      </w:r>
      <w:r w:rsidRPr="006720E4">
        <w:rPr>
          <w:szCs w:val="22"/>
          <w:u w:color="0000FF"/>
          <w:lang w:val="en-GB"/>
        </w:rPr>
        <w:t xml:space="preserve"> Donation and transplantation activities should provide benefit and minimise burden and risk of harm: where burdens or risks are unavoidable, they should be proportionate to the benefits that are anticipated.</w:t>
      </w:r>
    </w:p>
    <w:p w14:paraId="1F10684F" w14:textId="66F7BB32" w:rsidR="00041914" w:rsidRPr="006720E4" w:rsidRDefault="00041914" w:rsidP="00EA22AE">
      <w:pPr>
        <w:spacing w:after="120"/>
        <w:rPr>
          <w:rFonts w:ascii="Calibri" w:hAnsi="Calibri" w:cs="Calibri"/>
          <w:sz w:val="22"/>
          <w:szCs w:val="22"/>
        </w:rPr>
      </w:pPr>
      <w:r w:rsidRPr="006720E4">
        <w:rPr>
          <w:rFonts w:ascii="Calibri" w:hAnsi="Calibri" w:cs="Calibri"/>
          <w:sz w:val="22"/>
          <w:szCs w:val="22"/>
        </w:rPr>
        <w:t>This principle derives from the core value underpinning donation and transplantation in Australia, that of promotion of the wellbeing of potential and actual donors, recipients, and their families and communities (</w:t>
      </w:r>
      <w:hyperlink w:anchor="_Promotion_of_the" w:history="1">
        <w:r w:rsidR="004F318F" w:rsidRPr="00070E0E">
          <w:rPr>
            <w:rStyle w:val="Hyperlink"/>
            <w:rFonts w:ascii="Calibri" w:hAnsi="Calibri" w:cs="Calibri"/>
            <w:sz w:val="22"/>
            <w:szCs w:val="22"/>
            <w:lang w:val="en-GB"/>
          </w:rPr>
          <w:t>Chapter 3.</w:t>
        </w:r>
        <w:r w:rsidR="004F318F">
          <w:rPr>
            <w:rStyle w:val="Hyperlink"/>
            <w:rFonts w:ascii="Calibri" w:hAnsi="Calibri" w:cs="Calibri"/>
            <w:sz w:val="22"/>
            <w:szCs w:val="22"/>
            <w:lang w:val="en-GB"/>
          </w:rPr>
          <w:t>2</w:t>
        </w:r>
        <w:r w:rsidR="004F318F" w:rsidRPr="00070E0E">
          <w:rPr>
            <w:rStyle w:val="Hyperlink"/>
            <w:rFonts w:ascii="Calibri" w:hAnsi="Calibri" w:cs="Calibri"/>
            <w:sz w:val="22"/>
            <w:szCs w:val="22"/>
            <w:lang w:val="en-GB"/>
          </w:rPr>
          <w:t>.2</w:t>
        </w:r>
      </w:hyperlink>
      <w:r w:rsidR="004F318F" w:rsidRPr="00070E0E">
        <w:rPr>
          <w:rStyle w:val="Hyperlink"/>
          <w:rFonts w:ascii="Calibri" w:hAnsi="Calibri" w:cs="Calibri"/>
          <w:sz w:val="22"/>
          <w:szCs w:val="22"/>
          <w:lang w:val="en-GB"/>
        </w:rPr>
        <w:t>)</w:t>
      </w:r>
      <w:r w:rsidR="004F318F" w:rsidRPr="00070E0E">
        <w:rPr>
          <w:rFonts w:ascii="Calibri" w:hAnsi="Calibri" w:cs="Calibri"/>
          <w:sz w:val="22"/>
          <w:szCs w:val="22"/>
          <w:u w:color="0000FF"/>
          <w:lang w:val="en-GB"/>
        </w:rPr>
        <w:t>.</w:t>
      </w:r>
      <w:r w:rsidRPr="006720E4">
        <w:rPr>
          <w:rFonts w:ascii="Calibri" w:hAnsi="Calibri" w:cs="Calibri"/>
          <w:sz w:val="22"/>
          <w:szCs w:val="22"/>
        </w:rPr>
        <w:t xml:space="preserve"> Balancing potential benefits and risks of various opportunities for donation and transplantation can be difficult, especially at the individual level where evaluation of risks and potential benefits must be carefully tailored to a person’s characteristics and circumstances. </w:t>
      </w:r>
    </w:p>
    <w:p w14:paraId="39288476" w14:textId="643DD672" w:rsidR="00041914" w:rsidRPr="006720E4" w:rsidRDefault="00041914" w:rsidP="00EA22AE">
      <w:pPr>
        <w:spacing w:after="120"/>
        <w:rPr>
          <w:rFonts w:ascii="Calibri" w:hAnsi="Calibri" w:cs="Calibri"/>
          <w:lang w:val="en-GB"/>
        </w:rPr>
      </w:pPr>
      <w:r w:rsidRPr="001F7E00">
        <w:rPr>
          <w:rFonts w:ascii="Calibri" w:hAnsi="Calibri" w:cs="Calibri"/>
          <w:sz w:val="22"/>
          <w:szCs w:val="22"/>
        </w:rPr>
        <w:t xml:space="preserve">See </w:t>
      </w:r>
      <w:hyperlink w:anchor="_Privacy_and_confidentiality" w:history="1">
        <w:r w:rsidR="00252C48" w:rsidRPr="001F7E00">
          <w:rPr>
            <w:rStyle w:val="Hyperlink"/>
            <w:rFonts w:ascii="Calibri" w:hAnsi="Calibri" w:cs="Calibri"/>
            <w:sz w:val="22"/>
            <w:szCs w:val="22"/>
          </w:rPr>
          <w:t>Chapter 6</w:t>
        </w:r>
      </w:hyperlink>
      <w:r w:rsidR="00252C48" w:rsidRPr="001F7E00">
        <w:rPr>
          <w:rStyle w:val="Hyperlink"/>
          <w:rFonts w:ascii="Calibri" w:hAnsi="Calibri" w:cs="Calibri"/>
          <w:sz w:val="22"/>
          <w:szCs w:val="22"/>
        </w:rPr>
        <w:t xml:space="preserve"> </w:t>
      </w:r>
      <w:r w:rsidRPr="001F7E00">
        <w:rPr>
          <w:rFonts w:ascii="Calibri" w:hAnsi="Calibri" w:cs="Calibri"/>
          <w:sz w:val="22"/>
          <w:szCs w:val="22"/>
        </w:rPr>
        <w:t>for a discussion</w:t>
      </w:r>
      <w:r w:rsidRPr="006720E4">
        <w:rPr>
          <w:rFonts w:ascii="Calibri" w:hAnsi="Calibri" w:cs="Calibri"/>
          <w:sz w:val="22"/>
          <w:szCs w:val="22"/>
        </w:rPr>
        <w:t xml:space="preserve"> of some of the ethical complexities associated with fulfillment of this principle.</w:t>
      </w:r>
    </w:p>
    <w:p w14:paraId="2492659A" w14:textId="6F10BDCF" w:rsidR="006C6EBA" w:rsidRPr="006720E4" w:rsidRDefault="006C6EBA" w:rsidP="00EA22AE">
      <w:pPr>
        <w:pStyle w:val="Heading3"/>
        <w:spacing w:after="120"/>
        <w:rPr>
          <w:szCs w:val="22"/>
          <w:u w:color="0000FF"/>
          <w:lang w:val="en-GB"/>
        </w:rPr>
      </w:pPr>
      <w:bookmarkStart w:id="527" w:name="_Principle_8._Donation"/>
      <w:bookmarkEnd w:id="527"/>
      <w:r w:rsidRPr="006720E4">
        <w:t xml:space="preserve">Principle </w:t>
      </w:r>
      <w:r w:rsidR="00E7541E" w:rsidRPr="006720E4">
        <w:t>8</w:t>
      </w:r>
      <w:r w:rsidRPr="006720E4">
        <w:t xml:space="preserve">. </w:t>
      </w:r>
      <w:r w:rsidR="00E7541E" w:rsidRPr="006720E4">
        <w:rPr>
          <w:szCs w:val="22"/>
          <w:u w:color="0000FF"/>
          <w:lang w:val="en-GB"/>
        </w:rPr>
        <w:t>Donation and transplantation activities should promote equity in the distribution of and access to donation and transplantation of organs and tissues.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250CE9C" w14:textId="75B46F39" w:rsidR="00F21203" w:rsidRPr="006720E4" w:rsidRDefault="00041914" w:rsidP="00EA22AE">
      <w:pPr>
        <w:spacing w:after="120"/>
        <w:rPr>
          <w:rFonts w:ascii="Calibri" w:hAnsi="Calibri" w:cs="Calibri"/>
          <w:sz w:val="22"/>
          <w:szCs w:val="22"/>
        </w:rPr>
      </w:pPr>
      <w:r w:rsidRPr="006720E4">
        <w:rPr>
          <w:rFonts w:ascii="Calibri" w:hAnsi="Calibri" w:cs="Calibri"/>
          <w:sz w:val="22"/>
          <w:szCs w:val="22"/>
        </w:rPr>
        <w:t xml:space="preserve">This principle derives from the core value of </w:t>
      </w:r>
      <w:r w:rsidRPr="007538E7">
        <w:rPr>
          <w:rFonts w:ascii="Calibri" w:hAnsi="Calibri" w:cs="Calibri"/>
          <w:sz w:val="22"/>
          <w:szCs w:val="22"/>
        </w:rPr>
        <w:t xml:space="preserve">justice (see </w:t>
      </w:r>
      <w:hyperlink w:anchor="_Promotion_of_justice" w:history="1">
        <w:r w:rsidR="007538E7" w:rsidRPr="007538E7">
          <w:rPr>
            <w:rStyle w:val="Hyperlink"/>
            <w:rFonts w:ascii="Calibri" w:hAnsi="Calibri" w:cs="Calibri"/>
            <w:sz w:val="22"/>
            <w:szCs w:val="22"/>
            <w:lang w:val="en-GB"/>
          </w:rPr>
          <w:t>Chapter 3.2.3</w:t>
        </w:r>
      </w:hyperlink>
      <w:r w:rsidRPr="007538E7">
        <w:rPr>
          <w:rFonts w:ascii="Calibri" w:hAnsi="Calibri" w:cs="Calibri"/>
          <w:sz w:val="22"/>
          <w:szCs w:val="22"/>
        </w:rPr>
        <w:t>) which</w:t>
      </w:r>
      <w:r w:rsidRPr="006720E4">
        <w:rPr>
          <w:rFonts w:ascii="Calibri" w:hAnsi="Calibri" w:cs="Calibri"/>
          <w:sz w:val="22"/>
          <w:szCs w:val="22"/>
        </w:rPr>
        <w:t xml:space="preserve"> is a foundation of donation and transplantation in Australia. Upholding that value requires efforts to maximise fairness in the distribution of the potential benefits, risks and burdens of donation and transplantation. Avoiding unfair inequalities in access to transplantation and in donation is especially important, but can be difficult to achieve. Wider inequities in society can intersect with and exacerbate inequities in donation and transplantation</w:t>
      </w:r>
      <w:r w:rsidR="00F21203" w:rsidRPr="006720E4">
        <w:rPr>
          <w:rFonts w:ascii="Calibri" w:hAnsi="Calibri" w:cs="Calibri"/>
          <w:sz w:val="22"/>
          <w:szCs w:val="22"/>
        </w:rPr>
        <w:t xml:space="preserve">. Strategies to address barriers to donation and transplantation, and evidence-based policies allocating donation and transplantation resources require careful ethical decision-making to ensure that equity is enhanced rather than undermined. Careful attention to </w:t>
      </w:r>
      <w:r w:rsidR="00F21203" w:rsidRPr="006720E4">
        <w:rPr>
          <w:rFonts w:ascii="Calibri" w:hAnsi="Calibri" w:cs="Calibri"/>
          <w:sz w:val="22"/>
          <w:szCs w:val="22"/>
        </w:rPr>
        <w:lastRenderedPageBreak/>
        <w:t>potential biases in decision-making is also essential at the level of policy making and individual clinical decision-making.</w:t>
      </w:r>
    </w:p>
    <w:p w14:paraId="0D740811" w14:textId="3A8B7FB8" w:rsidR="00F21203" w:rsidRPr="006720E4" w:rsidRDefault="00F21203" w:rsidP="00EA22AE">
      <w:pPr>
        <w:spacing w:after="120"/>
        <w:rPr>
          <w:rFonts w:ascii="Calibri" w:hAnsi="Calibri" w:cs="Calibri"/>
          <w:lang w:val="en-GB"/>
        </w:rPr>
      </w:pPr>
      <w:r w:rsidRPr="007538E7">
        <w:rPr>
          <w:rFonts w:ascii="Calibri" w:hAnsi="Calibri" w:cs="Calibri"/>
          <w:sz w:val="22"/>
          <w:szCs w:val="22"/>
        </w:rPr>
        <w:t xml:space="preserve">See </w:t>
      </w:r>
      <w:hyperlink w:anchor="_Equity_in_opportunities" w:history="1">
        <w:r w:rsidRPr="007538E7">
          <w:rPr>
            <w:rStyle w:val="Hyperlink"/>
            <w:rFonts w:ascii="Calibri" w:hAnsi="Calibri" w:cs="Calibri"/>
            <w:sz w:val="22"/>
            <w:szCs w:val="22"/>
          </w:rPr>
          <w:t>Chapter 8</w:t>
        </w:r>
      </w:hyperlink>
      <w:r w:rsidRPr="007538E7">
        <w:rPr>
          <w:rFonts w:ascii="Calibri" w:hAnsi="Calibri" w:cs="Calibri"/>
          <w:sz w:val="22"/>
          <w:szCs w:val="22"/>
        </w:rPr>
        <w:t xml:space="preserve"> for a</w:t>
      </w:r>
      <w:r w:rsidRPr="006720E4">
        <w:rPr>
          <w:rFonts w:ascii="Calibri" w:hAnsi="Calibri" w:cs="Calibri"/>
          <w:sz w:val="22"/>
          <w:szCs w:val="22"/>
        </w:rPr>
        <w:t xml:space="preserve"> discussion of ethical considerations relating to this principle.</w:t>
      </w:r>
    </w:p>
    <w:p w14:paraId="52136EC4" w14:textId="78F8202A" w:rsidR="00E7541E" w:rsidRPr="006720E4" w:rsidRDefault="006C6EBA" w:rsidP="00EA22AE">
      <w:pPr>
        <w:pStyle w:val="Heading3"/>
        <w:spacing w:after="120"/>
      </w:pPr>
      <w:bookmarkStart w:id="528" w:name="_Justice_in_donation"/>
      <w:bookmarkStart w:id="529" w:name="_Principle_6._Donation"/>
      <w:bookmarkStart w:id="530" w:name="_Principle_7._Donation"/>
      <w:bookmarkStart w:id="531" w:name="_Principle_9._Donation"/>
      <w:bookmarkStart w:id="532" w:name="_Toc70241723"/>
      <w:bookmarkStart w:id="533" w:name="_Toc70243357"/>
      <w:bookmarkStart w:id="534" w:name="_Toc70414792"/>
      <w:bookmarkStart w:id="535" w:name="_Toc70844122"/>
      <w:bookmarkStart w:id="536" w:name="_Toc72615054"/>
      <w:bookmarkStart w:id="537" w:name="_Toc73129773"/>
      <w:bookmarkStart w:id="538" w:name="_Toc73301642"/>
      <w:bookmarkStart w:id="539" w:name="_Toc73302148"/>
      <w:bookmarkStart w:id="540" w:name="_Toc73303281"/>
      <w:bookmarkStart w:id="541" w:name="_Toc73303542"/>
      <w:bookmarkStart w:id="542" w:name="_Toc74080659"/>
      <w:bookmarkStart w:id="543" w:name="_Toc74080967"/>
      <w:bookmarkStart w:id="544" w:name="_Toc74081197"/>
      <w:bookmarkStart w:id="545" w:name="_Toc74081426"/>
      <w:bookmarkStart w:id="546" w:name="_Toc74171028"/>
      <w:bookmarkStart w:id="547" w:name="_Toc74172203"/>
      <w:bookmarkStart w:id="548" w:name="_Toc74172739"/>
      <w:bookmarkStart w:id="549" w:name="_Toc74238702"/>
      <w:bookmarkStart w:id="550" w:name="_Toc79406318"/>
      <w:bookmarkStart w:id="551" w:name="_Toc82773485"/>
      <w:bookmarkStart w:id="552" w:name="_Toc82773838"/>
      <w:bookmarkEnd w:id="528"/>
      <w:bookmarkEnd w:id="529"/>
      <w:bookmarkEnd w:id="530"/>
      <w:bookmarkEnd w:id="531"/>
      <w:r w:rsidRPr="006720E4">
        <w:t xml:space="preserve">Principle </w:t>
      </w:r>
      <w:r w:rsidR="00E7541E" w:rsidRPr="006720E4">
        <w:t>9</w:t>
      </w:r>
      <w:r w:rsidRPr="006720E4">
        <w:t xml:space="preserve">. </w:t>
      </w:r>
      <w:r w:rsidR="00E7541E" w:rsidRPr="006720E4">
        <w:rPr>
          <w:szCs w:val="22"/>
          <w:u w:color="0000FF"/>
          <w:lang w:val="en-GB"/>
        </w:rPr>
        <w:t>Donation and transplantation activities should foster solidarity, efficiency, and sustainability, and support progress towards self-sufficiency with regional and international collaboration where necessary.</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14:paraId="07375007" w14:textId="2094A4D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Although an individual may sometimes be able to donate directly to another individual in need of transplantation, in most cases people who need transplants will depend on unknown individuals making </w:t>
      </w:r>
      <w:hyperlink w:anchor="_Glossary_1" w:history="1">
        <w:r w:rsidRPr="006720E4">
          <w:rPr>
            <w:rStyle w:val="Hyperlink"/>
            <w:rFonts w:ascii="Calibri" w:hAnsi="Calibri" w:cs="Calibri"/>
            <w:sz w:val="22"/>
            <w:szCs w:val="22"/>
          </w:rPr>
          <w:t>non-directed donations</w:t>
        </w:r>
      </w:hyperlink>
      <w:r w:rsidRPr="006720E4">
        <w:rPr>
          <w:rFonts w:ascii="Calibri" w:hAnsi="Calibri" w:cs="Calibri"/>
          <w:sz w:val="22"/>
          <w:szCs w:val="22"/>
        </w:rPr>
        <w:t xml:space="preserve"> in order to access a suitable transplant at the right time. The success of transplantation programs, defined by the ability to provide timely access to transplants for people in need, therefore depends on optimising participation in donation opportunities. Consequently, in addition to sustainable and efficient programs, success requires people to act in solidarity </w:t>
      </w:r>
      <w:r w:rsidR="00F21203" w:rsidRPr="006720E4">
        <w:rPr>
          <w:rFonts w:ascii="Calibri" w:hAnsi="Calibri" w:cs="Calibri"/>
          <w:sz w:val="22"/>
          <w:szCs w:val="22"/>
        </w:rPr>
        <w:t xml:space="preserve">(see </w:t>
      </w:r>
      <w:hyperlink w:anchor="_Promotion_of_solidarity" w:history="1">
        <w:r w:rsidR="004F318F" w:rsidRPr="004F318F">
          <w:rPr>
            <w:rStyle w:val="Hyperlink"/>
            <w:rFonts w:ascii="Calibri" w:hAnsi="Calibri" w:cs="Calibri"/>
            <w:sz w:val="22"/>
            <w:szCs w:val="22"/>
            <w:lang w:val="en-GB"/>
          </w:rPr>
          <w:t>Chapter 3.2.4</w:t>
        </w:r>
      </w:hyperlink>
      <w:r w:rsidR="004F318F" w:rsidRPr="004F318F">
        <w:rPr>
          <w:rFonts w:ascii="Calibri" w:hAnsi="Calibri" w:cs="Calibri"/>
          <w:sz w:val="22"/>
          <w:szCs w:val="22"/>
          <w:u w:color="0000FF"/>
          <w:lang w:val="en-GB"/>
        </w:rPr>
        <w:t>)</w:t>
      </w:r>
      <w:r w:rsidR="00F21203" w:rsidRPr="004F318F">
        <w:rPr>
          <w:rFonts w:ascii="Calibri" w:hAnsi="Calibri" w:cs="Calibri"/>
          <w:sz w:val="22"/>
          <w:szCs w:val="22"/>
        </w:rPr>
        <w:t xml:space="preserve"> </w:t>
      </w:r>
      <w:r w:rsidRPr="004F318F">
        <w:rPr>
          <w:rFonts w:ascii="Calibri" w:hAnsi="Calibri" w:cs="Calibri"/>
          <w:sz w:val="22"/>
          <w:szCs w:val="22"/>
        </w:rPr>
        <w:t>with others</w:t>
      </w:r>
      <w:r w:rsidRPr="006720E4">
        <w:rPr>
          <w:rFonts w:ascii="Calibri" w:hAnsi="Calibri" w:cs="Calibri"/>
          <w:sz w:val="22"/>
          <w:szCs w:val="22"/>
        </w:rPr>
        <w:t xml:space="preserve"> by donating when possible, in order to address the shared challenges of meeting transplant needs.</w:t>
      </w:r>
    </w:p>
    <w:p w14:paraId="7005C035" w14:textId="0BBA5DF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Achieving </w:t>
      </w:r>
      <w:hyperlink w:anchor="_Glossary" w:history="1">
        <w:r w:rsidRPr="006720E4">
          <w:rPr>
            <w:rStyle w:val="Hyperlink"/>
            <w:rFonts w:ascii="Calibri" w:hAnsi="Calibri" w:cs="Calibri"/>
            <w:sz w:val="22"/>
            <w:szCs w:val="22"/>
          </w:rPr>
          <w:t>self-sufficiency</w:t>
        </w:r>
      </w:hyperlink>
      <w:r w:rsidRPr="006720E4">
        <w:rPr>
          <w:rFonts w:ascii="Calibri" w:hAnsi="Calibri" w:cs="Calibri"/>
          <w:sz w:val="22"/>
          <w:szCs w:val="22"/>
        </w:rPr>
        <w:t xml:space="preserve"> means being able to meet a population’s collective needs for transplantation using their own resources, or </w:t>
      </w:r>
      <w:r w:rsidRPr="004F318F">
        <w:rPr>
          <w:rFonts w:ascii="Calibri" w:hAnsi="Calibri" w:cs="Calibri"/>
          <w:sz w:val="22"/>
          <w:szCs w:val="22"/>
        </w:rPr>
        <w:t xml:space="preserve">through reciprocal or equitable collaboration with other populations. Progress towards self-sufficiency depends on careful </w:t>
      </w:r>
      <w:r w:rsidRPr="00080A0A">
        <w:rPr>
          <w:rFonts w:ascii="Calibri" w:hAnsi="Calibri" w:cs="Calibri"/>
          <w:sz w:val="22"/>
          <w:szCs w:val="22"/>
        </w:rPr>
        <w:t>stewardship</w:t>
      </w:r>
      <w:r w:rsidRPr="004F318F">
        <w:rPr>
          <w:rFonts w:ascii="Calibri" w:hAnsi="Calibri" w:cs="Calibri"/>
          <w:sz w:val="22"/>
          <w:szCs w:val="22"/>
        </w:rPr>
        <w:t xml:space="preserve"> </w:t>
      </w:r>
      <w:r w:rsidR="00F00353" w:rsidRPr="004F318F">
        <w:rPr>
          <w:rFonts w:ascii="Calibri" w:hAnsi="Calibri" w:cs="Calibri"/>
          <w:sz w:val="22"/>
          <w:szCs w:val="22"/>
        </w:rPr>
        <w:t xml:space="preserve">(see </w:t>
      </w:r>
      <w:hyperlink w:anchor="_Stewardship_of_the" w:history="1">
        <w:r w:rsidR="004F318F" w:rsidRPr="004F318F">
          <w:rPr>
            <w:rStyle w:val="Hyperlink"/>
            <w:rFonts w:ascii="Calibri" w:hAnsi="Calibri" w:cs="Calibri"/>
            <w:sz w:val="22"/>
            <w:szCs w:val="22"/>
            <w:lang w:val="en-GB"/>
          </w:rPr>
          <w:t>Chapter 3.2.5</w:t>
        </w:r>
      </w:hyperlink>
      <w:r w:rsidR="004F318F" w:rsidRPr="004F318F">
        <w:rPr>
          <w:rFonts w:ascii="Calibri" w:hAnsi="Calibri" w:cs="Calibri"/>
          <w:sz w:val="22"/>
          <w:szCs w:val="22"/>
          <w:u w:color="0000FF"/>
          <w:lang w:val="en-GB"/>
        </w:rPr>
        <w:t>)</w:t>
      </w:r>
      <w:r w:rsidR="00F00353" w:rsidRPr="004F318F">
        <w:rPr>
          <w:rFonts w:ascii="Calibri" w:hAnsi="Calibri" w:cs="Calibri"/>
          <w:sz w:val="22"/>
          <w:szCs w:val="22"/>
        </w:rPr>
        <w:t xml:space="preserve"> </w:t>
      </w:r>
      <w:r w:rsidRPr="004F318F">
        <w:rPr>
          <w:rFonts w:ascii="Calibri" w:hAnsi="Calibri" w:cs="Calibri"/>
          <w:sz w:val="22"/>
          <w:szCs w:val="22"/>
        </w:rPr>
        <w:t>of donation and transplantati</w:t>
      </w:r>
      <w:r w:rsidRPr="006720E4">
        <w:rPr>
          <w:rFonts w:ascii="Calibri" w:hAnsi="Calibri" w:cs="Calibri"/>
          <w:sz w:val="22"/>
          <w:szCs w:val="22"/>
        </w:rPr>
        <w:t xml:space="preserve">on resources, prevention of population needs for transplantation when possible and ongoing efforts to maintain efficient and effective donation and transplantation programs. </w:t>
      </w:r>
    </w:p>
    <w:p w14:paraId="27AB9CC7" w14:textId="508AB89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Self-sufficiency may be pursued at the state or territory level, nationally and regionally. Progress towards national self-sufficiency reduces ethical, clinical, and economic risks by decreasing dependence on foreign populations to provide for Australian donation and transplant needs. </w:t>
      </w:r>
    </w:p>
    <w:p w14:paraId="7DAA4AF1" w14:textId="51BF644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case of HSC transplantation, the critical challenge is to find a precise HLA matched donor for a successful transplant, thus Australia must collaborate at the global level to increase the chances of individuals receiving a transplant. It is often difficult to find a clinically suitable and </w:t>
      </w:r>
      <w:r w:rsidR="0061545F">
        <w:rPr>
          <w:rFonts w:ascii="Calibri" w:hAnsi="Calibri" w:cs="Calibri"/>
          <w:sz w:val="22"/>
          <w:szCs w:val="22"/>
        </w:rPr>
        <w:t>a</w:t>
      </w:r>
      <w:r w:rsidRPr="006720E4">
        <w:rPr>
          <w:rFonts w:ascii="Calibri" w:hAnsi="Calibri" w:cs="Calibri"/>
          <w:sz w:val="22"/>
          <w:szCs w:val="22"/>
        </w:rPr>
        <w:t xml:space="preserve"> tissue type matched HSC donor for an Australian among their relatives or those registered in the ABMDR</w:t>
      </w:r>
      <w:r w:rsidR="007538E7">
        <w:rPr>
          <w:rFonts w:ascii="Calibri" w:hAnsi="Calibri" w:cs="Calibri"/>
          <w:sz w:val="22"/>
          <w:szCs w:val="22"/>
        </w:rPr>
        <w:t xml:space="preserve"> (see </w:t>
      </w:r>
      <w:hyperlink w:anchor="_Blood_and_marrow_1" w:history="1">
        <w:r w:rsidR="007538E7" w:rsidRPr="007538E7">
          <w:rPr>
            <w:rStyle w:val="Hyperlink"/>
            <w:rFonts w:ascii="Calibri" w:hAnsi="Calibri" w:cs="Calibri"/>
            <w:sz w:val="22"/>
            <w:szCs w:val="22"/>
          </w:rPr>
          <w:t>Chapter 2.3.7</w:t>
        </w:r>
      </w:hyperlink>
      <w:r w:rsidR="007538E7">
        <w:rPr>
          <w:rFonts w:ascii="Calibri" w:hAnsi="Calibri" w:cs="Calibri"/>
          <w:sz w:val="22"/>
          <w:szCs w:val="22"/>
        </w:rPr>
        <w:t>)</w:t>
      </w:r>
      <w:r w:rsidRPr="006720E4">
        <w:rPr>
          <w:rFonts w:ascii="Calibri" w:hAnsi="Calibri" w:cs="Calibri"/>
          <w:sz w:val="22"/>
          <w:szCs w:val="22"/>
        </w:rPr>
        <w:t>. Many Australians who require an HSC transplant will depend on finding a matching donor from outside Australia via the WMDA, the international network of donor registries to which the ABMDR belongs. By participating in this global network, Australians act in solidarity with others around the world, providing donations that help to save the lives of HSC transplant recipients in other countries, and benefitting from the donations of individuals living in other countries.</w:t>
      </w:r>
    </w:p>
    <w:p w14:paraId="0909F8CA" w14:textId="50C7DA1F" w:rsidR="006C6EBA" w:rsidRPr="006720E4" w:rsidRDefault="006C6EBA" w:rsidP="00EA22AE">
      <w:pPr>
        <w:spacing w:after="120"/>
        <w:rPr>
          <w:rFonts w:ascii="Calibri" w:hAnsi="Calibri" w:cs="Calibri"/>
          <w:sz w:val="22"/>
          <w:szCs w:val="22"/>
        </w:rPr>
      </w:pPr>
      <w:r w:rsidRPr="004F318F">
        <w:rPr>
          <w:rFonts w:ascii="Calibri" w:hAnsi="Calibri" w:cs="Calibri"/>
          <w:sz w:val="22"/>
          <w:szCs w:val="22"/>
        </w:rPr>
        <w:t xml:space="preserve">See </w:t>
      </w:r>
      <w:hyperlink w:anchor="_Commodification_of_organs" w:history="1">
        <w:r w:rsidR="004F318F" w:rsidRPr="004F318F">
          <w:rPr>
            <w:rStyle w:val="Hyperlink"/>
            <w:rFonts w:ascii="Calibri" w:hAnsi="Calibri" w:cs="Calibri"/>
            <w:sz w:val="22"/>
            <w:szCs w:val="22"/>
          </w:rPr>
          <w:t>Chapter</w:t>
        </w:r>
      </w:hyperlink>
      <w:r w:rsidR="004F318F" w:rsidRPr="004F318F">
        <w:rPr>
          <w:rStyle w:val="Hyperlink"/>
          <w:rFonts w:ascii="Calibri" w:hAnsi="Calibri" w:cs="Calibri"/>
          <w:sz w:val="22"/>
          <w:szCs w:val="22"/>
        </w:rPr>
        <w:t xml:space="preserve"> 9</w:t>
      </w:r>
      <w:r w:rsidRPr="004F318F">
        <w:rPr>
          <w:rFonts w:ascii="Calibri" w:hAnsi="Calibri" w:cs="Calibri"/>
          <w:sz w:val="22"/>
          <w:szCs w:val="22"/>
        </w:rPr>
        <w:t xml:space="preserve"> for a discussion of</w:t>
      </w:r>
      <w:r w:rsidRPr="006720E4">
        <w:rPr>
          <w:rFonts w:ascii="Calibri" w:hAnsi="Calibri" w:cs="Calibri"/>
          <w:sz w:val="22"/>
          <w:szCs w:val="22"/>
        </w:rPr>
        <w:t xml:space="preserve"> ethical considerations relating to this principle.</w:t>
      </w:r>
    </w:p>
    <w:p w14:paraId="5E9A0CF6" w14:textId="5662BC29" w:rsidR="006C6EBA" w:rsidRPr="006720E4" w:rsidRDefault="006C6EBA" w:rsidP="00EA22AE">
      <w:pPr>
        <w:pStyle w:val="Heading3"/>
        <w:spacing w:after="120"/>
      </w:pPr>
      <w:bookmarkStart w:id="553" w:name="_Toc70241724"/>
      <w:bookmarkStart w:id="554" w:name="_Toc70243358"/>
      <w:bookmarkStart w:id="555" w:name="_Toc70414794"/>
      <w:bookmarkStart w:id="556" w:name="_Toc70844123"/>
      <w:bookmarkStart w:id="557" w:name="_Toc72615055"/>
      <w:bookmarkStart w:id="558" w:name="_Toc73129774"/>
      <w:bookmarkStart w:id="559" w:name="_Toc73301643"/>
      <w:bookmarkStart w:id="560" w:name="_Toc73302149"/>
      <w:bookmarkStart w:id="561" w:name="_Toc73303282"/>
      <w:bookmarkStart w:id="562" w:name="_Toc73303543"/>
      <w:bookmarkStart w:id="563" w:name="_Toc74080660"/>
      <w:bookmarkStart w:id="564" w:name="_Toc74080968"/>
      <w:bookmarkStart w:id="565" w:name="_Toc74081198"/>
      <w:bookmarkStart w:id="566" w:name="_Toc74081427"/>
      <w:bookmarkStart w:id="567" w:name="_Toc74171029"/>
      <w:bookmarkStart w:id="568" w:name="_Toc74172204"/>
      <w:bookmarkStart w:id="569" w:name="_Toc74172740"/>
      <w:bookmarkStart w:id="570" w:name="_Toc74238703"/>
      <w:bookmarkStart w:id="571" w:name="_Toc79406319"/>
      <w:bookmarkStart w:id="572" w:name="_Toc82773486"/>
      <w:bookmarkStart w:id="573" w:name="_Toc82773839"/>
      <w:r w:rsidRPr="006720E4">
        <w:t xml:space="preserve">Principle </w:t>
      </w:r>
      <w:r w:rsidR="00E7541E" w:rsidRPr="006720E4">
        <w:t>10</w:t>
      </w:r>
      <w:r w:rsidRPr="006720E4">
        <w:t xml:space="preserve">. </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00E7541E" w:rsidRPr="006720E4">
        <w:rPr>
          <w:szCs w:val="22"/>
          <w:u w:color="0000FF"/>
          <w:lang w:val="en-GB"/>
        </w:rPr>
        <w:t>Human organs, tissues and cells should not be treated as ordinary commodities that can be sold or exchanged for profit: any profits arising the removal, processing, distribution, storage, transfer or use of donated cells, tissues or organs should be used to enhance quality, safety, sustainability, and equity in healthcare for all.</w:t>
      </w:r>
    </w:p>
    <w:p w14:paraId="3321898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commodity is something that has a monetary price which makes it interchangeable with other goods of different kinds that have an equivalent financial value. Treating human beings as having a monetary price is considered ethically wrong because it fails to recognize their inherent ethical value or dignity, for which there is no equivalent financial value. This means it risks treating people as interchangeable things rather than individuals with interests, preferences, and goals of their own. </w:t>
      </w:r>
    </w:p>
    <w:p w14:paraId="28A665B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Treating human cells, tissues or organs as commodities may also be considered ethically wrong as this involves practices that risk treating people as commodities; it may also undermine individual </w:t>
      </w:r>
      <w:r w:rsidRPr="006720E4">
        <w:rPr>
          <w:rFonts w:ascii="Calibri" w:hAnsi="Calibri" w:cs="Calibri"/>
          <w:sz w:val="22"/>
          <w:szCs w:val="22"/>
        </w:rPr>
        <w:lastRenderedPageBreak/>
        <w:t xml:space="preserve">and collective efforts to meet needs for transplantation through donation by undermining public trust in donation and transplantation activities. </w:t>
      </w:r>
    </w:p>
    <w:p w14:paraId="12985374" w14:textId="4E5C59D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Treating donated cells, tissues or organs as saleable commodities that can be exchanged or otherwise used for financial gain also violates the spirit of altruistic </w:t>
      </w:r>
      <w:r w:rsidRPr="004F318F">
        <w:rPr>
          <w:rFonts w:ascii="Calibri" w:hAnsi="Calibri" w:cs="Calibri"/>
          <w:sz w:val="22"/>
          <w:szCs w:val="22"/>
        </w:rPr>
        <w:t xml:space="preserve">donation (see </w:t>
      </w:r>
      <w:hyperlink w:anchor="_The_nature_of" w:history="1">
        <w:r w:rsidRPr="004F318F">
          <w:rPr>
            <w:rStyle w:val="Hyperlink"/>
            <w:rFonts w:ascii="Calibri" w:hAnsi="Calibri" w:cs="Calibri"/>
            <w:sz w:val="22"/>
            <w:szCs w:val="22"/>
          </w:rPr>
          <w:t xml:space="preserve">Chapter </w:t>
        </w:r>
        <w:r w:rsidR="004F318F" w:rsidRPr="004F318F">
          <w:rPr>
            <w:rStyle w:val="Hyperlink"/>
            <w:rFonts w:ascii="Calibri" w:hAnsi="Calibri" w:cs="Calibri"/>
            <w:sz w:val="22"/>
            <w:szCs w:val="22"/>
          </w:rPr>
          <w:t>3.3</w:t>
        </w:r>
        <w:r w:rsidRPr="004F318F">
          <w:rPr>
            <w:rStyle w:val="Hyperlink"/>
            <w:rFonts w:ascii="Calibri" w:hAnsi="Calibri" w:cs="Calibri"/>
            <w:sz w:val="22"/>
            <w:szCs w:val="22"/>
          </w:rPr>
          <w:t>.</w:t>
        </w:r>
        <w:r w:rsidR="004F318F" w:rsidRPr="004F318F">
          <w:rPr>
            <w:rStyle w:val="Hyperlink"/>
            <w:rFonts w:ascii="Calibri" w:hAnsi="Calibri" w:cs="Calibri"/>
            <w:sz w:val="22"/>
            <w:szCs w:val="22"/>
          </w:rPr>
          <w:t>10</w:t>
        </w:r>
        <w:r w:rsidRPr="004F318F">
          <w:rPr>
            <w:rStyle w:val="Hyperlink"/>
            <w:rFonts w:ascii="Calibri" w:hAnsi="Calibri" w:cs="Calibri"/>
            <w:sz w:val="22"/>
            <w:szCs w:val="22"/>
          </w:rPr>
          <w:t>.1</w:t>
        </w:r>
      </w:hyperlink>
      <w:r w:rsidRPr="004F318F">
        <w:rPr>
          <w:rFonts w:ascii="Calibri" w:hAnsi="Calibri" w:cs="Calibri"/>
          <w:sz w:val="22"/>
          <w:szCs w:val="22"/>
        </w:rPr>
        <w:t>),</w:t>
      </w:r>
      <w:r w:rsidRPr="006720E4">
        <w:rPr>
          <w:rFonts w:ascii="Calibri" w:hAnsi="Calibri" w:cs="Calibri"/>
          <w:sz w:val="22"/>
          <w:szCs w:val="22"/>
        </w:rPr>
        <w:t xml:space="preserve"> and the expectations of people who make a decision to donate for the purpose of helping others by restoring or improving their health.</w:t>
      </w:r>
    </w:p>
    <w:p w14:paraId="78C6514B" w14:textId="0C0AB29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There are many </w:t>
      </w:r>
      <w:hyperlink w:anchor="_Glossary_2" w:history="1">
        <w:r w:rsidRPr="006720E4">
          <w:rPr>
            <w:rStyle w:val="Hyperlink"/>
            <w:rFonts w:ascii="Calibri" w:hAnsi="Calibri" w:cs="Calibri"/>
            <w:sz w:val="22"/>
            <w:szCs w:val="22"/>
          </w:rPr>
          <w:t>activities</w:t>
        </w:r>
      </w:hyperlink>
      <w:r w:rsidRPr="006720E4">
        <w:rPr>
          <w:rFonts w:ascii="Calibri" w:hAnsi="Calibri" w:cs="Calibri"/>
          <w:sz w:val="22"/>
          <w:szCs w:val="22"/>
        </w:rPr>
        <w:t xml:space="preserve"> that may be needed to support development and maintenance of donation and transplantation programs, to ensure the delivery of high-quality care for all, and to inform new policies and practices that will produce better health outcomes. These include but are not limited to various steps in the recruitment and evaluation of potential donors; maintenance of donor and patient registries; removal of cells, tissues, and organs from donors; transport, processing, storage, distribution and transplantation of donated cells, tissues, and organs; and research evaluating performance of donation and transplantation programs and investigating new methods or technologies that may improve practice and outcomes. All these activities will necessarily involve financial transactions; it is important to ensure such transactions are consistent with the ethical values and principles outlined in these Guidelines.</w:t>
      </w:r>
    </w:p>
    <w:p w14:paraId="6B29A760" w14:textId="3C6C72E5" w:rsidR="006C6EBA" w:rsidRPr="006720E4" w:rsidRDefault="006C6EBA" w:rsidP="00EA22AE">
      <w:pPr>
        <w:spacing w:after="120"/>
        <w:rPr>
          <w:rFonts w:ascii="Calibri" w:hAnsi="Calibri" w:cs="Calibri"/>
          <w:sz w:val="22"/>
          <w:szCs w:val="22"/>
        </w:rPr>
      </w:pPr>
      <w:r w:rsidRPr="001C292C">
        <w:rPr>
          <w:rFonts w:ascii="Calibri" w:hAnsi="Calibri" w:cs="Calibri"/>
          <w:sz w:val="22"/>
          <w:szCs w:val="22"/>
        </w:rPr>
        <w:t xml:space="preserve">See </w:t>
      </w:r>
      <w:hyperlink w:anchor="_Commodification_of_cells,_1" w:history="1">
        <w:r w:rsidR="001C292C" w:rsidRPr="001C292C">
          <w:rPr>
            <w:rStyle w:val="Hyperlink"/>
            <w:rFonts w:ascii="Calibri" w:hAnsi="Calibri" w:cs="Calibri"/>
            <w:sz w:val="22"/>
            <w:szCs w:val="22"/>
          </w:rPr>
          <w:t>Chapter 10</w:t>
        </w:r>
      </w:hyperlink>
      <w:r w:rsidRPr="001C292C">
        <w:rPr>
          <w:rFonts w:ascii="Calibri" w:hAnsi="Calibri" w:cs="Calibri"/>
          <w:sz w:val="22"/>
          <w:szCs w:val="22"/>
        </w:rPr>
        <w:t xml:space="preserve"> for discussion</w:t>
      </w:r>
      <w:r w:rsidRPr="006720E4">
        <w:rPr>
          <w:rFonts w:ascii="Calibri" w:hAnsi="Calibri" w:cs="Calibri"/>
          <w:sz w:val="22"/>
          <w:szCs w:val="22"/>
        </w:rPr>
        <w:t xml:space="preserve"> of ethical considerations relating to this principle.</w:t>
      </w:r>
    </w:p>
    <w:p w14:paraId="3806F4E7" w14:textId="77777777" w:rsidR="006C6EBA" w:rsidRPr="006720E4" w:rsidRDefault="006C6EBA" w:rsidP="00EA22AE">
      <w:pPr>
        <w:pStyle w:val="Heading4"/>
        <w:spacing w:after="120"/>
      </w:pPr>
      <w:bookmarkStart w:id="574" w:name="_The_nature_of"/>
      <w:bookmarkStart w:id="575" w:name="_Toc82773488"/>
      <w:bookmarkStart w:id="576" w:name="_Toc82773841"/>
      <w:bookmarkEnd w:id="574"/>
      <w:r w:rsidRPr="006720E4">
        <w:t>The nature of donation as a binding and altruistic gift</w:t>
      </w:r>
      <w:bookmarkEnd w:id="575"/>
      <w:bookmarkEnd w:id="576"/>
    </w:p>
    <w:p w14:paraId="7DEE127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Donation of human cells, tissues or organs is often described as altruistic, meaning that it involves a gift which is primarily motivated by the desire to help others, rather than by an expectation that the donor will receive a benefit. In particular, donation refers to a gift that is made without expectation of a financial reward, which would transform the gift into an effective sale or trade. </w:t>
      </w:r>
    </w:p>
    <w:p w14:paraId="31474330" w14:textId="003FD6A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Despite the fact that cells, tissues, and organs are not sold by a donor the way a person might sell their personal property such as car, or television, once donation has occurred, it should be considered an ethically binding act. This means that rights of control or use of the donation are permanently transferred to the transplant recipient, or temporarily held by the relevant custodians of the donation. Although a potential donor can change their mind before donation takes place and withdraw consent to the removal or use of their cells, tissues, or organs in transplantation (see </w:t>
      </w:r>
      <w:hyperlink w:anchor="_Valid_refusal_and" w:history="1">
        <w:r w:rsidRPr="001C292C">
          <w:rPr>
            <w:rStyle w:val="Hyperlink"/>
            <w:rFonts w:ascii="Calibri" w:hAnsi="Calibri" w:cs="Calibri"/>
            <w:sz w:val="22"/>
            <w:szCs w:val="22"/>
          </w:rPr>
          <w:t xml:space="preserve">Chapter </w:t>
        </w:r>
        <w:r w:rsidR="0004484E" w:rsidRPr="001C292C">
          <w:rPr>
            <w:rStyle w:val="Hyperlink"/>
            <w:rFonts w:ascii="Calibri" w:hAnsi="Calibri" w:cs="Calibri"/>
            <w:sz w:val="22"/>
            <w:szCs w:val="22"/>
          </w:rPr>
          <w:t>4</w:t>
        </w:r>
        <w:r w:rsidRPr="001C292C">
          <w:rPr>
            <w:rStyle w:val="Hyperlink"/>
            <w:rFonts w:ascii="Calibri" w:hAnsi="Calibri" w:cs="Calibri"/>
            <w:sz w:val="22"/>
            <w:szCs w:val="22"/>
          </w:rPr>
          <w:t>.1.4</w:t>
        </w:r>
      </w:hyperlink>
      <w:r w:rsidRPr="001C292C">
        <w:rPr>
          <w:rFonts w:ascii="Calibri" w:hAnsi="Calibri" w:cs="Calibri"/>
          <w:sz w:val="22"/>
          <w:szCs w:val="22"/>
        </w:rPr>
        <w:t>), once donation</w:t>
      </w:r>
      <w:r w:rsidRPr="006720E4">
        <w:rPr>
          <w:rFonts w:ascii="Calibri" w:hAnsi="Calibri" w:cs="Calibri"/>
          <w:sz w:val="22"/>
          <w:szCs w:val="22"/>
        </w:rPr>
        <w:t xml:space="preserve"> has taken place the donor can no longer dictate the use of any donated materials or demand their return. That means a living kidney donor cannot, for example, demand the return of the kidney which they donated to a relative; once transplanted, the kidney is now that of the transplant recipient. Nor can a person who has provided valid consent to donate their femoral head to a tissue bank following a hip replacement recover that tissue once it has been received by the bank.</w:t>
      </w:r>
    </w:p>
    <w:p w14:paraId="15E947E8" w14:textId="3C5A94F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However, until donations are transplanted, donors are entitled to expect that their donations will be treated by custodians in accordance with expectations set at the time of consent for donation. When making a decision to donate, individuals may in some cases place conditions upon how or for what purpose their donations may be used. For example, a person may provide consent on behalf of a deceased donor for the use of their tissues in transplantation but refuse permission for tissues to be used in research. When these conditions are ethically appropriate and clinically feasible (see </w:t>
      </w:r>
      <w:hyperlink w:anchor="_Restricted_or_conditional" w:history="1">
        <w:r w:rsidRPr="001C292C">
          <w:rPr>
            <w:rStyle w:val="Hyperlink"/>
            <w:rFonts w:ascii="Calibri" w:hAnsi="Calibri" w:cs="Calibri"/>
            <w:sz w:val="22"/>
            <w:szCs w:val="22"/>
          </w:rPr>
          <w:t>Chapter 1</w:t>
        </w:r>
        <w:r w:rsidR="001C292C" w:rsidRPr="001C292C">
          <w:rPr>
            <w:rStyle w:val="Hyperlink"/>
            <w:rFonts w:ascii="Calibri" w:hAnsi="Calibri" w:cs="Calibri"/>
            <w:sz w:val="22"/>
            <w:szCs w:val="22"/>
          </w:rPr>
          <w:t>2</w:t>
        </w:r>
        <w:r w:rsidRPr="001C292C">
          <w:rPr>
            <w:rStyle w:val="Hyperlink"/>
            <w:rFonts w:ascii="Calibri" w:hAnsi="Calibri" w:cs="Calibri"/>
            <w:sz w:val="22"/>
            <w:szCs w:val="22"/>
          </w:rPr>
          <w:t>.3</w:t>
        </w:r>
      </w:hyperlink>
      <w:r w:rsidRPr="001C292C">
        <w:rPr>
          <w:rFonts w:ascii="Calibri" w:hAnsi="Calibri" w:cs="Calibri"/>
          <w:sz w:val="22"/>
          <w:szCs w:val="22"/>
        </w:rPr>
        <w:t>), and consent</w:t>
      </w:r>
      <w:r w:rsidRPr="006720E4">
        <w:rPr>
          <w:rFonts w:ascii="Calibri" w:hAnsi="Calibri" w:cs="Calibri"/>
          <w:sz w:val="22"/>
          <w:szCs w:val="22"/>
        </w:rPr>
        <w:t xml:space="preserve"> for donation is obtained on the basis of these conditions, then these should be followed by custodians of the donated materials. In some cases, donors or </w:t>
      </w:r>
      <w:hyperlink w:anchor="_Glossary_2" w:history="1">
        <w:r w:rsidRPr="006720E4">
          <w:rPr>
            <w:rStyle w:val="Hyperlink"/>
            <w:rFonts w:ascii="Calibri" w:hAnsi="Calibri" w:cs="Calibri"/>
            <w:sz w:val="22"/>
            <w:szCs w:val="22"/>
          </w:rPr>
          <w:t>donation decision-makers</w:t>
        </w:r>
      </w:hyperlink>
      <w:r w:rsidRPr="006720E4">
        <w:rPr>
          <w:rFonts w:ascii="Calibri" w:hAnsi="Calibri" w:cs="Calibri"/>
          <w:sz w:val="22"/>
          <w:szCs w:val="22"/>
        </w:rPr>
        <w:t xml:space="preserve"> may be consulted after donation and offered the opportunity to consent to a different use or treatment of the donation. </w:t>
      </w:r>
    </w:p>
    <w:p w14:paraId="5D121CED" w14:textId="5B982826" w:rsidR="00AE024A" w:rsidRPr="006720E4" w:rsidRDefault="006C6EBA" w:rsidP="00EA22AE">
      <w:pPr>
        <w:pStyle w:val="Heading3"/>
        <w:spacing w:after="120"/>
      </w:pPr>
      <w:bookmarkStart w:id="577" w:name="_Principle_10._Potential"/>
      <w:bookmarkStart w:id="578" w:name="_Principle_11._Decision-making"/>
      <w:bookmarkStart w:id="579" w:name="_Toc70241725"/>
      <w:bookmarkStart w:id="580" w:name="_Toc70243359"/>
      <w:bookmarkStart w:id="581" w:name="_Toc70414795"/>
      <w:bookmarkStart w:id="582" w:name="_Toc70844125"/>
      <w:bookmarkStart w:id="583" w:name="_Toc72615057"/>
      <w:bookmarkStart w:id="584" w:name="_Toc73129776"/>
      <w:bookmarkStart w:id="585" w:name="_Toc73301645"/>
      <w:bookmarkStart w:id="586" w:name="_Toc73302151"/>
      <w:bookmarkStart w:id="587" w:name="_Toc73303284"/>
      <w:bookmarkStart w:id="588" w:name="_Toc73303545"/>
      <w:bookmarkStart w:id="589" w:name="_Toc74080662"/>
      <w:bookmarkStart w:id="590" w:name="_Toc74080970"/>
      <w:bookmarkStart w:id="591" w:name="_Toc74081200"/>
      <w:bookmarkStart w:id="592" w:name="_Toc74081429"/>
      <w:bookmarkStart w:id="593" w:name="_Toc74171031"/>
      <w:bookmarkStart w:id="594" w:name="_Toc74172206"/>
      <w:bookmarkStart w:id="595" w:name="_Toc74172742"/>
      <w:bookmarkStart w:id="596" w:name="_Toc74238705"/>
      <w:bookmarkStart w:id="597" w:name="_Toc79406321"/>
      <w:bookmarkStart w:id="598" w:name="_Toc82773489"/>
      <w:bookmarkStart w:id="599" w:name="_Toc82773842"/>
      <w:bookmarkEnd w:id="577"/>
      <w:bookmarkEnd w:id="578"/>
      <w:r w:rsidRPr="006720E4">
        <w:lastRenderedPageBreak/>
        <w:t>Principle 1</w:t>
      </w:r>
      <w:r w:rsidR="00AE024A" w:rsidRPr="006720E4">
        <w:t>1</w:t>
      </w:r>
      <w:r w:rsidRPr="006720E4">
        <w:t>.</w:t>
      </w:r>
      <w:r w:rsidR="00AE024A" w:rsidRPr="006720E4">
        <w:t xml:space="preserve"> </w:t>
      </w:r>
      <w:r w:rsidR="00AE024A" w:rsidRPr="006720E4">
        <w:rPr>
          <w:szCs w:val="22"/>
          <w:u w:color="0000FF"/>
          <w:lang w:val="en-GB"/>
        </w:rPr>
        <w:t>Decision-making about donation and transplantation should be free from coercion, exploitation or financial incentives; this should not preclude coverage of costs associated with donation or transplantation.</w:t>
      </w:r>
      <w:r w:rsidRPr="006720E4">
        <w:t xml:space="preserve"> </w:t>
      </w:r>
    </w:p>
    <w:p w14:paraId="0ACF7AEA" w14:textId="68667336" w:rsidR="005D2F42" w:rsidRPr="006720E4" w:rsidRDefault="005D2F42"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In order to respect the autonomy of people making decisions about donation or transplantation, particular behaviours or policies that might undermine voluntariness in decision-making must be avoided</w:t>
      </w:r>
      <w:r w:rsidR="007C37DB" w:rsidRPr="006720E4">
        <w:rPr>
          <w:rFonts w:ascii="Calibri" w:hAnsi="Calibri" w:cs="Calibri"/>
          <w:color w:val="000000" w:themeColor="text1"/>
          <w:sz w:val="22"/>
          <w:szCs w:val="22"/>
        </w:rPr>
        <w:t xml:space="preserve"> (see </w:t>
      </w:r>
      <w:hyperlink w:anchor="_Voluntariness" w:history="1">
        <w:r w:rsidR="007C37DB" w:rsidRPr="004F318F">
          <w:rPr>
            <w:rStyle w:val="Hyperlink"/>
            <w:rFonts w:ascii="Calibri" w:hAnsi="Calibri" w:cs="Calibri"/>
            <w:sz w:val="22"/>
            <w:szCs w:val="22"/>
          </w:rPr>
          <w:t>Chapter 4.</w:t>
        </w:r>
        <w:r w:rsidR="004F318F" w:rsidRPr="004F318F">
          <w:rPr>
            <w:rStyle w:val="Hyperlink"/>
            <w:rFonts w:ascii="Calibri" w:hAnsi="Calibri" w:cs="Calibri"/>
            <w:sz w:val="22"/>
            <w:szCs w:val="22"/>
          </w:rPr>
          <w:t>1.2</w:t>
        </w:r>
      </w:hyperlink>
      <w:r w:rsidR="007C37DB" w:rsidRPr="006720E4">
        <w:rPr>
          <w:rFonts w:ascii="Calibri" w:hAnsi="Calibri" w:cs="Calibri"/>
          <w:color w:val="000000" w:themeColor="text1"/>
          <w:sz w:val="22"/>
          <w:szCs w:val="22"/>
        </w:rPr>
        <w:t>)</w:t>
      </w:r>
      <w:r w:rsidRPr="006720E4">
        <w:rPr>
          <w:rFonts w:ascii="Calibri" w:hAnsi="Calibri" w:cs="Calibri"/>
          <w:color w:val="000000" w:themeColor="text1"/>
          <w:sz w:val="22"/>
          <w:szCs w:val="22"/>
        </w:rPr>
        <w:t xml:space="preserve">. </w:t>
      </w:r>
    </w:p>
    <w:p w14:paraId="088952A3" w14:textId="34EB2061" w:rsidR="003102CA" w:rsidRPr="006720E4" w:rsidRDefault="005D2F42"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When a person is forced to make a decision that is not consistent with their own values, goals or preferences, that is, they are compelled to do something against their will, this is considered coercion. Coercion may involve an act of force, or a threat to make a person worse off if they do not make the desired choice. For example, coercing a living donor could involve removing an organ from a person without their consent, or threatening to </w:t>
      </w:r>
      <w:r w:rsidR="003102CA" w:rsidRPr="006720E4">
        <w:rPr>
          <w:rFonts w:ascii="Calibri" w:hAnsi="Calibri" w:cs="Calibri"/>
          <w:color w:val="000000" w:themeColor="text1"/>
          <w:sz w:val="22"/>
          <w:szCs w:val="22"/>
        </w:rPr>
        <w:t>harm a person if they do not agree to donate their organ.</w:t>
      </w:r>
    </w:p>
    <w:p w14:paraId="7126A6D3" w14:textId="0E5EA266" w:rsidR="003102CA" w:rsidRPr="006720E4" w:rsidRDefault="003102C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Wrongful exploitation in decision-making about donation or transplantation may be defined as taking unfair advantage of a person’s vulnerability so that they make a decision that they would not otherwise have chosen to make. A range of personal factors may cause people to be vulnerable in decision-making, including emotional, physical or socioeconomic factors. The nature of relationships between people involved in decision-making can also create vulnerabilities. For example, a clinician might take advantage of a transplant candidate’s lack of medical knowledge in order to obtain their agreement to or decline of a potential transplant offer. </w:t>
      </w:r>
    </w:p>
    <w:p w14:paraId="1FB7AFCA" w14:textId="19C53E9E" w:rsidR="003102CA" w:rsidRPr="006720E4" w:rsidRDefault="003102C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Use of financial incentives can similarly undermine autonomy in decision-making by influencing decision-making in ways that may take advantage of people’s economic vulnerabilities. For example, offering</w:t>
      </w:r>
      <w:r w:rsidR="00182DE8" w:rsidRPr="006720E4">
        <w:rPr>
          <w:rFonts w:ascii="Calibri" w:hAnsi="Calibri" w:cs="Calibri"/>
          <w:color w:val="000000" w:themeColor="text1"/>
          <w:sz w:val="22"/>
          <w:szCs w:val="22"/>
        </w:rPr>
        <w:t xml:space="preserve"> to pay the funeral costs of </w:t>
      </w:r>
      <w:r w:rsidRPr="006720E4">
        <w:rPr>
          <w:rFonts w:ascii="Calibri" w:hAnsi="Calibri" w:cs="Calibri"/>
          <w:color w:val="000000" w:themeColor="text1"/>
          <w:sz w:val="22"/>
          <w:szCs w:val="22"/>
        </w:rPr>
        <w:t xml:space="preserve">the family of a potential deceased donor </w:t>
      </w:r>
      <w:r w:rsidR="00182DE8" w:rsidRPr="006720E4">
        <w:rPr>
          <w:rFonts w:ascii="Calibri" w:hAnsi="Calibri" w:cs="Calibri"/>
          <w:color w:val="000000" w:themeColor="text1"/>
          <w:sz w:val="22"/>
          <w:szCs w:val="22"/>
        </w:rPr>
        <w:t xml:space="preserve">if they agree to authorise donation may </w:t>
      </w:r>
      <w:r w:rsidR="004E5710" w:rsidRPr="006720E4">
        <w:rPr>
          <w:rFonts w:ascii="Calibri" w:hAnsi="Calibri" w:cs="Calibri"/>
          <w:color w:val="000000" w:themeColor="text1"/>
          <w:sz w:val="22"/>
          <w:szCs w:val="22"/>
        </w:rPr>
        <w:t xml:space="preserve">make it difficult for a family to refuse if they wished to do so, if they are otherwise unable to afford a funeral for their relative. As </w:t>
      </w:r>
      <w:r w:rsidR="004E5710" w:rsidRPr="006824A7">
        <w:rPr>
          <w:rFonts w:ascii="Calibri" w:hAnsi="Calibri" w:cs="Calibri"/>
          <w:color w:val="000000" w:themeColor="text1"/>
          <w:sz w:val="22"/>
          <w:szCs w:val="22"/>
        </w:rPr>
        <w:t xml:space="preserve">discussed in </w:t>
      </w:r>
      <w:hyperlink w:anchor="_Incentives_for_donation" w:history="1">
        <w:r w:rsidR="006824A7" w:rsidRPr="006824A7">
          <w:rPr>
            <w:rStyle w:val="Hyperlink"/>
            <w:rFonts w:ascii="Calibri" w:hAnsi="Calibri" w:cs="Calibri"/>
            <w:sz w:val="22"/>
            <w:szCs w:val="22"/>
          </w:rPr>
          <w:t>Chapter 10.1.1</w:t>
        </w:r>
      </w:hyperlink>
      <w:r w:rsidR="004E5710" w:rsidRPr="006824A7">
        <w:rPr>
          <w:rFonts w:ascii="Calibri" w:hAnsi="Calibri" w:cs="Calibri"/>
          <w:color w:val="000000" w:themeColor="text1"/>
          <w:sz w:val="22"/>
          <w:szCs w:val="22"/>
        </w:rPr>
        <w:t>, use of</w:t>
      </w:r>
      <w:r w:rsidR="004E5710" w:rsidRPr="006720E4">
        <w:rPr>
          <w:rFonts w:ascii="Calibri" w:hAnsi="Calibri" w:cs="Calibri"/>
          <w:color w:val="000000" w:themeColor="text1"/>
          <w:sz w:val="22"/>
          <w:szCs w:val="22"/>
        </w:rPr>
        <w:t xml:space="preserve"> financial incentives to influence donation decision-making may not only foster inequities in donation, it may also violate prohibitions against trade in human cells, organs or tissues. </w:t>
      </w:r>
    </w:p>
    <w:p w14:paraId="57541738" w14:textId="03068791" w:rsidR="004E5710" w:rsidRPr="006720E4" w:rsidRDefault="004E5710" w:rsidP="00EA22AE">
      <w:pPr>
        <w:spacing w:after="120"/>
        <w:rPr>
          <w:rFonts w:ascii="Calibri" w:hAnsi="Calibri" w:cs="Calibri"/>
        </w:rPr>
      </w:pPr>
      <w:r w:rsidRPr="006720E4">
        <w:rPr>
          <w:rFonts w:ascii="Calibri" w:hAnsi="Calibri" w:cs="Calibri"/>
          <w:color w:val="000000" w:themeColor="text1"/>
          <w:sz w:val="22"/>
          <w:szCs w:val="22"/>
        </w:rPr>
        <w:t xml:space="preserve">It is important to note that covering costs associated with donation or transplantation does not necessarily constitute use of financial incentives or violation of prohibitions against trade. As discussed in </w:t>
      </w:r>
      <w:hyperlink w:anchor="_Financial_neutrality_in" w:history="1">
        <w:r w:rsidR="006824A7" w:rsidRPr="00471664">
          <w:rPr>
            <w:rStyle w:val="Hyperlink"/>
            <w:rFonts w:ascii="Calibri" w:hAnsi="Calibri" w:cs="Calibri"/>
            <w:sz w:val="22"/>
            <w:szCs w:val="22"/>
          </w:rPr>
          <w:t xml:space="preserve">Chapter </w:t>
        </w:r>
        <w:r w:rsidR="006824A7" w:rsidRPr="00471664">
          <w:rPr>
            <w:rStyle w:val="Hyperlink"/>
            <w:rFonts w:ascii="Calibri" w:hAnsi="Calibri" w:cs="Calibri"/>
            <w:sz w:val="22"/>
            <w:szCs w:val="21"/>
          </w:rPr>
          <w:t>10.4</w:t>
        </w:r>
      </w:hyperlink>
      <w:r w:rsidRPr="006720E4">
        <w:rPr>
          <w:rFonts w:ascii="Calibri" w:hAnsi="Calibri" w:cs="Calibri"/>
          <w:color w:val="000000" w:themeColor="text1"/>
          <w:sz w:val="22"/>
          <w:szCs w:val="22"/>
        </w:rPr>
        <w:t>, covering costs may be necessary to remove barriers to donation or transplantation and to avoid causing financial injury to donors or donor families.</w:t>
      </w:r>
    </w:p>
    <w:p w14:paraId="62815213" w14:textId="77777777" w:rsidR="006C6EBA" w:rsidRPr="006720E4" w:rsidRDefault="006C6EBA" w:rsidP="00EA22AE">
      <w:pPr>
        <w:pStyle w:val="Heading2"/>
        <w:spacing w:after="120"/>
      </w:pPr>
      <w:bookmarkStart w:id="600" w:name="_Ethical_decision-making_in"/>
      <w:bookmarkStart w:id="601" w:name="_Approach_to_ethical"/>
      <w:bookmarkStart w:id="602" w:name="_Toc61810308"/>
      <w:bookmarkStart w:id="603" w:name="_Toc70241726"/>
      <w:bookmarkStart w:id="604" w:name="_Toc70243360"/>
      <w:bookmarkStart w:id="605" w:name="_Toc70328721"/>
      <w:bookmarkStart w:id="606" w:name="_Toc70333951"/>
      <w:bookmarkStart w:id="607" w:name="_Toc70414796"/>
      <w:bookmarkStart w:id="608" w:name="_Toc70844126"/>
      <w:bookmarkStart w:id="609" w:name="_Toc70858978"/>
      <w:bookmarkStart w:id="610" w:name="_Toc70861079"/>
      <w:bookmarkStart w:id="611" w:name="_Toc70876563"/>
      <w:bookmarkStart w:id="612" w:name="_Toc72615058"/>
      <w:bookmarkStart w:id="613" w:name="_Toc73129777"/>
      <w:bookmarkStart w:id="614" w:name="_Toc73301646"/>
      <w:bookmarkStart w:id="615" w:name="_Toc73302152"/>
      <w:bookmarkStart w:id="616" w:name="_Toc73303285"/>
      <w:bookmarkStart w:id="617" w:name="_Toc73303546"/>
      <w:bookmarkStart w:id="618" w:name="_Toc74080663"/>
      <w:bookmarkStart w:id="619" w:name="_Toc74080971"/>
      <w:bookmarkStart w:id="620" w:name="_Toc74081201"/>
      <w:bookmarkStart w:id="621" w:name="_Toc74081430"/>
      <w:bookmarkStart w:id="622" w:name="_Toc74171032"/>
      <w:bookmarkStart w:id="623" w:name="_Toc74172207"/>
      <w:bookmarkStart w:id="624" w:name="_Toc74172743"/>
      <w:bookmarkStart w:id="625" w:name="_Toc74238706"/>
      <w:bookmarkStart w:id="626" w:name="_Toc78304754"/>
      <w:bookmarkStart w:id="627" w:name="_Toc79330842"/>
      <w:bookmarkStart w:id="628" w:name="_Toc79331222"/>
      <w:bookmarkStart w:id="629" w:name="_Toc79406322"/>
      <w:bookmarkStart w:id="630" w:name="_Toc82773491"/>
      <w:bookmarkStart w:id="631" w:name="_Toc82773844"/>
      <w:bookmarkStart w:id="632" w:name="_Toc128314191"/>
      <w:bookmarkStart w:id="633" w:name="_Toc135131435"/>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720E4">
        <w:t>Approach to ethical decision-making</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16367CAB" w14:textId="77777777" w:rsidR="006C6EBA" w:rsidRPr="006720E4" w:rsidRDefault="006C6EBA" w:rsidP="00EA22AE">
      <w:pPr>
        <w:spacing w:after="120"/>
        <w:rPr>
          <w:rFonts w:ascii="Calibri" w:hAnsi="Calibri" w:cs="Calibri"/>
          <w:color w:val="000000" w:themeColor="text1"/>
          <w:sz w:val="22"/>
          <w:szCs w:val="22"/>
        </w:rPr>
      </w:pPr>
      <w:bookmarkStart w:id="634" w:name="_Toc61810309"/>
      <w:r w:rsidRPr="006720E4">
        <w:rPr>
          <w:rFonts w:ascii="Calibri" w:hAnsi="Calibri" w:cs="Calibri"/>
          <w:color w:val="000000" w:themeColor="text1"/>
          <w:sz w:val="22"/>
          <w:szCs w:val="22"/>
        </w:rPr>
        <w:t xml:space="preserve">The aim of ethical decision-making in healthcare is to reason through, decide upon and communicate the ethical justification for a clinically appropriate action(s) that meets the patient’s goals of care while ensuring respect for all parties’ values in situations of conflict or uncertainty. It may be helpful to use a structured approach when contributing to complex ethical decisions in a clinical setting, and when considering dilemmas in policymaking. </w:t>
      </w:r>
    </w:p>
    <w:p w14:paraId="435976D3" w14:textId="7777777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Ethical considerations are likely to be embedded in much of clinical decision-making about donation and transplantation. The following sections outline several aspects of ethical decision-making that </w:t>
      </w:r>
      <w:bookmarkStart w:id="635" w:name="_Toc70241727"/>
      <w:bookmarkStart w:id="636" w:name="_Toc70243361"/>
      <w:r w:rsidRPr="006720E4">
        <w:rPr>
          <w:rFonts w:ascii="Calibri" w:hAnsi="Calibri" w:cs="Calibri"/>
          <w:color w:val="000000" w:themeColor="text1"/>
          <w:sz w:val="22"/>
          <w:szCs w:val="22"/>
        </w:rPr>
        <w:t xml:space="preserve">should be carefully considered throughout the decision-making process. </w:t>
      </w:r>
    </w:p>
    <w:p w14:paraId="5A305A29" w14:textId="77777777" w:rsidR="006C6EBA" w:rsidRPr="006720E4" w:rsidRDefault="006C6EBA" w:rsidP="00EA22AE">
      <w:pPr>
        <w:pStyle w:val="Heading3"/>
        <w:spacing w:after="120"/>
      </w:pPr>
      <w:bookmarkStart w:id="637" w:name="_Framework_for_ethical"/>
      <w:bookmarkStart w:id="638" w:name="_Toc70414797"/>
      <w:bookmarkStart w:id="639" w:name="_Toc70844127"/>
      <w:bookmarkStart w:id="640" w:name="_Toc72615059"/>
      <w:bookmarkStart w:id="641" w:name="_Toc73129778"/>
      <w:bookmarkStart w:id="642" w:name="_Toc73301647"/>
      <w:bookmarkStart w:id="643" w:name="_Toc73302153"/>
      <w:bookmarkStart w:id="644" w:name="_Toc73303286"/>
      <w:bookmarkStart w:id="645" w:name="_Toc73303547"/>
      <w:bookmarkStart w:id="646" w:name="_Toc74080664"/>
      <w:bookmarkStart w:id="647" w:name="_Toc74080972"/>
      <w:bookmarkStart w:id="648" w:name="_Toc74081202"/>
      <w:bookmarkStart w:id="649" w:name="_Toc74081431"/>
      <w:bookmarkStart w:id="650" w:name="_Toc74171033"/>
      <w:bookmarkStart w:id="651" w:name="_Toc74172208"/>
      <w:bookmarkStart w:id="652" w:name="_Toc74172744"/>
      <w:bookmarkStart w:id="653" w:name="_Toc74238707"/>
      <w:bookmarkStart w:id="654" w:name="_Toc79406323"/>
      <w:bookmarkStart w:id="655" w:name="_Toc82773492"/>
      <w:bookmarkStart w:id="656" w:name="_Toc82773845"/>
      <w:bookmarkEnd w:id="637"/>
      <w:r w:rsidRPr="006720E4">
        <w:t>Framework for ethical decision-making</w:t>
      </w:r>
      <w:bookmarkEnd w:id="635"/>
      <w:bookmarkEnd w:id="636"/>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6720E4">
        <w:t xml:space="preserve"> </w:t>
      </w:r>
    </w:p>
    <w:p w14:paraId="0BFFCB1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following steps are commonly considered as part of structured approaches to ethical decision-making in clinical practice. They are described sequentially but in practice these often occur in parallel. </w:t>
      </w:r>
    </w:p>
    <w:p w14:paraId="6F1FC072" w14:textId="77777777" w:rsidR="006C6EBA" w:rsidRPr="006720E4" w:rsidRDefault="006C6EBA" w:rsidP="00C3783C">
      <w:pPr>
        <w:pStyle w:val="ListParagraph"/>
        <w:numPr>
          <w:ilvl w:val="0"/>
          <w:numId w:val="49"/>
        </w:numPr>
        <w:spacing w:after="120"/>
        <w:ind w:hanging="357"/>
        <w:contextualSpacing w:val="0"/>
        <w:rPr>
          <w:rFonts w:cs="Calibri"/>
          <w:szCs w:val="22"/>
        </w:rPr>
      </w:pPr>
      <w:r w:rsidRPr="006720E4">
        <w:rPr>
          <w:rFonts w:cs="Calibri"/>
          <w:b/>
          <w:szCs w:val="22"/>
        </w:rPr>
        <w:t xml:space="preserve">Identification: </w:t>
      </w:r>
      <w:r w:rsidRPr="006720E4">
        <w:rPr>
          <w:rFonts w:cs="Calibri"/>
          <w:szCs w:val="22"/>
        </w:rPr>
        <w:t>Identify the ethical issue or concerns, e.g., potential conflicts between ethical obligations or clinical goals; disagreement regarding the application of policies.</w:t>
      </w:r>
    </w:p>
    <w:p w14:paraId="3026B5FF" w14:textId="77777777" w:rsidR="006C6EBA" w:rsidRPr="006720E4" w:rsidRDefault="006C6EBA" w:rsidP="00C3783C">
      <w:pPr>
        <w:pStyle w:val="ListParagraph"/>
        <w:numPr>
          <w:ilvl w:val="0"/>
          <w:numId w:val="49"/>
        </w:numPr>
        <w:spacing w:after="120"/>
        <w:ind w:hanging="357"/>
        <w:contextualSpacing w:val="0"/>
        <w:rPr>
          <w:rFonts w:cs="Calibri"/>
          <w:szCs w:val="22"/>
        </w:rPr>
      </w:pPr>
      <w:r w:rsidRPr="006720E4">
        <w:rPr>
          <w:rFonts w:cs="Calibri"/>
          <w:b/>
          <w:szCs w:val="22"/>
        </w:rPr>
        <w:lastRenderedPageBreak/>
        <w:t xml:space="preserve">Information-gathering: </w:t>
      </w:r>
      <w:r w:rsidRPr="006720E4">
        <w:rPr>
          <w:rFonts w:cs="Calibri"/>
          <w:szCs w:val="22"/>
        </w:rPr>
        <w:t>Determine and collect information relevant to the issue or decision being made e.g.,</w:t>
      </w:r>
    </w:p>
    <w:p w14:paraId="5820D6B8" w14:textId="77777777" w:rsidR="006C6EBA" w:rsidRPr="006720E4" w:rsidRDefault="006C6EBA" w:rsidP="00C3783C">
      <w:pPr>
        <w:pStyle w:val="ListParagraph"/>
        <w:numPr>
          <w:ilvl w:val="1"/>
          <w:numId w:val="49"/>
        </w:numPr>
        <w:spacing w:after="120"/>
        <w:ind w:hanging="357"/>
        <w:contextualSpacing w:val="0"/>
        <w:rPr>
          <w:rFonts w:cs="Calibri"/>
          <w:szCs w:val="22"/>
        </w:rPr>
      </w:pPr>
      <w:r w:rsidRPr="006720E4">
        <w:rPr>
          <w:rFonts w:cs="Calibri"/>
          <w:szCs w:val="22"/>
        </w:rPr>
        <w:t>clinical evidence relevant to the decision</w:t>
      </w:r>
    </w:p>
    <w:p w14:paraId="7EDA3DF0" w14:textId="77777777" w:rsidR="006C6EBA" w:rsidRPr="006720E4" w:rsidRDefault="006C6EBA" w:rsidP="00C3783C">
      <w:pPr>
        <w:pStyle w:val="ListParagraph"/>
        <w:numPr>
          <w:ilvl w:val="1"/>
          <w:numId w:val="49"/>
        </w:numPr>
        <w:spacing w:after="120"/>
        <w:ind w:hanging="357"/>
        <w:contextualSpacing w:val="0"/>
        <w:rPr>
          <w:rFonts w:cs="Calibri"/>
          <w:szCs w:val="22"/>
        </w:rPr>
      </w:pPr>
      <w:r w:rsidRPr="006720E4">
        <w:rPr>
          <w:rFonts w:cs="Calibri"/>
          <w:szCs w:val="22"/>
        </w:rPr>
        <w:t>information about a person’s values and preferences</w:t>
      </w:r>
    </w:p>
    <w:p w14:paraId="15870C03" w14:textId="77777777" w:rsidR="006C6EBA" w:rsidRPr="006720E4" w:rsidRDefault="006C6EBA" w:rsidP="00C3783C">
      <w:pPr>
        <w:pStyle w:val="ListParagraph"/>
        <w:numPr>
          <w:ilvl w:val="1"/>
          <w:numId w:val="49"/>
        </w:numPr>
        <w:spacing w:after="120"/>
        <w:ind w:hanging="357"/>
        <w:contextualSpacing w:val="0"/>
        <w:rPr>
          <w:rFonts w:cs="Calibri"/>
          <w:szCs w:val="22"/>
        </w:rPr>
      </w:pPr>
      <w:r w:rsidRPr="006720E4">
        <w:rPr>
          <w:rFonts w:cs="Calibri"/>
          <w:szCs w:val="22"/>
        </w:rPr>
        <w:t>consultation with relevant stakeholders and experts</w:t>
      </w:r>
    </w:p>
    <w:p w14:paraId="78E49140" w14:textId="77777777" w:rsidR="006C6EBA" w:rsidRPr="006720E4" w:rsidRDefault="006C6EBA" w:rsidP="00C3783C">
      <w:pPr>
        <w:pStyle w:val="ListParagraph"/>
        <w:numPr>
          <w:ilvl w:val="0"/>
          <w:numId w:val="49"/>
        </w:numPr>
        <w:spacing w:after="120"/>
        <w:ind w:hanging="357"/>
        <w:contextualSpacing w:val="0"/>
        <w:rPr>
          <w:rFonts w:cs="Calibri"/>
          <w:szCs w:val="22"/>
        </w:rPr>
      </w:pPr>
      <w:r w:rsidRPr="006720E4">
        <w:rPr>
          <w:rFonts w:cs="Calibri"/>
          <w:b/>
          <w:szCs w:val="22"/>
        </w:rPr>
        <w:t xml:space="preserve">Options: </w:t>
      </w:r>
      <w:r w:rsidRPr="006720E4">
        <w:rPr>
          <w:rFonts w:cs="Calibri"/>
          <w:szCs w:val="22"/>
        </w:rPr>
        <w:t>Determine options for action, that is, the choice(s) that are available with regards to the decision being made</w:t>
      </w:r>
    </w:p>
    <w:p w14:paraId="73A52CFF" w14:textId="3CE5AAAF" w:rsidR="006C6EBA" w:rsidRPr="006720E4" w:rsidRDefault="006C6EBA" w:rsidP="00C3783C">
      <w:pPr>
        <w:pStyle w:val="ListParagraph"/>
        <w:numPr>
          <w:ilvl w:val="0"/>
          <w:numId w:val="49"/>
        </w:numPr>
        <w:spacing w:after="120"/>
        <w:ind w:hanging="357"/>
        <w:contextualSpacing w:val="0"/>
        <w:rPr>
          <w:rFonts w:cs="Calibri"/>
          <w:szCs w:val="22"/>
        </w:rPr>
      </w:pPr>
      <w:r w:rsidRPr="006720E4">
        <w:rPr>
          <w:rFonts w:cs="Calibri"/>
          <w:b/>
          <w:szCs w:val="22"/>
        </w:rPr>
        <w:t xml:space="preserve">Consideration: </w:t>
      </w:r>
      <w:r w:rsidRPr="006720E4">
        <w:rPr>
          <w:rFonts w:cs="Calibri"/>
          <w:szCs w:val="22"/>
        </w:rPr>
        <w:t xml:space="preserve">Consider how the available options align with relevant ethical values or principles, legal frameworks or clinical considerations, stakeholder goals and preferences, including potential </w:t>
      </w:r>
      <w:r w:rsidRPr="004F318F">
        <w:rPr>
          <w:rFonts w:cs="Calibri"/>
          <w:szCs w:val="22"/>
        </w:rPr>
        <w:t xml:space="preserve">religious (see </w:t>
      </w:r>
      <w:hyperlink w:anchor="_Faith_and_Religion" w:history="1">
        <w:r w:rsidR="004F318F" w:rsidRPr="004F318F">
          <w:rPr>
            <w:rStyle w:val="Hyperlink"/>
            <w:rFonts w:cs="Calibri"/>
            <w:szCs w:val="22"/>
          </w:rPr>
          <w:t>Chapter 3</w:t>
        </w:r>
        <w:r w:rsidRPr="004F318F">
          <w:rPr>
            <w:rStyle w:val="Hyperlink"/>
            <w:rFonts w:cs="Calibri"/>
            <w:szCs w:val="22"/>
          </w:rPr>
          <w:t>.</w:t>
        </w:r>
        <w:r w:rsidR="004F318F" w:rsidRPr="004F318F">
          <w:rPr>
            <w:rStyle w:val="Hyperlink"/>
            <w:rFonts w:cs="Calibri"/>
            <w:szCs w:val="22"/>
          </w:rPr>
          <w:t>4</w:t>
        </w:r>
        <w:r w:rsidRPr="004F318F">
          <w:rPr>
            <w:rStyle w:val="Hyperlink"/>
            <w:rFonts w:cs="Calibri"/>
            <w:szCs w:val="22"/>
          </w:rPr>
          <w:t>.3</w:t>
        </w:r>
      </w:hyperlink>
      <w:r w:rsidRPr="004F318F">
        <w:rPr>
          <w:rFonts w:cs="Calibri"/>
          <w:szCs w:val="22"/>
        </w:rPr>
        <w:t>) or cultural</w:t>
      </w:r>
      <w:r w:rsidRPr="00A800B4">
        <w:rPr>
          <w:rFonts w:cs="Calibri"/>
          <w:szCs w:val="22"/>
        </w:rPr>
        <w:t xml:space="preserve"> (</w:t>
      </w:r>
      <w:r w:rsidR="00A800B4" w:rsidRPr="00A800B4">
        <w:rPr>
          <w:rFonts w:cs="Calibri"/>
          <w:szCs w:val="22"/>
        </w:rPr>
        <w:t xml:space="preserve">see </w:t>
      </w:r>
      <w:hyperlink w:anchor="_Cultural_safety" w:history="1">
        <w:r w:rsidR="00A800B4" w:rsidRPr="00A800B4">
          <w:rPr>
            <w:rStyle w:val="Hyperlink"/>
            <w:rFonts w:cs="Calibri"/>
            <w:szCs w:val="22"/>
          </w:rPr>
          <w:t>Chapter 3.4.2</w:t>
        </w:r>
      </w:hyperlink>
      <w:r w:rsidR="00A800B4" w:rsidRPr="00A800B4">
        <w:rPr>
          <w:rFonts w:cs="Calibri"/>
          <w:szCs w:val="22"/>
        </w:rPr>
        <w:t>).</w:t>
      </w:r>
      <w:r w:rsidRPr="00A800B4">
        <w:rPr>
          <w:rFonts w:cs="Calibri"/>
          <w:szCs w:val="22"/>
        </w:rPr>
        <w:t>norms, etc</w:t>
      </w:r>
      <w:r w:rsidRPr="006720E4">
        <w:rPr>
          <w:rFonts w:cs="Calibri"/>
          <w:szCs w:val="22"/>
        </w:rPr>
        <w:t>.</w:t>
      </w:r>
    </w:p>
    <w:p w14:paraId="22BC3072" w14:textId="4612B04D" w:rsidR="006C6EBA" w:rsidRPr="004F318F" w:rsidRDefault="006C6EBA" w:rsidP="00C3783C">
      <w:pPr>
        <w:pStyle w:val="ListParagraph"/>
        <w:numPr>
          <w:ilvl w:val="1"/>
          <w:numId w:val="49"/>
        </w:numPr>
        <w:spacing w:after="120"/>
        <w:ind w:hanging="357"/>
        <w:contextualSpacing w:val="0"/>
        <w:rPr>
          <w:rFonts w:cs="Calibri"/>
          <w:szCs w:val="22"/>
        </w:rPr>
      </w:pPr>
      <w:r w:rsidRPr="006720E4">
        <w:rPr>
          <w:rFonts w:cs="Calibri"/>
          <w:szCs w:val="22"/>
        </w:rPr>
        <w:t xml:space="preserve">Care should be taken when communicating with others involved in decision-making to ensure there is a shared understanding of relevant </w:t>
      </w:r>
      <w:r w:rsidRPr="004F318F">
        <w:rPr>
          <w:rFonts w:cs="Calibri"/>
          <w:szCs w:val="22"/>
        </w:rPr>
        <w:t xml:space="preserve">considerations (see </w:t>
      </w:r>
      <w:hyperlink w:anchor="_Clarity_of_communication" w:history="1">
        <w:r w:rsidR="004F318F" w:rsidRPr="004F318F">
          <w:rPr>
            <w:rStyle w:val="Hyperlink"/>
            <w:rFonts w:cs="Calibri"/>
            <w:szCs w:val="22"/>
          </w:rPr>
          <w:t>Chapter</w:t>
        </w:r>
        <w:r w:rsidRPr="004F318F">
          <w:rPr>
            <w:rStyle w:val="Hyperlink"/>
            <w:rFonts w:cs="Calibri"/>
            <w:szCs w:val="22"/>
          </w:rPr>
          <w:t xml:space="preserve"> </w:t>
        </w:r>
        <w:r w:rsidR="004F318F" w:rsidRPr="004F318F">
          <w:rPr>
            <w:rStyle w:val="Hyperlink"/>
            <w:rFonts w:cs="Calibri"/>
            <w:szCs w:val="22"/>
          </w:rPr>
          <w:t>3.4</w:t>
        </w:r>
        <w:r w:rsidRPr="004F318F">
          <w:rPr>
            <w:rStyle w:val="Hyperlink"/>
            <w:rFonts w:cs="Calibri"/>
            <w:szCs w:val="22"/>
          </w:rPr>
          <w:t>.4</w:t>
        </w:r>
      </w:hyperlink>
      <w:r w:rsidRPr="004F318F">
        <w:rPr>
          <w:rFonts w:cs="Calibri"/>
          <w:szCs w:val="22"/>
        </w:rPr>
        <w:t>).</w:t>
      </w:r>
    </w:p>
    <w:p w14:paraId="289B37FE" w14:textId="069AE39C" w:rsidR="006C6EBA" w:rsidRPr="006720E4" w:rsidRDefault="006C6EBA" w:rsidP="00C3783C">
      <w:pPr>
        <w:pStyle w:val="ListParagraph"/>
        <w:numPr>
          <w:ilvl w:val="1"/>
          <w:numId w:val="49"/>
        </w:numPr>
        <w:spacing w:after="120"/>
        <w:ind w:hanging="357"/>
        <w:contextualSpacing w:val="0"/>
        <w:rPr>
          <w:rFonts w:cs="Calibri"/>
          <w:szCs w:val="22"/>
        </w:rPr>
      </w:pPr>
      <w:r w:rsidRPr="006720E4">
        <w:rPr>
          <w:rFonts w:cs="Calibri"/>
          <w:szCs w:val="22"/>
        </w:rPr>
        <w:t xml:space="preserve">Practice </w:t>
      </w:r>
      <w:hyperlink w:anchor="_Glossary_2" w:history="1">
        <w:r w:rsidRPr="006720E4">
          <w:rPr>
            <w:rStyle w:val="Hyperlink"/>
            <w:rFonts w:cs="Calibri"/>
            <w:szCs w:val="22"/>
          </w:rPr>
          <w:t>cultural humility</w:t>
        </w:r>
      </w:hyperlink>
      <w:r w:rsidRPr="006720E4">
        <w:rPr>
          <w:rFonts w:cs="Calibri"/>
          <w:szCs w:val="22"/>
        </w:rPr>
        <w:t xml:space="preserve"> and ensure that decision-making occurs in a culturally safe </w:t>
      </w:r>
      <w:r w:rsidRPr="00A800B4">
        <w:rPr>
          <w:rFonts w:cs="Calibri"/>
          <w:szCs w:val="22"/>
        </w:rPr>
        <w:t>environment (</w:t>
      </w:r>
      <w:r w:rsidR="00A800B4" w:rsidRPr="00A800B4">
        <w:rPr>
          <w:rFonts w:cs="Calibri"/>
          <w:szCs w:val="22"/>
        </w:rPr>
        <w:t xml:space="preserve">see </w:t>
      </w:r>
      <w:hyperlink w:anchor="_Cultural_safety" w:history="1">
        <w:r w:rsidR="00A800B4" w:rsidRPr="00A800B4">
          <w:rPr>
            <w:rStyle w:val="Hyperlink"/>
            <w:rFonts w:cs="Calibri"/>
            <w:szCs w:val="22"/>
          </w:rPr>
          <w:t>Chapter 3.4.2</w:t>
        </w:r>
      </w:hyperlink>
      <w:r w:rsidR="00A800B4" w:rsidRPr="00A800B4">
        <w:rPr>
          <w:rFonts w:cs="Calibri"/>
          <w:szCs w:val="22"/>
        </w:rPr>
        <w:t>).</w:t>
      </w:r>
    </w:p>
    <w:p w14:paraId="65BFD60D" w14:textId="77777777" w:rsidR="006C6EBA" w:rsidRPr="006720E4" w:rsidRDefault="006C6EBA" w:rsidP="00C3783C">
      <w:pPr>
        <w:pStyle w:val="ListParagraph"/>
        <w:numPr>
          <w:ilvl w:val="0"/>
          <w:numId w:val="49"/>
        </w:numPr>
        <w:spacing w:after="120"/>
        <w:ind w:hanging="357"/>
        <w:contextualSpacing w:val="0"/>
        <w:rPr>
          <w:rFonts w:cs="Calibri"/>
          <w:szCs w:val="22"/>
        </w:rPr>
      </w:pPr>
      <w:r w:rsidRPr="006720E4">
        <w:rPr>
          <w:rFonts w:cs="Calibri"/>
          <w:b/>
          <w:szCs w:val="22"/>
        </w:rPr>
        <w:t xml:space="preserve">Recommendation: </w:t>
      </w:r>
      <w:r w:rsidRPr="006720E4">
        <w:rPr>
          <w:rFonts w:cs="Calibri"/>
          <w:szCs w:val="22"/>
        </w:rPr>
        <w:t xml:space="preserve">Determine a course of action that is judged to be the ethically best choice in the given circumstances. </w:t>
      </w:r>
    </w:p>
    <w:p w14:paraId="0B839534" w14:textId="77777777" w:rsidR="006C6EBA" w:rsidRPr="006720E4" w:rsidRDefault="006C6EBA" w:rsidP="00C3783C">
      <w:pPr>
        <w:pStyle w:val="ListParagraph"/>
        <w:numPr>
          <w:ilvl w:val="1"/>
          <w:numId w:val="49"/>
        </w:numPr>
        <w:spacing w:after="120"/>
        <w:ind w:hanging="357"/>
        <w:contextualSpacing w:val="0"/>
        <w:rPr>
          <w:rFonts w:cs="Calibri"/>
          <w:szCs w:val="22"/>
        </w:rPr>
      </w:pPr>
      <w:r w:rsidRPr="006720E4">
        <w:rPr>
          <w:rFonts w:cs="Calibri"/>
          <w:szCs w:val="22"/>
        </w:rPr>
        <w:t>Where more than one option may be ethically acceptable, determine who should make the final decision between acceptable options.</w:t>
      </w:r>
    </w:p>
    <w:p w14:paraId="51FFB59F" w14:textId="77777777" w:rsidR="006C6EBA" w:rsidRPr="006720E4" w:rsidRDefault="006C6EBA" w:rsidP="00C3783C">
      <w:pPr>
        <w:pStyle w:val="ListParagraph"/>
        <w:numPr>
          <w:ilvl w:val="1"/>
          <w:numId w:val="49"/>
        </w:numPr>
        <w:spacing w:after="120"/>
        <w:ind w:hanging="357"/>
        <w:contextualSpacing w:val="0"/>
        <w:rPr>
          <w:rFonts w:cs="Calibri"/>
          <w:szCs w:val="22"/>
        </w:rPr>
      </w:pPr>
      <w:r w:rsidRPr="006720E4">
        <w:rPr>
          <w:rFonts w:cs="Calibri"/>
          <w:szCs w:val="22"/>
        </w:rPr>
        <w:t>Communicate the recommendation to relevant stakeholders and document the reasoning and process of decision-making.</w:t>
      </w:r>
    </w:p>
    <w:p w14:paraId="59E76469" w14:textId="77777777" w:rsidR="006C6EBA" w:rsidRPr="006720E4" w:rsidRDefault="006C6EBA" w:rsidP="00C3783C">
      <w:pPr>
        <w:pStyle w:val="ListParagraph"/>
        <w:numPr>
          <w:ilvl w:val="0"/>
          <w:numId w:val="49"/>
        </w:numPr>
        <w:spacing w:after="120"/>
        <w:ind w:hanging="357"/>
        <w:contextualSpacing w:val="0"/>
        <w:rPr>
          <w:rFonts w:cs="Calibri"/>
          <w:szCs w:val="22"/>
        </w:rPr>
      </w:pPr>
      <w:r w:rsidRPr="006720E4">
        <w:rPr>
          <w:rFonts w:cs="Calibri"/>
          <w:b/>
          <w:szCs w:val="22"/>
        </w:rPr>
        <w:t xml:space="preserve">Implementation: </w:t>
      </w:r>
      <w:r w:rsidRPr="006720E4">
        <w:rPr>
          <w:rFonts w:cs="Calibri"/>
          <w:szCs w:val="22"/>
        </w:rPr>
        <w:t>After reviewing the ethical recommendations, the individual(s) responsible for decision-making should decide a course of action. The chosen course of action should be carefully implemented by the health professionals providing clinical care to the relevant patient(s) or overseeing particular activities in donation and transplantation.</w:t>
      </w:r>
    </w:p>
    <w:p w14:paraId="1D03ED35" w14:textId="77777777" w:rsidR="006C6EBA" w:rsidRPr="006720E4" w:rsidRDefault="006C6EBA" w:rsidP="00C3783C">
      <w:pPr>
        <w:pStyle w:val="ListParagraph"/>
        <w:numPr>
          <w:ilvl w:val="0"/>
          <w:numId w:val="49"/>
        </w:numPr>
        <w:spacing w:after="120"/>
        <w:ind w:hanging="357"/>
        <w:contextualSpacing w:val="0"/>
        <w:rPr>
          <w:rFonts w:cs="Calibri"/>
          <w:szCs w:val="22"/>
        </w:rPr>
      </w:pPr>
      <w:r w:rsidRPr="006720E4">
        <w:rPr>
          <w:rFonts w:cs="Calibri"/>
          <w:b/>
          <w:szCs w:val="22"/>
        </w:rPr>
        <w:t xml:space="preserve">Evaluation: </w:t>
      </w:r>
      <w:r w:rsidRPr="006720E4">
        <w:rPr>
          <w:rFonts w:cs="Calibri"/>
          <w:szCs w:val="22"/>
        </w:rPr>
        <w:t xml:space="preserve">Reflect on the outcomes of the decision-making process and identify opportunities for future improvement. </w:t>
      </w:r>
    </w:p>
    <w:p w14:paraId="3AAFD4A9" w14:textId="1BE3736A" w:rsidR="006C6EBA" w:rsidRPr="006720E4" w:rsidRDefault="006C6EBA" w:rsidP="00C3783C">
      <w:pPr>
        <w:pStyle w:val="ListParagraph"/>
        <w:numPr>
          <w:ilvl w:val="1"/>
          <w:numId w:val="49"/>
        </w:numPr>
        <w:spacing w:after="120"/>
        <w:ind w:hanging="357"/>
        <w:contextualSpacing w:val="0"/>
        <w:rPr>
          <w:rFonts w:cs="Calibri"/>
          <w:szCs w:val="22"/>
        </w:rPr>
      </w:pPr>
      <w:r w:rsidRPr="006720E4">
        <w:rPr>
          <w:rFonts w:cs="Calibri"/>
          <w:szCs w:val="22"/>
        </w:rPr>
        <w:t xml:space="preserve">This should include consideration of the ethical aspects of the decision-making process itself </w:t>
      </w:r>
      <w:r w:rsidRPr="00EA22AE">
        <w:rPr>
          <w:rFonts w:cs="Calibri"/>
          <w:szCs w:val="22"/>
        </w:rPr>
        <w:t>(</w:t>
      </w:r>
      <w:r w:rsidR="00252C48" w:rsidRPr="00EA22AE">
        <w:rPr>
          <w:rFonts w:cs="Calibri"/>
          <w:szCs w:val="22"/>
        </w:rPr>
        <w:t xml:space="preserve">see </w:t>
      </w:r>
      <w:hyperlink w:anchor="_Ethics_of_ethical_1" w:history="1">
        <w:r w:rsidR="00252C48" w:rsidRPr="00EA22AE">
          <w:rPr>
            <w:rStyle w:val="Hyperlink"/>
            <w:rFonts w:cs="Calibri"/>
            <w:szCs w:val="22"/>
          </w:rPr>
          <w:t>Chapter 3.</w:t>
        </w:r>
        <w:r w:rsidR="00EA22AE" w:rsidRPr="00EA22AE">
          <w:rPr>
            <w:rStyle w:val="Hyperlink"/>
            <w:rFonts w:cs="Calibri"/>
            <w:szCs w:val="22"/>
          </w:rPr>
          <w:t>6</w:t>
        </w:r>
      </w:hyperlink>
      <w:r w:rsidRPr="00EA22AE">
        <w:rPr>
          <w:rFonts w:cs="Calibri"/>
          <w:szCs w:val="22"/>
        </w:rPr>
        <w:t>).</w:t>
      </w:r>
    </w:p>
    <w:p w14:paraId="067E190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relative importance of specific components of the ethical decision-making process may shift as more aspects of a particular situation become clear or raise more questions. While the reasoning process itself may be dynamic and iterative, an ethical recommendation or decision should be clear and comprehensive, and well justified. </w:t>
      </w:r>
      <w:bookmarkEnd w:id="634"/>
    </w:p>
    <w:p w14:paraId="2E93263E" w14:textId="5B8650D9" w:rsidR="006C6EBA" w:rsidRPr="006720E4" w:rsidRDefault="006C6EBA" w:rsidP="00EA22AE">
      <w:pPr>
        <w:pStyle w:val="Heading3"/>
        <w:spacing w:after="120"/>
      </w:pPr>
      <w:bookmarkStart w:id="657" w:name="_Cultural_safety"/>
      <w:bookmarkStart w:id="658" w:name="_Cultural_safety_and"/>
      <w:bookmarkStart w:id="659" w:name="_Cultural_safety_in"/>
      <w:bookmarkStart w:id="660" w:name="_Toc70414798"/>
      <w:bookmarkStart w:id="661" w:name="_Toc70241728"/>
      <w:bookmarkStart w:id="662" w:name="_Toc70243362"/>
      <w:bookmarkStart w:id="663" w:name="_Toc70844128"/>
      <w:bookmarkStart w:id="664" w:name="_Toc72615060"/>
      <w:bookmarkStart w:id="665" w:name="_Toc73129779"/>
      <w:bookmarkStart w:id="666" w:name="_Toc73301648"/>
      <w:bookmarkStart w:id="667" w:name="_Toc73302154"/>
      <w:bookmarkStart w:id="668" w:name="_Toc73303287"/>
      <w:bookmarkStart w:id="669" w:name="_Toc73303548"/>
      <w:bookmarkStart w:id="670" w:name="_Toc74080665"/>
      <w:bookmarkStart w:id="671" w:name="_Toc74080973"/>
      <w:bookmarkStart w:id="672" w:name="_Toc74081203"/>
      <w:bookmarkStart w:id="673" w:name="_Toc74081432"/>
      <w:bookmarkStart w:id="674" w:name="_Toc74171034"/>
      <w:bookmarkStart w:id="675" w:name="_Toc74172209"/>
      <w:bookmarkStart w:id="676" w:name="_Toc74172745"/>
      <w:bookmarkStart w:id="677" w:name="_Toc74238708"/>
      <w:bookmarkStart w:id="678" w:name="_Toc79406324"/>
      <w:bookmarkStart w:id="679" w:name="_Toc82773493"/>
      <w:bookmarkStart w:id="680" w:name="_Toc82773846"/>
      <w:bookmarkStart w:id="681" w:name="_Toc61440446"/>
      <w:bookmarkStart w:id="682" w:name="_Toc61810310"/>
      <w:bookmarkEnd w:id="657"/>
      <w:bookmarkEnd w:id="658"/>
      <w:bookmarkEnd w:id="659"/>
      <w:r w:rsidRPr="006720E4">
        <w:t>Cultural safety</w:t>
      </w:r>
      <w:bookmarkEnd w:id="660"/>
      <w:r w:rsidRPr="006720E4">
        <w:t xml:space="preserve"> </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6720E4">
        <w:t>in care and decision-making</w:t>
      </w:r>
      <w:bookmarkEnd w:id="679"/>
      <w:bookmarkEnd w:id="680"/>
    </w:p>
    <w:p w14:paraId="5E2EE64C" w14:textId="5CAD9DAB" w:rsidR="006C6EBA" w:rsidRPr="006720E4" w:rsidRDefault="00080A0A" w:rsidP="00EA22AE">
      <w:pPr>
        <w:spacing w:after="120"/>
        <w:rPr>
          <w:rFonts w:ascii="Calibri" w:hAnsi="Calibri" w:cs="Calibri"/>
          <w:sz w:val="22"/>
          <w:szCs w:val="22"/>
        </w:rPr>
      </w:pPr>
      <w:r>
        <w:rPr>
          <w:rFonts w:ascii="Calibri" w:hAnsi="Calibri" w:cs="Calibri"/>
          <w:sz w:val="22"/>
          <w:szCs w:val="22"/>
        </w:rPr>
        <w:t xml:space="preserve">As discussed in the context of Principle 2 (see </w:t>
      </w:r>
      <w:hyperlink w:anchor="_Principle_2._Decision-making" w:history="1">
        <w:r w:rsidRPr="00080A0A">
          <w:rPr>
            <w:rStyle w:val="Hyperlink"/>
            <w:rFonts w:ascii="Calibri" w:hAnsi="Calibri" w:cs="Calibri"/>
            <w:sz w:val="22"/>
            <w:szCs w:val="22"/>
          </w:rPr>
          <w:t>Chapter 3.3.2</w:t>
        </w:r>
      </w:hyperlink>
      <w:r>
        <w:rPr>
          <w:rFonts w:ascii="Calibri" w:hAnsi="Calibri" w:cs="Calibri"/>
          <w:sz w:val="22"/>
          <w:szCs w:val="22"/>
        </w:rPr>
        <w:t>), c</w:t>
      </w:r>
      <w:r w:rsidR="006C6EBA" w:rsidRPr="006720E4">
        <w:rPr>
          <w:rFonts w:ascii="Calibri" w:hAnsi="Calibri" w:cs="Calibri"/>
          <w:sz w:val="22"/>
          <w:szCs w:val="22"/>
        </w:rPr>
        <w:t>ultural safety in ethical decision-making requires recognition not only of the relationships and structures of power that are embedded in healthcare policy and practice, but also in the “historical and social dynamics” of healthcare interactions and of ethical frameworks and languages.</w:t>
      </w:r>
    </w:p>
    <w:p w14:paraId="4845E047"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philosophical terms used to refer to specific ethical concepts in these guidelines are grounded in Western European knowledges and cultures, as is the legal framework that governs donation and transplantation in Australia. This may present a barrier to effective engagement in ethical decision-making by and with some Indigenous persons and members of culturally and linguistically diverse communities. </w:t>
      </w:r>
    </w:p>
    <w:p w14:paraId="3BB9E87F" w14:textId="0EE3B9E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Differences in language may impede communication, but the frameworks and norms outlined in these guidelines may also be ill-suited to support or accommodate different cultural norms, practices, and decision-making frameworks. Practising cultural humility and promoting cultural safety is therefore essential for effective ethical decision-making and practice. The resources section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 xml:space="preserve"> </w:t>
      </w:r>
      <w:r w:rsidRPr="006720E4">
        <w:rPr>
          <w:rFonts w:ascii="Calibri" w:hAnsi="Calibri" w:cs="Calibri"/>
          <w:sz w:val="22"/>
          <w:szCs w:val="22"/>
        </w:rPr>
        <w:t>provides links to some recommended resources to support culturally safe decision-making and care.</w:t>
      </w:r>
    </w:p>
    <w:p w14:paraId="66192EC5" w14:textId="77777777" w:rsidR="006C6EBA" w:rsidRPr="006720E4" w:rsidRDefault="006C6EBA" w:rsidP="00EA22AE">
      <w:pPr>
        <w:spacing w:after="120"/>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6C6EBA" w:rsidRPr="006720E4" w14:paraId="58B48D2A" w14:textId="77777777">
        <w:tc>
          <w:tcPr>
            <w:tcW w:w="9010" w:type="dxa"/>
            <w:shd w:val="clear" w:color="auto" w:fill="E7E6E6" w:themeFill="background2"/>
          </w:tcPr>
          <w:p w14:paraId="6F242536" w14:textId="0738476C"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 xml:space="preserve">Box </w:t>
            </w:r>
            <w:r w:rsidR="00412EFF" w:rsidRPr="006720E4">
              <w:rPr>
                <w:rFonts w:ascii="Calibri" w:hAnsi="Calibri" w:cs="Calibri"/>
                <w:b/>
                <w:bCs/>
                <w:sz w:val="22"/>
                <w:szCs w:val="22"/>
              </w:rPr>
              <w:t>3</w:t>
            </w:r>
            <w:r w:rsidRPr="006720E4">
              <w:rPr>
                <w:rFonts w:ascii="Calibri" w:hAnsi="Calibri" w:cs="Calibri"/>
                <w:b/>
                <w:bCs/>
                <w:sz w:val="22"/>
                <w:szCs w:val="22"/>
              </w:rPr>
              <w:t xml:space="preserve">.1 Definition and practice of cultural safety </w:t>
            </w:r>
          </w:p>
        </w:tc>
      </w:tr>
      <w:tr w:rsidR="006C6EBA" w:rsidRPr="006720E4" w14:paraId="04960A4E" w14:textId="77777777">
        <w:tc>
          <w:tcPr>
            <w:tcW w:w="9010" w:type="dxa"/>
            <w:shd w:val="clear" w:color="auto" w:fill="E7E6E6" w:themeFill="background2"/>
          </w:tcPr>
          <w:p w14:paraId="6F3BE149" w14:textId="08F87847" w:rsidR="006C6EBA" w:rsidRPr="006720E4" w:rsidRDefault="006C6EBA" w:rsidP="00EA22AE">
            <w:pPr>
              <w:spacing w:after="120"/>
              <w:rPr>
                <w:rFonts w:ascii="Calibri" w:hAnsi="Calibri" w:cs="Calibri"/>
                <w:b/>
                <w:bCs/>
                <w:sz w:val="22"/>
                <w:szCs w:val="22"/>
              </w:rPr>
            </w:pPr>
            <w:r w:rsidRPr="006720E4">
              <w:rPr>
                <w:rFonts w:ascii="Calibri" w:hAnsi="Calibri" w:cs="Calibri"/>
                <w:sz w:val="22"/>
                <w:szCs w:val="22"/>
              </w:rPr>
              <w:t xml:space="preserve">From: </w:t>
            </w:r>
            <w:r w:rsidRPr="006720E4">
              <w:rPr>
                <w:rFonts w:ascii="Calibri" w:hAnsi="Calibri" w:cs="Calibri"/>
                <w:i/>
                <w:iCs/>
                <w:sz w:val="22"/>
                <w:szCs w:val="22"/>
              </w:rPr>
              <w:t>Australian Health Ministers Advisory Council. Cultural respect framework 2016–2026 for Aboriginal and Torres Strait Islander health: A national approach to building a culturally respectful health system.</w:t>
            </w:r>
            <w:r w:rsidRPr="006720E4">
              <w:rPr>
                <w:rFonts w:ascii="Calibri" w:hAnsi="Calibri" w:cs="Calibri"/>
                <w:i/>
                <w:iCs/>
                <w:sz w:val="22"/>
                <w:szCs w:val="22"/>
              </w:rPr>
              <w:fldChar w:fldCharType="begin" w:fldLock="1"/>
            </w:r>
            <w:r w:rsidR="00EB088B">
              <w:rPr>
                <w:rFonts w:ascii="Calibri" w:hAnsi="Calibri" w:cs="Calibri"/>
                <w:i/>
                <w:iCs/>
                <w:sz w:val="22"/>
                <w:szCs w:val="22"/>
              </w:rPr>
              <w:instrText>ADDIN CSL_CITATION {"citationItems":[{"id":"ITEM-1","itemData":{"abstract":"Leadership and responsibility 5 Health equality and a human rights approach 5 Partnerships 5 Monitoring and Accountability 5 Definitions supporting action on cultural resepect 5 ABORIGINAL AND TORRES STRAIT ISLANDER PEOPLE, HISTORY AND CULTURE 6 Understanding the cultural construct of health for Aboriginal and Torres Strait Islander people 6 Enabling cultural respect improves health outcomes 6 RESPONSIVENESS OF THE AUSTRALIAN HEALTH SYSTEM 7 Addressing health inequalities 7 Health disparities continue to exist for Aboriginal and Torres Strait Islander people 7 Racism and discrimination in the health system affects health outcomes 8 Critical role of the health workforce to achieve culturally respectful services 9 CULTURAL RESPECT ACROSS STATES AND TERRITORIES 9 Longstanding commitment to enabling cultural respect across the health system 9","author":[{"dropping-particle":"","family":"Australian Health Ministers’ Advisory Council’s National","given":"","non-dropping-particle":"","parse-names":false,"suffix":""},{"dropping-particle":"","family":"Aboriginal and Torres Strait Islander Health Standing Committee","given":"","non-dropping-particle":"","parse-names":false,"suffix":""}],"id":"ITEM-1","issued":{"date-parts":[["2016"]]},"number-of-pages":"1-24","title":"Cultural respect framework 2016-2026","type":"report"},"uris":["http://www.mendeley.com/documents/?uuid=30a4f222-f59e-4069-b683-fde4e0b2c741"]}],"mendeley":{"formattedCitation":"(31)","plainTextFormattedCitation":"(31)","previouslyFormattedCitation":"(31)"},"properties":{"noteIndex":0},"schema":"https://github.com/citation-style-language/schema/raw/master/csl-citation.json"}</w:instrText>
            </w:r>
            <w:r w:rsidRPr="006720E4">
              <w:rPr>
                <w:rFonts w:ascii="Calibri" w:hAnsi="Calibri" w:cs="Calibri"/>
                <w:i/>
                <w:iCs/>
                <w:sz w:val="22"/>
                <w:szCs w:val="22"/>
              </w:rPr>
              <w:fldChar w:fldCharType="separate"/>
            </w:r>
            <w:r w:rsidR="00BA3D76" w:rsidRPr="00BA3D76">
              <w:rPr>
                <w:rFonts w:ascii="Calibri" w:hAnsi="Calibri" w:cs="Calibri"/>
                <w:iCs/>
                <w:noProof/>
                <w:sz w:val="22"/>
                <w:szCs w:val="22"/>
              </w:rPr>
              <w:t>(31)</w:t>
            </w:r>
            <w:r w:rsidRPr="006720E4">
              <w:rPr>
                <w:rFonts w:ascii="Calibri" w:hAnsi="Calibri" w:cs="Calibri"/>
                <w:i/>
                <w:iCs/>
                <w:sz w:val="22"/>
                <w:szCs w:val="22"/>
              </w:rPr>
              <w:fldChar w:fldCharType="end"/>
            </w:r>
          </w:p>
          <w:p w14:paraId="673E8D5A" w14:textId="6E5F3408"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Cultural safety:</w:t>
            </w:r>
          </w:p>
          <w:p w14:paraId="65C19BD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Identifies that health consumers are safest when health professionals have considered power relations, cultural differences, and patients’ rights. Part of this process requires health professionals to examine their own realities, beliefs, and attitudes. </w:t>
            </w:r>
          </w:p>
          <w:p w14:paraId="4F83B73B" w14:textId="555BFBD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Cultural </w:t>
            </w:r>
            <w:r w:rsidRPr="006720E4">
              <w:rPr>
                <w:rStyle w:val="highlight"/>
                <w:rFonts w:ascii="Calibri" w:hAnsi="Calibri" w:cs="Calibri"/>
                <w:sz w:val="22"/>
                <w:szCs w:val="22"/>
              </w:rPr>
              <w:t>safety</w:t>
            </w:r>
            <w:r w:rsidRPr="006720E4">
              <w:rPr>
                <w:rFonts w:ascii="Calibri" w:hAnsi="Calibri" w:cs="Calibri"/>
                <w:sz w:val="22"/>
                <w:szCs w:val="22"/>
              </w:rPr>
              <w:t xml:space="preserve"> is not defined by the health professional but is defined by the health consumer’s experience—the individual’s experience of care they are given, ability to access services and to raise concerns.</w:t>
            </w:r>
            <w:r w:rsidRPr="006720E4">
              <w:rPr>
                <w:rFonts w:ascii="Calibri" w:hAnsi="Calibri" w:cs="Calibri"/>
                <w:sz w:val="22"/>
                <w:szCs w:val="22"/>
                <w:vertAlign w:val="superscript"/>
              </w:rPr>
              <w:t>41</w:t>
            </w:r>
          </w:p>
          <w:p w14:paraId="0B193A8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essential features of cultural </w:t>
            </w:r>
            <w:r w:rsidRPr="006720E4">
              <w:rPr>
                <w:rStyle w:val="highlight"/>
                <w:rFonts w:ascii="Calibri" w:hAnsi="Calibri" w:cs="Calibri"/>
                <w:sz w:val="22"/>
                <w:szCs w:val="22"/>
              </w:rPr>
              <w:t>safety</w:t>
            </w:r>
            <w:r w:rsidRPr="006720E4">
              <w:rPr>
                <w:rFonts w:ascii="Calibri" w:hAnsi="Calibri" w:cs="Calibri"/>
                <w:sz w:val="22"/>
                <w:szCs w:val="22"/>
              </w:rPr>
              <w:t xml:space="preserve"> are:</w:t>
            </w:r>
          </w:p>
          <w:p w14:paraId="61E67287" w14:textId="77777777" w:rsidR="006C6EBA" w:rsidRPr="006720E4" w:rsidRDefault="006C6EBA" w:rsidP="00C3783C">
            <w:pPr>
              <w:pStyle w:val="ListParagraph"/>
              <w:numPr>
                <w:ilvl w:val="0"/>
                <w:numId w:val="25"/>
              </w:numPr>
              <w:spacing w:after="120"/>
              <w:contextualSpacing w:val="0"/>
              <w:rPr>
                <w:rFonts w:cs="Calibri"/>
                <w:szCs w:val="22"/>
              </w:rPr>
            </w:pPr>
            <w:r w:rsidRPr="006720E4">
              <w:rPr>
                <w:rFonts w:cs="Calibri"/>
                <w:szCs w:val="22"/>
              </w:rPr>
              <w:t>An understanding of one’s culture</w:t>
            </w:r>
          </w:p>
          <w:p w14:paraId="60C4950F" w14:textId="77777777" w:rsidR="006C6EBA" w:rsidRPr="006720E4" w:rsidRDefault="006C6EBA" w:rsidP="00C3783C">
            <w:pPr>
              <w:pStyle w:val="ListParagraph"/>
              <w:numPr>
                <w:ilvl w:val="0"/>
                <w:numId w:val="25"/>
              </w:numPr>
              <w:spacing w:after="120"/>
              <w:contextualSpacing w:val="0"/>
              <w:rPr>
                <w:rFonts w:cs="Calibri"/>
                <w:szCs w:val="22"/>
              </w:rPr>
            </w:pPr>
            <w:r w:rsidRPr="006720E4">
              <w:rPr>
                <w:rFonts w:cs="Calibri"/>
                <w:szCs w:val="22"/>
              </w:rPr>
              <w:t>An acknowledgment of difference, and a requirement that caregivers are actively mindful and respectful of difference(s)</w:t>
            </w:r>
          </w:p>
          <w:p w14:paraId="70974F7E" w14:textId="77777777" w:rsidR="006C6EBA" w:rsidRPr="006720E4" w:rsidRDefault="006C6EBA" w:rsidP="00C3783C">
            <w:pPr>
              <w:pStyle w:val="ListParagraph"/>
              <w:numPr>
                <w:ilvl w:val="0"/>
                <w:numId w:val="25"/>
              </w:numPr>
              <w:spacing w:after="120"/>
              <w:contextualSpacing w:val="0"/>
              <w:rPr>
                <w:rFonts w:cs="Calibri"/>
                <w:szCs w:val="22"/>
              </w:rPr>
            </w:pPr>
            <w:r w:rsidRPr="006720E4">
              <w:rPr>
                <w:rFonts w:cs="Calibri"/>
                <w:szCs w:val="22"/>
              </w:rPr>
              <w:t xml:space="preserve">It is informed by the theory of power relations; any attempt to depoliticise cultural </w:t>
            </w:r>
            <w:r w:rsidRPr="006720E4">
              <w:rPr>
                <w:rStyle w:val="highlight"/>
                <w:rFonts w:cs="Calibri"/>
                <w:szCs w:val="22"/>
              </w:rPr>
              <w:t>safety</w:t>
            </w:r>
            <w:r w:rsidRPr="006720E4">
              <w:rPr>
                <w:rFonts w:cs="Calibri"/>
                <w:szCs w:val="22"/>
              </w:rPr>
              <w:t xml:space="preserve"> is to miss the point </w:t>
            </w:r>
          </w:p>
          <w:p w14:paraId="77D175F4" w14:textId="77777777" w:rsidR="006C6EBA" w:rsidRPr="006720E4" w:rsidRDefault="006C6EBA" w:rsidP="00C3783C">
            <w:pPr>
              <w:pStyle w:val="ListParagraph"/>
              <w:numPr>
                <w:ilvl w:val="0"/>
                <w:numId w:val="25"/>
              </w:numPr>
              <w:spacing w:after="120"/>
              <w:contextualSpacing w:val="0"/>
              <w:rPr>
                <w:rFonts w:cs="Calibri"/>
                <w:szCs w:val="22"/>
              </w:rPr>
            </w:pPr>
            <w:r w:rsidRPr="006720E4">
              <w:rPr>
                <w:rFonts w:cs="Calibri"/>
                <w:szCs w:val="22"/>
              </w:rPr>
              <w:t>An appreciation of the historical context of colonisation, the practices of racism at individual and institutional levels, and their impact on First Nations people’s living and wellbeing, both in the present and past</w:t>
            </w:r>
          </w:p>
          <w:p w14:paraId="5708B85F" w14:textId="50D40E89" w:rsidR="006C6EBA" w:rsidRPr="004F318F" w:rsidRDefault="006C6EBA" w:rsidP="00C3783C">
            <w:pPr>
              <w:pStyle w:val="ListParagraph"/>
              <w:numPr>
                <w:ilvl w:val="0"/>
                <w:numId w:val="25"/>
              </w:numPr>
              <w:spacing w:after="120"/>
              <w:contextualSpacing w:val="0"/>
              <w:rPr>
                <w:rFonts w:cs="Calibri"/>
                <w:szCs w:val="22"/>
              </w:rPr>
            </w:pPr>
            <w:r w:rsidRPr="006720E4">
              <w:rPr>
                <w:rFonts w:cs="Calibri"/>
                <w:szCs w:val="22"/>
              </w:rPr>
              <w:t>Its presence or absence is determined by the experience of the recipient of care and not defined by the caregiver.</w:t>
            </w:r>
          </w:p>
        </w:tc>
      </w:tr>
    </w:tbl>
    <w:p w14:paraId="0B15F422" w14:textId="77777777" w:rsidR="006C6EBA" w:rsidRPr="006720E4" w:rsidRDefault="006C6EBA" w:rsidP="00EA22AE">
      <w:pPr>
        <w:spacing w:after="120"/>
        <w:rPr>
          <w:rFonts w:ascii="Calibri" w:hAnsi="Calibri" w:cs="Calibri"/>
          <w:sz w:val="22"/>
          <w:szCs w:val="22"/>
        </w:rPr>
      </w:pPr>
    </w:p>
    <w:p w14:paraId="64436CC1" w14:textId="77777777" w:rsidR="006C6EBA" w:rsidRPr="006720E4" w:rsidRDefault="006C6EBA" w:rsidP="00EA22AE">
      <w:pPr>
        <w:pStyle w:val="Heading3"/>
        <w:spacing w:after="120"/>
      </w:pPr>
      <w:bookmarkStart w:id="683" w:name="_Faith_and_Religion"/>
      <w:bookmarkStart w:id="684" w:name="_Toc70241729"/>
      <w:bookmarkStart w:id="685" w:name="_Toc70243363"/>
      <w:bookmarkStart w:id="686" w:name="_Toc70414800"/>
      <w:bookmarkStart w:id="687" w:name="_Toc70844129"/>
      <w:bookmarkStart w:id="688" w:name="_Toc72615061"/>
      <w:bookmarkStart w:id="689" w:name="_Toc73129780"/>
      <w:bookmarkStart w:id="690" w:name="_Toc73301649"/>
      <w:bookmarkStart w:id="691" w:name="_Toc73302155"/>
      <w:bookmarkStart w:id="692" w:name="_Toc73303288"/>
      <w:bookmarkStart w:id="693" w:name="_Toc73303549"/>
      <w:bookmarkStart w:id="694" w:name="_Toc74080666"/>
      <w:bookmarkStart w:id="695" w:name="_Toc74080974"/>
      <w:bookmarkStart w:id="696" w:name="_Toc74081204"/>
      <w:bookmarkStart w:id="697" w:name="_Toc74081433"/>
      <w:bookmarkStart w:id="698" w:name="_Toc74171035"/>
      <w:bookmarkStart w:id="699" w:name="_Toc74172210"/>
      <w:bookmarkStart w:id="700" w:name="_Toc74172746"/>
      <w:bookmarkStart w:id="701" w:name="_Toc74238709"/>
      <w:bookmarkStart w:id="702" w:name="_Toc79406325"/>
      <w:bookmarkStart w:id="703" w:name="_Toc82773494"/>
      <w:bookmarkStart w:id="704" w:name="_Toc82773847"/>
      <w:bookmarkEnd w:id="683"/>
      <w:r w:rsidRPr="006720E4">
        <w:t>Faith and religion</w:t>
      </w:r>
      <w:bookmarkEnd w:id="681"/>
      <w:bookmarkEnd w:id="682"/>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09B00EFE" w14:textId="7777777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When making ethical decisions in a personal context, some people are guided by the ethical values and principles that are embedded in various faiths or religions or expressed in the form of faith-based obligations. Faith-based beliefs should be treated respectfully and given consideration where relevant in ethical decision-making.</w:t>
      </w:r>
    </w:p>
    <w:p w14:paraId="423BE8CF" w14:textId="0CC4EFB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All major religions recognize cell, tissue, and organ donation as an act of charity and goodwill, including donation after death.</w:t>
      </w:r>
      <w:r w:rsidRPr="006720E4">
        <w:rPr>
          <w:rFonts w:ascii="Calibri" w:hAnsi="Calibri" w:cs="Calibri"/>
          <w:color w:val="000000" w:themeColor="text1"/>
          <w:sz w:val="22"/>
          <w:szCs w:val="22"/>
        </w:rPr>
        <w:fldChar w:fldCharType="begin" w:fldLock="1"/>
      </w:r>
      <w:r w:rsidR="00EB088B">
        <w:rPr>
          <w:rFonts w:ascii="Calibri" w:hAnsi="Calibri" w:cs="Calibri"/>
          <w:color w:val="000000" w:themeColor="text1"/>
          <w:sz w:val="22"/>
          <w:szCs w:val="22"/>
        </w:rPr>
        <w:instrText>ADDIN CSL_CITATION {"citationItems":[{"id":"ITEM-1","itemData":{"ISBN":"9781925129595","author":[{"dropping-particle":"","family":"Australasian Transplant Coordinators Association","given":"","non-dropping-particle":"","parse-names":false,"suffix":""}],"id":"ITEM-1","issue":"July","issued":{"date-parts":[["2008"]]},"title":"National Guidelines for organ and tissue donation 4th Ed","type":"article-journal"},"uris":["http://www.mendeley.com/documents/?uuid=d8b17c81-23b8-4549-8ef2-9b8e0781fdb8"]}],"mendeley":{"formattedCitation":"(35)","plainTextFormattedCitation":"(35)","previouslyFormattedCitation":"(35)"},"properties":{"noteIndex":0},"schema":"https://github.com/citation-style-language/schema/raw/master/csl-citation.json"}</w:instrText>
      </w:r>
      <w:r w:rsidRPr="006720E4">
        <w:rPr>
          <w:rFonts w:ascii="Calibri" w:hAnsi="Calibri" w:cs="Calibri"/>
          <w:color w:val="000000" w:themeColor="text1"/>
          <w:sz w:val="22"/>
          <w:szCs w:val="22"/>
        </w:rPr>
        <w:fldChar w:fldCharType="separate"/>
      </w:r>
      <w:r w:rsidR="00BA3D76" w:rsidRPr="00BA3D76">
        <w:rPr>
          <w:rFonts w:ascii="Calibri" w:hAnsi="Calibri" w:cs="Calibri"/>
          <w:noProof/>
          <w:color w:val="000000" w:themeColor="text1"/>
          <w:sz w:val="22"/>
          <w:szCs w:val="22"/>
        </w:rPr>
        <w:t>(35)</w:t>
      </w:r>
      <w:r w:rsidRPr="006720E4">
        <w:rPr>
          <w:rFonts w:ascii="Calibri" w:hAnsi="Calibri" w:cs="Calibri"/>
          <w:color w:val="000000" w:themeColor="text1"/>
          <w:sz w:val="22"/>
          <w:szCs w:val="22"/>
        </w:rPr>
        <w:fldChar w:fldCharType="end"/>
      </w:r>
      <w:r w:rsidRPr="006720E4">
        <w:rPr>
          <w:rFonts w:ascii="Calibri" w:hAnsi="Calibri" w:cs="Calibri"/>
          <w:sz w:val="22"/>
          <w:szCs w:val="22"/>
        </w:rPr>
        <w:t xml:space="preserve"> </w:t>
      </w:r>
      <w:r w:rsidRPr="006720E4">
        <w:rPr>
          <w:rFonts w:ascii="Calibri" w:hAnsi="Calibri" w:cs="Calibri"/>
          <w:color w:val="000000" w:themeColor="text1"/>
          <w:sz w:val="22"/>
          <w:szCs w:val="22"/>
        </w:rPr>
        <w:t xml:space="preserve">All major religions either support cell, tissue and organ donation and transplantation or accept the right of individual members to make their own decision about donation or transplantation. For more information about the positions of various religions in Australia on donation and transplantation, please consult the </w:t>
      </w:r>
      <w:r w:rsidRPr="006720E4">
        <w:rPr>
          <w:rFonts w:ascii="Calibri" w:hAnsi="Calibri" w:cs="Calibri"/>
          <w:sz w:val="22"/>
          <w:szCs w:val="22"/>
        </w:rPr>
        <w:t xml:space="preserve">further resources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0F5F326E" w14:textId="77777777" w:rsidR="006C6EBA" w:rsidRPr="006720E4" w:rsidRDefault="006C6EBA" w:rsidP="00EA22AE">
      <w:pPr>
        <w:pStyle w:val="Heading3"/>
        <w:spacing w:after="120"/>
      </w:pPr>
      <w:bookmarkStart w:id="705" w:name="_Clarity_of_communication"/>
      <w:bookmarkStart w:id="706" w:name="_Toc61810311"/>
      <w:bookmarkStart w:id="707" w:name="_Toc70241731"/>
      <w:bookmarkStart w:id="708" w:name="_Toc70243365"/>
      <w:bookmarkStart w:id="709" w:name="_Toc70414801"/>
      <w:bookmarkStart w:id="710" w:name="_Toc70844130"/>
      <w:bookmarkStart w:id="711" w:name="_Toc72615062"/>
      <w:bookmarkStart w:id="712" w:name="_Toc73129781"/>
      <w:bookmarkStart w:id="713" w:name="_Toc73301650"/>
      <w:bookmarkStart w:id="714" w:name="_Toc73302156"/>
      <w:bookmarkStart w:id="715" w:name="_Toc73303289"/>
      <w:bookmarkStart w:id="716" w:name="_Toc73303550"/>
      <w:bookmarkStart w:id="717" w:name="_Toc74080667"/>
      <w:bookmarkStart w:id="718" w:name="_Toc74080975"/>
      <w:bookmarkStart w:id="719" w:name="_Toc74081205"/>
      <w:bookmarkStart w:id="720" w:name="_Toc74081434"/>
      <w:bookmarkStart w:id="721" w:name="_Toc74171036"/>
      <w:bookmarkStart w:id="722" w:name="_Toc74172211"/>
      <w:bookmarkStart w:id="723" w:name="_Toc74172747"/>
      <w:bookmarkStart w:id="724" w:name="_Toc74238710"/>
      <w:bookmarkStart w:id="725" w:name="_Toc79406326"/>
      <w:bookmarkStart w:id="726" w:name="_Toc82773495"/>
      <w:bookmarkStart w:id="727" w:name="_Toc82773848"/>
      <w:bookmarkEnd w:id="705"/>
      <w:r w:rsidRPr="006720E4">
        <w:lastRenderedPageBreak/>
        <w:t>Clarity of communication about ethics</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521E68A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Clarity of communication is particularly important when making ethical decisions in the clinical context. People involved in decision-making may need to process a considerable amount of unfamiliar information, for example information of a clinical or scientific nature, at a time when they may be experiencing significant stress or anxiety. </w:t>
      </w:r>
    </w:p>
    <w:p w14:paraId="73A1751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Ethical values and principles may be explained in different ways in different contexts. Some core concepts that are especially complex may be interpreted or defined in particular ways in specific contexts, requiring careful explanation in those contexts to avoid confusion. If terminology or concepts are used without an explanation of their meanings in specific contexts, this can result in ethical disagreements or confusion between health professionals, patients, and families. </w:t>
      </w:r>
    </w:p>
    <w:p w14:paraId="14166D9E" w14:textId="6C8696A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Throughout these guidelines, we strive to explain what is meant when specific terms or concepts are used, and to use these terms consistently as per the </w:t>
      </w:r>
      <w:hyperlink w:anchor="_Glossary_2" w:history="1">
        <w:r w:rsidRPr="00EA22AE">
          <w:rPr>
            <w:rStyle w:val="Hyperlink"/>
            <w:rFonts w:ascii="Calibri" w:hAnsi="Calibri" w:cs="Calibri"/>
            <w:sz w:val="22"/>
            <w:szCs w:val="22"/>
          </w:rPr>
          <w:t>Glossary.</w:t>
        </w:r>
      </w:hyperlink>
      <w:r w:rsidRPr="006720E4">
        <w:rPr>
          <w:rFonts w:ascii="Calibri" w:hAnsi="Calibri" w:cs="Calibri"/>
          <w:sz w:val="22"/>
          <w:szCs w:val="22"/>
        </w:rPr>
        <w:t xml:space="preserve"> When managing ethical dilemmas or making ethical decisions in practice, one of the most important steps is to ensure that all those involved in an ethical discussion have a shared understanding of the language that is used. People may disagree with an ethical principle, for example, because they have a different understanding of what is meant by it. Alternatively, people may agree with the principle but disagree regarding the implications of applying it in a particular context. Clarity in communication is essential for effective ethical analysis and decision-making.</w:t>
      </w:r>
    </w:p>
    <w:p w14:paraId="3B7813F3" w14:textId="77777777" w:rsidR="006C6EBA" w:rsidRPr="006720E4" w:rsidRDefault="006C6EBA" w:rsidP="00EA22AE">
      <w:pPr>
        <w:pStyle w:val="Heading3"/>
        <w:spacing w:after="120"/>
      </w:pPr>
      <w:bookmarkStart w:id="728" w:name="_The_role_of"/>
      <w:bookmarkStart w:id="729" w:name="_Toc63683396"/>
      <w:bookmarkStart w:id="730" w:name="_Toc70241734"/>
      <w:bookmarkStart w:id="731" w:name="_Toc70243368"/>
      <w:bookmarkStart w:id="732" w:name="_Toc70414802"/>
      <w:bookmarkStart w:id="733" w:name="_Toc70844131"/>
      <w:bookmarkStart w:id="734" w:name="_Toc72615063"/>
      <w:bookmarkStart w:id="735" w:name="_Toc73129782"/>
      <w:bookmarkStart w:id="736" w:name="_Toc73301651"/>
      <w:bookmarkStart w:id="737" w:name="_Toc73302157"/>
      <w:bookmarkStart w:id="738" w:name="_Toc73303290"/>
      <w:bookmarkStart w:id="739" w:name="_Toc73303551"/>
      <w:bookmarkStart w:id="740" w:name="_Toc74080668"/>
      <w:bookmarkStart w:id="741" w:name="_Toc74080976"/>
      <w:bookmarkStart w:id="742" w:name="_Toc74081206"/>
      <w:bookmarkStart w:id="743" w:name="_Toc74081435"/>
      <w:bookmarkStart w:id="744" w:name="_Toc74171037"/>
      <w:bookmarkStart w:id="745" w:name="_Toc74172212"/>
      <w:bookmarkStart w:id="746" w:name="_Toc74172748"/>
      <w:bookmarkStart w:id="747" w:name="_Toc74238711"/>
      <w:bookmarkStart w:id="748" w:name="_Toc79406327"/>
      <w:bookmarkStart w:id="749" w:name="_Toc82773496"/>
      <w:bookmarkStart w:id="750" w:name="_Toc82773849"/>
      <w:bookmarkEnd w:id="728"/>
      <w:r w:rsidRPr="006720E4">
        <w:t>The role of advocates in ethical decision-making</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08A22B0C" w14:textId="3624539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Many people may play a valuable role in supporting ethical decision-making in clinical practice by advocating on behalf of potential donors or transplant recipients or on behalf of their families and communities. In some circumstances, individuals may be formally designated as an </w:t>
      </w:r>
      <w:hyperlink w:anchor="_Glossary_2" w:history="1">
        <w:r w:rsidRPr="006720E4">
          <w:rPr>
            <w:rStyle w:val="Hyperlink"/>
            <w:rFonts w:ascii="Calibri" w:hAnsi="Calibri" w:cs="Calibri"/>
            <w:sz w:val="22"/>
            <w:szCs w:val="22"/>
          </w:rPr>
          <w:t>advocate</w:t>
        </w:r>
      </w:hyperlink>
      <w:r w:rsidRPr="006720E4">
        <w:rPr>
          <w:rFonts w:ascii="Calibri" w:hAnsi="Calibri" w:cs="Calibri"/>
          <w:sz w:val="22"/>
          <w:szCs w:val="22"/>
        </w:rPr>
        <w:t xml:space="preserve"> and assigned specific professional responsibilities in this role.</w:t>
      </w:r>
    </w:p>
    <w:p w14:paraId="505A0FB3" w14:textId="212D9A1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Advocates are often mentioned in the context of living directed donation of HSCs or kidneys, and particularly with regards to advocacy on behalf of children or adults lacking decision-making capacity (see </w:t>
      </w:r>
      <w:hyperlink w:anchor="_Donation_and_transplantation_1" w:history="1">
        <w:r w:rsidR="00412EFF" w:rsidRPr="006720E4">
          <w:rPr>
            <w:rStyle w:val="Hyperlink"/>
            <w:rFonts w:ascii="Calibri" w:hAnsi="Calibri" w:cs="Calibri"/>
            <w:sz w:val="22"/>
            <w:szCs w:val="22"/>
          </w:rPr>
          <w:t>Chapter 5</w:t>
        </w:r>
      </w:hyperlink>
      <w:r w:rsidRPr="006720E4">
        <w:rPr>
          <w:rFonts w:ascii="Calibri" w:hAnsi="Calibri" w:cs="Calibri"/>
          <w:sz w:val="22"/>
          <w:szCs w:val="22"/>
        </w:rPr>
        <w:t>). However, advocates may play a helpful and/or necessary role in the care of other people including potential transplant recipients who lack decision-making capacity, and non-directed living kidney donors.</w:t>
      </w:r>
      <w:r w:rsidRPr="006720E4">
        <w:rPr>
          <w:rFonts w:ascii="Calibri" w:hAnsi="Calibri" w:cs="Calibri"/>
          <w:sz w:val="21"/>
          <w:szCs w:val="21"/>
        </w:rPr>
        <w:t xml:space="preserve"> </w:t>
      </w:r>
    </w:p>
    <w:p w14:paraId="2A19238A" w14:textId="3BF44E8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Variations on the term “patient advocate” are common in the literature and in policies and guidelines for living donation and transplantation. It is important to note that the specific role and responsibilities of advocates vary considerably. Clinical guidelines or policies that are used in Australia should clearly specify the role and duties of an advocate in specific contexts, as well as any necessary competencies or qualifications that a particular kind of advocate may need.</w:t>
      </w:r>
    </w:p>
    <w:p w14:paraId="217532FC" w14:textId="2676015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Potential roles and responsibilities that may be assigned to or associated with an advocate:</w:t>
      </w:r>
    </w:p>
    <w:p w14:paraId="2831BCD3" w14:textId="181E2E17" w:rsidR="006C6EBA" w:rsidRPr="006720E4" w:rsidRDefault="006C6EBA" w:rsidP="00EA22AE">
      <w:pPr>
        <w:pStyle w:val="ListParagraph"/>
        <w:numPr>
          <w:ilvl w:val="0"/>
          <w:numId w:val="11"/>
        </w:numPr>
        <w:spacing w:after="120"/>
        <w:contextualSpacing w:val="0"/>
        <w:rPr>
          <w:rFonts w:cs="Calibri"/>
          <w:szCs w:val="22"/>
        </w:rPr>
      </w:pPr>
      <w:r w:rsidRPr="006720E4">
        <w:rPr>
          <w:rFonts w:cs="Calibri"/>
          <w:b/>
          <w:bCs/>
          <w:szCs w:val="22"/>
        </w:rPr>
        <w:t>Provision of psychological and/or social support</w:t>
      </w:r>
      <w:r w:rsidRPr="006720E4">
        <w:rPr>
          <w:rFonts w:cs="Calibri"/>
          <w:szCs w:val="22"/>
        </w:rPr>
        <w:t xml:space="preserve"> (e.g., for a prospective living donor or transplant recipient). In this role, an advocate may act as a liaison between the individual and various health professionals or other care providers, for example helping them to access relevant counselling or socioeconomic support services. The advocate may also provide direct support in a counselling role. For example, an advocate may attend meetings between a prospective donor or transplant recipient and clinical teams if helpful to support communication and ensure the patient has opportunities to ask questions, seek clarification and so on. Advocates may also play a role in helping a potential living directed donor or transplant recipient to navigate potential conflicts in decision-making between them and family members and/or health professionals. </w:t>
      </w:r>
    </w:p>
    <w:p w14:paraId="1725A4E0" w14:textId="0EDC0AD2" w:rsidR="006C6EBA" w:rsidRPr="006720E4" w:rsidRDefault="006C6EBA" w:rsidP="00EA22AE">
      <w:pPr>
        <w:pStyle w:val="ListParagraph"/>
        <w:numPr>
          <w:ilvl w:val="0"/>
          <w:numId w:val="11"/>
        </w:numPr>
        <w:spacing w:after="120"/>
        <w:contextualSpacing w:val="0"/>
        <w:rPr>
          <w:rFonts w:cs="Calibri"/>
          <w:szCs w:val="22"/>
        </w:rPr>
      </w:pPr>
      <w:r w:rsidRPr="006720E4">
        <w:rPr>
          <w:rFonts w:cs="Calibri"/>
          <w:b/>
          <w:bCs/>
          <w:szCs w:val="22"/>
        </w:rPr>
        <w:lastRenderedPageBreak/>
        <w:t>Indigenous liaison staff</w:t>
      </w:r>
      <w:r w:rsidRPr="006720E4">
        <w:rPr>
          <w:rFonts w:cs="Calibri"/>
          <w:szCs w:val="22"/>
        </w:rPr>
        <w:t xml:space="preserve"> may play a particularly important role as advocates in ensuring Aboriginal and Torres Strait Islander patients and their families receive culturally safe and effective care, as demonstrated by their impact in other clinical settings.</w:t>
      </w:r>
      <w:r w:rsidRPr="006720E4">
        <w:rPr>
          <w:rFonts w:cs="Calibri"/>
          <w:szCs w:val="22"/>
        </w:rPr>
        <w:fldChar w:fldCharType="begin" w:fldLock="1"/>
      </w:r>
      <w:r w:rsidR="00EB088B">
        <w:rPr>
          <w:rFonts w:cs="Calibri"/>
          <w:szCs w:val="22"/>
        </w:rPr>
        <w:instrText>ADDIN CSL_CITATION {"citationItems":[{"id":"ITEM-1","itemData":{"DOI":"10.1371/journal.pone.0239207","ISBN":"1111111111","ISSN":"19326203","PMID":"32960933","abstract":"Background Improving health outcomes for Indigenous people by strengthening the cultural safety of care is a vital challenge for the health sector, both in Australia and internationally. Although Indigenous people have long requested to have Indigenous practitioners involved in their health care, many health services report difficulties with recruiting and retaining Indigenous staff. This article describes Indigenous workforce policies and strategies from two Australian health services, as well as cancer-service specific strategies. Methods Services were identified as part of a national study designed to identify and assess innovative services for Indigenous cancer patients and their families. In-depth interviews were conducted in a small number of identified services. The interviews from two services, which stood out as particularly high performing, were analysed through the lens of Indigenous health workforce. Results Twenty-four hospital staff (Indigenous and non-Indigenous), five Indigenous people with cancer and three family members shared their views and experiences. Eight themes were identified from the way that the two services supported their Indigenous workforce: strong executive leadership, a proactive employment strategy, the Indigenous Health Unit, the Indigenous Liaison Officer, multidisciplinary team inclusion, professional development, work environment and a culture of respect. Participants reported two positive outcomes resulting from the active implementation of the eight workforce themes: ‘Improved Indigenous patient outcomes’ and ‘Improved staff outcomes’. Conclusions These two cancer services and their affiliated hospitals show how positive patient outcomes and a strong Indigenous health workforce can be achieved when a health service has strong leadership, commits to an inclusive and enabling culture, facilitates two-way learning and develops specific support structures appropriate for Indigenous staff. It is hoped that the strategies captured in this study will be used by health services and cancer services to inform their own policies and programs to support building their Indigenous workforce.","author":[{"dropping-particle":"V","family":"Taylor","given":"Emma","non-dropping-particle":"","parse-names":false,"suffix":""},{"dropping-particle":"","family":"Lyford","given":"Marilyn","non-dropping-particle":"","parse-names":false,"suffix":""},{"dropping-particle":"","family":"Parsons","given":"Lorraine","non-dropping-particle":"","parse-names":false,"suffix":""},{"dropping-particle":"","family":"Mason","given":"Toni","non-dropping-particle":"","parse-names":false,"suffix":""},{"dropping-particle":"","family":"Sabesan","given":"Sabe","non-dropping-particle":"","parse-names":false,"suffix":""},{"dropping-particle":"","family":"Thompson","given":"Sandra C","non-dropping-particle":"","parse-names":false,"suffix":""}],"container-title":"PLoS ONE","id":"ITEM-1","issue":"9 September","issued":{"date-parts":[["2020"]]},"title":"“We’re very much part of the team here”: A culture of respect for Indigenous health workforce transforms Indigenous health care","type":"article-journal","volume":"15"},"uris":["http://www.mendeley.com/documents/?uuid=e97242f3-5c1b-417c-be24-d77576237b97"]}],"mendeley":{"formattedCitation":"(36)","plainTextFormattedCitation":"(36)","previouslyFormattedCitation":"(36)"},"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(36)</w:t>
      </w:r>
      <w:r w:rsidRPr="006720E4">
        <w:rPr>
          <w:rFonts w:cs="Calibri"/>
          <w:szCs w:val="22"/>
        </w:rPr>
        <w:fldChar w:fldCharType="end"/>
      </w:r>
    </w:p>
    <w:p w14:paraId="1A32DE06" w14:textId="488FF908" w:rsidR="006C6EBA" w:rsidRPr="006720E4" w:rsidRDefault="006C6EBA" w:rsidP="00EA22AE">
      <w:pPr>
        <w:pStyle w:val="ListParagraph"/>
        <w:numPr>
          <w:ilvl w:val="0"/>
          <w:numId w:val="11"/>
        </w:numPr>
        <w:spacing w:after="120"/>
        <w:contextualSpacing w:val="0"/>
        <w:rPr>
          <w:rFonts w:cs="Calibri"/>
          <w:szCs w:val="22"/>
        </w:rPr>
      </w:pPr>
      <w:r w:rsidRPr="006720E4">
        <w:rPr>
          <w:rFonts w:cs="Calibri"/>
          <w:b/>
          <w:bCs/>
          <w:szCs w:val="22"/>
        </w:rPr>
        <w:t xml:space="preserve">Advisor </w:t>
      </w:r>
      <w:r w:rsidRPr="006720E4">
        <w:rPr>
          <w:rFonts w:cs="Calibri"/>
          <w:szCs w:val="22"/>
        </w:rPr>
        <w:t xml:space="preserve">(e.g., with regards to decision-making about donation or transplantation). In this role, an advocate may serve as a source of independent advice, usually to the prospective living donor or transplant recipient or their </w:t>
      </w:r>
      <w:hyperlink w:anchor="_Glossary_2" w:history="1">
        <w:r w:rsidRPr="006720E4">
          <w:rPr>
            <w:rStyle w:val="Hyperlink"/>
            <w:rFonts w:cs="Calibri"/>
            <w:szCs w:val="22"/>
          </w:rPr>
          <w:t>substitute decision-maker</w:t>
        </w:r>
      </w:hyperlink>
      <w:r w:rsidRPr="006720E4">
        <w:rPr>
          <w:rFonts w:cs="Calibri"/>
          <w:szCs w:val="22"/>
        </w:rPr>
        <w:t>, regarding the risks and potential benefits of choices that may be available to them. This may be particularly important in the context of living directed organ or HSC donation, where prospective donor and recipient interests intersect, and relationships may complicate decision-making by individuals.</w:t>
      </w:r>
    </w:p>
    <w:p w14:paraId="2C7C4BF2" w14:textId="298CBC76" w:rsidR="006C6EBA" w:rsidRPr="006720E4" w:rsidRDefault="006C6EBA" w:rsidP="00EA22AE">
      <w:pPr>
        <w:pStyle w:val="ListParagraph"/>
        <w:numPr>
          <w:ilvl w:val="0"/>
          <w:numId w:val="11"/>
        </w:numPr>
        <w:spacing w:after="120"/>
        <w:contextualSpacing w:val="0"/>
        <w:rPr>
          <w:rFonts w:cs="Calibri"/>
          <w:szCs w:val="22"/>
        </w:rPr>
      </w:pPr>
      <w:r w:rsidRPr="006720E4">
        <w:rPr>
          <w:rFonts w:cs="Calibri"/>
          <w:b/>
          <w:bCs/>
          <w:szCs w:val="22"/>
        </w:rPr>
        <w:t xml:space="preserve">Evaluator/Assessor </w:t>
      </w:r>
      <w:r w:rsidRPr="006720E4">
        <w:rPr>
          <w:rFonts w:cs="Calibri"/>
          <w:szCs w:val="22"/>
        </w:rPr>
        <w:t xml:space="preserve">(e.g., with regards to potential risks and benefits of donation or transplantation for a child or adult lacking decision-making capacity (see </w:t>
      </w:r>
      <w:hyperlink w:anchor="_Donation_and_transplantation_1" w:history="1">
        <w:r w:rsidR="00412EFF" w:rsidRPr="006720E4">
          <w:rPr>
            <w:rStyle w:val="Hyperlink"/>
            <w:rFonts w:cs="Calibri"/>
            <w:szCs w:val="22"/>
          </w:rPr>
          <w:t>Chapter 5</w:t>
        </w:r>
      </w:hyperlink>
      <w:r w:rsidRPr="006720E4">
        <w:rPr>
          <w:rFonts w:cs="Calibri"/>
        </w:rPr>
        <w:t>).</w:t>
      </w:r>
      <w:r w:rsidRPr="006720E4">
        <w:rPr>
          <w:rFonts w:cs="Calibri"/>
          <w:szCs w:val="22"/>
        </w:rPr>
        <w:t xml:space="preserve"> In this role, a professional advocate may be tasked, for example, with making an independent assessment of a prospective donor or transplant recipient in order to determine their preferences or interests. The advocate may also be expected to speak for the individual if they are unable to speak on their own behalf. The advocate is responsible for promoting the donor or recipient’s interests, wellbeing, and safety, and for ensuring that their expressed wishes are taken into account. </w:t>
      </w:r>
    </w:p>
    <w:p w14:paraId="377A4C7F" w14:textId="35C3C117" w:rsidR="006C6EBA" w:rsidRPr="006720E4" w:rsidRDefault="006C6EBA" w:rsidP="00EA22AE">
      <w:pPr>
        <w:spacing w:after="120"/>
        <w:ind w:left="360"/>
        <w:rPr>
          <w:rFonts w:ascii="Calibri" w:hAnsi="Calibri" w:cs="Calibri"/>
          <w:sz w:val="22"/>
          <w:szCs w:val="22"/>
        </w:rPr>
      </w:pPr>
      <w:r w:rsidRPr="006720E4">
        <w:rPr>
          <w:rFonts w:ascii="Calibri" w:hAnsi="Calibri" w:cs="Calibri"/>
          <w:sz w:val="22"/>
          <w:szCs w:val="22"/>
        </w:rPr>
        <w:t xml:space="preserve">The need for an advocate of this kind may arise due to the presence of potential conflicts of interest on the part of the prospective donor or recipient’s substitute decision-maker, or because of potential conflicts or disagreements between the substitute decision-maker and members of the clinical team. In this role, the assessor should not be considered the final arbiter of disagreements, but rather a person who has responsibility for gathering information to inform decision-making.  This differs from </w:t>
      </w:r>
      <w:r w:rsidRPr="006720E4">
        <w:rPr>
          <w:rFonts w:ascii="Calibri" w:hAnsi="Calibri" w:cs="Calibri"/>
          <w:b/>
          <w:bCs/>
          <w:sz w:val="22"/>
          <w:szCs w:val="22"/>
        </w:rPr>
        <w:t>independent decision-makers</w:t>
      </w:r>
      <w:r w:rsidRPr="006720E4">
        <w:rPr>
          <w:rFonts w:ascii="Calibri" w:hAnsi="Calibri" w:cs="Calibri"/>
          <w:sz w:val="22"/>
          <w:szCs w:val="22"/>
        </w:rPr>
        <w:t xml:space="preserve"> (e.g., courts, tribunals, committees) that may be required by law in some circumstances.</w:t>
      </w:r>
    </w:p>
    <w:p w14:paraId="1F3F4C75" w14:textId="6CAD2B09" w:rsidR="00EB7D20"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Ideally, in relation to potential living donors, an advocate should be appointed early in the process of determining whether an individual will act as a donor (i.e., tissue typing stage) and continue in that role throughout the entire donation process. This enables a trusting relationship to be established between the donor and the advocate. </w:t>
      </w:r>
    </w:p>
    <w:p w14:paraId="3AB11B23" w14:textId="77777777" w:rsidR="006C6EBA" w:rsidRPr="006720E4" w:rsidRDefault="006C6EBA" w:rsidP="00EA22AE">
      <w:pPr>
        <w:pStyle w:val="Heading4"/>
        <w:spacing w:after="120"/>
      </w:pPr>
      <w:bookmarkStart w:id="751" w:name="_Toc70414803"/>
      <w:bookmarkStart w:id="752" w:name="_Toc70844132"/>
      <w:bookmarkStart w:id="753" w:name="_Toc72615064"/>
      <w:bookmarkStart w:id="754" w:name="_Toc73129783"/>
      <w:bookmarkStart w:id="755" w:name="_Toc73301652"/>
      <w:bookmarkStart w:id="756" w:name="_Toc73302158"/>
      <w:bookmarkStart w:id="757" w:name="_Toc73303291"/>
      <w:bookmarkStart w:id="758" w:name="_Toc74081436"/>
      <w:bookmarkStart w:id="759" w:name="_Toc74172213"/>
      <w:bookmarkStart w:id="760" w:name="_Toc74172749"/>
      <w:bookmarkStart w:id="761" w:name="_Toc82773497"/>
      <w:bookmarkStart w:id="762" w:name="_Toc82773850"/>
      <w:r w:rsidRPr="006720E4">
        <w:t>Ethical considerations with regards to advocates</w:t>
      </w:r>
      <w:bookmarkEnd w:id="751"/>
      <w:bookmarkEnd w:id="752"/>
      <w:bookmarkEnd w:id="753"/>
      <w:bookmarkEnd w:id="754"/>
      <w:bookmarkEnd w:id="755"/>
      <w:bookmarkEnd w:id="756"/>
      <w:bookmarkEnd w:id="757"/>
      <w:bookmarkEnd w:id="758"/>
      <w:bookmarkEnd w:id="759"/>
      <w:bookmarkEnd w:id="760"/>
      <w:bookmarkEnd w:id="761"/>
      <w:bookmarkEnd w:id="762"/>
    </w:p>
    <w:p w14:paraId="376AD75F" w14:textId="12E8C03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An independent advocate is expected to perform their duties impartially. Their primary duty of care is towards the person on whose behalf they are advocating. They should ideally be free of potential conflicts of interest in both decision-making and judgement. Recruitment of wholly independent advocates may be difficult in some settings, for example when patients belong to relatively small cultural communities, and pre-existing relationships between patients and potential advocates may be unavoidable. Such relationships may be beneficial but may also increase the risk of potential bias or conflicts of interest on the part of the advocate, for example if a prospective living organ donor’s advocate also has relationships with their prospective transplant recipient.</w:t>
      </w:r>
    </w:p>
    <w:p w14:paraId="18D52032" w14:textId="21DE53D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use of advocates in patient care more broadly has been recognized as having both risks and potential benefits. It is important to ensure that advocates are competent to perform the duties associated with their role, and able to respect relevant role boundaries.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{"citationItems":[{"id":"ITEM-1","itemData":{"DOI":"10.1111/ajt.13001","ISSN":"16006143","PMID":"25612499","abstract":"The independent living donor advocate (ILDA) serves a mandated and supportive role in the care of the living organ donor, yet qualifications and role requirements are not clearly defined. Guidance comes from Centers for Medicare and Medicaid Services (CMS) Conditions for Transplant Center Participation and interpretive guidelines, Organ Procurement and Transplantation Network (OPTN) Policy and CMS and OPTN site surveys, yet interpretation of regulations varies. Herein, the AST Living Donor Community of Practice (LDCOP) offers seven recommendations to clarify and optimize the ILDA role: (a) the ILDA must have a certain skill set rather than a specific profession, (b) the ILDA must be educated and demonstrate competence in core knowledge components, (c) the ILDA's primary role is to assess components of informed consent, (d) centers must develop a transparent system to define ILDA independence, (e) the ILDA should have a reporting structure outside the transplant center, (f) the ILDA's role should be integrated throughout the donor care continuum, (g) the ILDA role should include a narrow \"veto power.\" We address controversies in ILDA implementation, and offer pathways to maximize benefits and minimize limitations of approaches that may each meet regulatory requirements but confer different practice benefits. We propose a research agenda to explore the impact of the ILDA.","author":[{"dropping-particle":"","family":"Hays","given":"R. E.","non-dropping-particle":"","parse-names":false,"suffix":""},{"dropping-particle":"","family":"LaPointe Rudow","given":"D.","non-dropping-particle":"","parse-names":false,"suffix":""},{"dropping-particle":"","family":"Dew","given":"M. A.","non-dropping-particle":"","parse-names":false,"suffix":""},{"dropping-particle":"","family":"Taler","given":"S. J.","non-dropping-particle":"","parse-names":false,"suffix":""},{"dropping-particle":"","family":"Spicer","given":"H.","non-dropping-particle":"","parse-names":false,"suffix":""},{"dropping-particle":"","family":"Mandelbrot","given":"D. A.","non-dropping-particle":"","parse-names":false,"suffix":""}],"container-title":"American Journal of Transplantation","id":"ITEM-1","issue":"2","issued":{"date-parts":[["2015"]]},"page":"518-525","title":"The independent living donor advocate: A guidance document from the american society of transplantation's living donor community of practice (AST LDCOP)","type":"article-journal","volume":"15"},"uris":["http://www.mendeley.com/documents/?uuid=80bab65c-5e5b-4acc-8a90-68e0ee5a9333"]}],"mendeley":{"formattedCitation":"(37)","plainTextFormattedCitation":"(37)","previouslyFormattedCitation":"(37)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(37)</w:t>
      </w:r>
      <w:r w:rsidRPr="006720E4">
        <w:rPr>
          <w:rFonts w:ascii="Calibri" w:hAnsi="Calibri" w:cs="Calibri"/>
          <w:sz w:val="22"/>
          <w:szCs w:val="22"/>
        </w:rPr>
        <w:fldChar w:fldCharType="end"/>
      </w:r>
      <w:r w:rsidRPr="006720E4">
        <w:rPr>
          <w:rFonts w:ascii="Calibri" w:hAnsi="Calibri" w:cs="Calibri"/>
          <w:sz w:val="22"/>
          <w:szCs w:val="22"/>
        </w:rPr>
        <w:t xml:space="preserve"> Care must be also taken to ensure that advocates do not act paternalistically, and that the values and preferences of individuals on behalf of whom they are advocating are respected to the greatest extent possible.</w:t>
      </w:r>
    </w:p>
    <w:p w14:paraId="4340D8FC" w14:textId="77777777" w:rsidR="006C6EBA" w:rsidRPr="006720E4" w:rsidRDefault="006C6EBA" w:rsidP="00EA22AE">
      <w:pPr>
        <w:pStyle w:val="Heading3"/>
        <w:spacing w:after="120"/>
      </w:pPr>
      <w:bookmarkStart w:id="763" w:name="_Resolving_conflict_or"/>
      <w:bookmarkStart w:id="764" w:name="_Toc73129784"/>
      <w:bookmarkStart w:id="765" w:name="_Toc73301653"/>
      <w:bookmarkStart w:id="766" w:name="_Toc73302159"/>
      <w:bookmarkStart w:id="767" w:name="_Toc73303292"/>
      <w:bookmarkStart w:id="768" w:name="_Toc73303552"/>
      <w:bookmarkStart w:id="769" w:name="_Toc74080669"/>
      <w:bookmarkStart w:id="770" w:name="_Toc74080977"/>
      <w:bookmarkStart w:id="771" w:name="_Toc74081207"/>
      <w:bookmarkStart w:id="772" w:name="_Toc74081437"/>
      <w:bookmarkStart w:id="773" w:name="_Toc74171038"/>
      <w:bookmarkStart w:id="774" w:name="_Toc74172214"/>
      <w:bookmarkStart w:id="775" w:name="_Toc74172750"/>
      <w:bookmarkStart w:id="776" w:name="_Toc74238712"/>
      <w:bookmarkStart w:id="777" w:name="_Toc79406328"/>
      <w:bookmarkStart w:id="778" w:name="_Toc82773498"/>
      <w:bookmarkStart w:id="779" w:name="_Toc82773851"/>
      <w:bookmarkEnd w:id="763"/>
      <w:r w:rsidRPr="006720E4">
        <w:t>Resolving conflict or disagreements in ethical decision-making</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29D1059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Conflicts or disagreement are often encountered in the healthcare context. Disagreements can arise, for example, within families, between patients and health professionals, and between health professionals. Disagreements are often the result of breakdowns in communication but may also relate to differences of opinion with regards to treatment decisions. Ethical disagreements or conflicts involve value-based disagreements. </w:t>
      </w:r>
    </w:p>
    <w:p w14:paraId="52CFC3EC" w14:textId="1724DB6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Approaching ethical decision-making using the </w:t>
      </w:r>
      <w:r w:rsidRPr="00EA22AE">
        <w:rPr>
          <w:rFonts w:ascii="Calibri" w:hAnsi="Calibri" w:cs="Calibri"/>
          <w:sz w:val="22"/>
          <w:szCs w:val="22"/>
        </w:rPr>
        <w:t>approach outlined above (</w:t>
      </w:r>
      <w:hyperlink w:anchor="_Framework_for_ethical" w:history="1">
        <w:r w:rsidRPr="00EA22AE">
          <w:rPr>
            <w:rStyle w:val="Hyperlink"/>
            <w:rFonts w:ascii="Calibri" w:hAnsi="Calibri" w:cs="Calibri"/>
            <w:sz w:val="22"/>
            <w:szCs w:val="22"/>
          </w:rPr>
          <w:t xml:space="preserve">Chapter </w:t>
        </w:r>
        <w:r w:rsidR="00EA22AE" w:rsidRPr="00EA22AE">
          <w:rPr>
            <w:rStyle w:val="Hyperlink"/>
            <w:rFonts w:ascii="Calibri" w:hAnsi="Calibri" w:cs="Calibri"/>
            <w:sz w:val="22"/>
            <w:szCs w:val="22"/>
          </w:rPr>
          <w:t>3</w:t>
        </w:r>
        <w:r w:rsidRPr="00EA22AE">
          <w:rPr>
            <w:rStyle w:val="Hyperlink"/>
            <w:rFonts w:ascii="Calibri" w:hAnsi="Calibri" w:cs="Calibri"/>
            <w:sz w:val="22"/>
            <w:szCs w:val="22"/>
          </w:rPr>
          <w:t>.</w:t>
        </w:r>
        <w:r w:rsidR="00EA22AE" w:rsidRPr="00EA22AE">
          <w:rPr>
            <w:rStyle w:val="Hyperlink"/>
            <w:rFonts w:ascii="Calibri" w:hAnsi="Calibri" w:cs="Calibri"/>
            <w:sz w:val="22"/>
            <w:szCs w:val="22"/>
          </w:rPr>
          <w:t>4</w:t>
        </w:r>
        <w:r w:rsidRPr="00EA22AE">
          <w:rPr>
            <w:rStyle w:val="Hyperlink"/>
            <w:rFonts w:ascii="Calibri" w:hAnsi="Calibri" w:cs="Calibri"/>
            <w:sz w:val="22"/>
            <w:szCs w:val="22"/>
          </w:rPr>
          <w:t>.1</w:t>
        </w:r>
      </w:hyperlink>
      <w:r w:rsidRPr="00EA22AE">
        <w:rPr>
          <w:rFonts w:ascii="Calibri" w:hAnsi="Calibri" w:cs="Calibri"/>
          <w:sz w:val="22"/>
          <w:szCs w:val="22"/>
        </w:rPr>
        <w:t>) may help</w:t>
      </w:r>
      <w:r w:rsidRPr="006720E4">
        <w:rPr>
          <w:rFonts w:ascii="Calibri" w:hAnsi="Calibri" w:cs="Calibri"/>
          <w:sz w:val="22"/>
          <w:szCs w:val="22"/>
        </w:rPr>
        <w:t xml:space="preserve"> to avoid or resolve existing disagreements. Involving health professionals or clinical ethics consultants who are competent in clinical communication skills and, ideally, trained in mediation, is essential to support effective conflict resolution. </w:t>
      </w:r>
    </w:p>
    <w:p w14:paraId="079C27AE" w14:textId="1FA70D7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Specific strategies to support conflict resolution or mediation of disagreements have been outlined in the clinical ethics literature (see </w:t>
      </w:r>
      <w:hyperlink w:anchor="_Appendix_3_–" w:history="1">
        <w:r w:rsidR="009C2EF0" w:rsidRPr="009C2EF0">
          <w:rPr>
            <w:rStyle w:val="Hyperlink"/>
            <w:rFonts w:ascii="Calibri" w:hAnsi="Calibri" w:cs="Calibri"/>
            <w:sz w:val="22"/>
            <w:szCs w:val="22"/>
          </w:rPr>
          <w:t>Appendix 1</w:t>
        </w:r>
      </w:hyperlink>
      <w:r w:rsidRPr="006720E4">
        <w:rPr>
          <w:rFonts w:ascii="Calibri" w:hAnsi="Calibri" w:cs="Calibri"/>
          <w:sz w:val="22"/>
          <w:szCs w:val="22"/>
        </w:rPr>
        <w: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{"citationItems":[{"id":"ITEM-1","itemData":{"ISSN":"10467890","PMID":"26752386","abstract":"Bioethics mediators manage a wide range of clinical conflict emanating from diverse sources. Parties to clinical conflict are often not fully aware of, nor willing to express, the true nature and scope of their conflict. As such, a significant task of the bioethics mediator is to help define that conflict. The ability to assess and apply the tools necessary for an effective mediation process can be facilitated by each mediator's creation of a personal compendium of sources that generate clinical conflict, to provide an orientation for the successful management of complex dilemmatic cases.","author":[{"dropping-particle":"","family":"Bergman","given":"Edward J.","non-dropping-particle":"","parse-names":false,"suffix":""}],"container-title":"The Journal of clinical ethics","id":"ITEM-1","issue":"4","issued":{"date-parts":[["2015"]]},"page":"315-323","title":"Identifying Sources of Clinical Conflict: A Tool for Practice and Training in Bioethics Mediation","type":"article-journal","volume":"26"},"uris":["http://www.mendeley.com/documents/?uuid=25464357-3800-4f4e-bdbc-c2ed619db7c1"]}],"mendeley":{"formattedCitation":"(38)","plainTextFormattedCitation":"(38)","previouslyFormattedCitation":"(38)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(38)</w:t>
      </w:r>
      <w:r w:rsidRPr="006720E4">
        <w:rPr>
          <w:rFonts w:ascii="Calibri" w:hAnsi="Calibri" w:cs="Calibri"/>
          <w:sz w:val="22"/>
          <w:szCs w:val="22"/>
        </w:rPr>
        <w:fldChar w:fldCharType="end"/>
      </w:r>
      <w:r w:rsidRPr="006720E4">
        <w:rPr>
          <w:rFonts w:ascii="Calibri" w:hAnsi="Calibri" w:cs="Calibri"/>
          <w:sz w:val="22"/>
          <w:szCs w:val="22"/>
        </w:rPr>
        <w:t xml:space="preserve"> Where disagreements cannot be resolved, it may be necessary to engage external mediation services or to get independent legal advice.</w:t>
      </w:r>
      <w:bookmarkStart w:id="780" w:name="_Ethics_of_ethical"/>
      <w:bookmarkStart w:id="781" w:name="_Toc70241732"/>
      <w:bookmarkStart w:id="782" w:name="_Toc70243366"/>
      <w:bookmarkStart w:id="783" w:name="_Toc70414804"/>
      <w:bookmarkStart w:id="784" w:name="_Toc70844133"/>
      <w:bookmarkStart w:id="785" w:name="_Toc70858979"/>
      <w:bookmarkStart w:id="786" w:name="_Toc70861080"/>
      <w:bookmarkStart w:id="787" w:name="_Toc70876564"/>
      <w:bookmarkStart w:id="788" w:name="_Toc72615065"/>
      <w:bookmarkStart w:id="789" w:name="_Toc73129785"/>
      <w:bookmarkEnd w:id="780"/>
    </w:p>
    <w:p w14:paraId="0CAAE3C1" w14:textId="77777777" w:rsidR="006C6EBA" w:rsidRPr="006720E4" w:rsidRDefault="006C6EBA" w:rsidP="00EA22AE">
      <w:pPr>
        <w:pStyle w:val="Heading2"/>
        <w:spacing w:after="120"/>
      </w:pPr>
      <w:bookmarkStart w:id="790" w:name="_Laws_1"/>
      <w:bookmarkStart w:id="791" w:name="_Toc72615073"/>
      <w:bookmarkStart w:id="792" w:name="_Toc73129793"/>
      <w:bookmarkStart w:id="793" w:name="_Toc73301662"/>
      <w:bookmarkStart w:id="794" w:name="_Toc73302168"/>
      <w:bookmarkStart w:id="795" w:name="_Toc73303301"/>
      <w:bookmarkStart w:id="796" w:name="_Toc73303559"/>
      <w:bookmarkStart w:id="797" w:name="_Toc74080676"/>
      <w:bookmarkStart w:id="798" w:name="_Toc74080984"/>
      <w:bookmarkStart w:id="799" w:name="_Toc74081214"/>
      <w:bookmarkStart w:id="800" w:name="_Toc74081446"/>
      <w:bookmarkStart w:id="801" w:name="_Toc74171045"/>
      <w:bookmarkStart w:id="802" w:name="_Toc74172223"/>
      <w:bookmarkStart w:id="803" w:name="_Toc74172759"/>
      <w:bookmarkStart w:id="804" w:name="_Toc74238719"/>
      <w:bookmarkStart w:id="805" w:name="_Toc78304757"/>
      <w:bookmarkStart w:id="806" w:name="_Toc79330843"/>
      <w:bookmarkStart w:id="807" w:name="_Toc79331223"/>
      <w:bookmarkStart w:id="808" w:name="_Toc79406329"/>
      <w:bookmarkStart w:id="809" w:name="_Toc82773499"/>
      <w:bookmarkStart w:id="810" w:name="_Toc82773852"/>
      <w:bookmarkStart w:id="811" w:name="_Toc128314192"/>
      <w:bookmarkStart w:id="812" w:name="_Toc135131436"/>
      <w:bookmarkStart w:id="813" w:name="_Toc73301654"/>
      <w:bookmarkStart w:id="814" w:name="_Toc73302160"/>
      <w:bookmarkStart w:id="815" w:name="_Toc73303293"/>
      <w:bookmarkStart w:id="816" w:name="_Toc73303553"/>
      <w:bookmarkStart w:id="817" w:name="_Toc74080670"/>
      <w:bookmarkStart w:id="818" w:name="_Toc74080978"/>
      <w:bookmarkStart w:id="819" w:name="_Toc74081208"/>
      <w:bookmarkStart w:id="820" w:name="_Toc74081438"/>
      <w:bookmarkStart w:id="821" w:name="_Toc74171039"/>
      <w:bookmarkStart w:id="822" w:name="_Toc74172215"/>
      <w:bookmarkStart w:id="823" w:name="_Toc74172751"/>
      <w:bookmarkStart w:id="824" w:name="_Toc74238713"/>
      <w:bookmarkStart w:id="825" w:name="_Toc78304755"/>
      <w:bookmarkEnd w:id="790"/>
      <w:r w:rsidRPr="006720E4">
        <w:t>Laws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12F016A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Laws are another important normative framework that sit alongside ethical frameworks and are informed by ethical values and principles. Laws are developed by State, Territory, and the Commonwealth parliaments, as well as made by judges in courts. </w:t>
      </w:r>
    </w:p>
    <w:p w14:paraId="1FA25066" w14:textId="0621BEE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rules that govern many aspects of our society, knowledge of relevant laws is important for appropriate ethical decision-making in donation and transplantation. Failure to follow the law can result in offences being committed or penalties being imposed. This is the case, even if a person does not know about the specific law. </w:t>
      </w:r>
    </w:p>
    <w:p w14:paraId="30F32E53" w14:textId="66C1316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addition to “human tissue” legislation which specifically addresses aspects of cell, tissue and organ donation, other laws such as those relating to medical treatment decision-making (see </w:t>
      </w:r>
      <w:hyperlink w:anchor="_Consent_for_living" w:history="1">
        <w:r w:rsidRPr="00B961B5">
          <w:rPr>
            <w:rStyle w:val="Hyperlink"/>
            <w:rFonts w:ascii="Calibri" w:hAnsi="Calibri" w:cs="Calibri"/>
            <w:sz w:val="22"/>
            <w:szCs w:val="22"/>
          </w:rPr>
          <w:t xml:space="preserve">Chapter </w:t>
        </w:r>
        <w:r w:rsidR="00252C48" w:rsidRPr="00B961B5">
          <w:rPr>
            <w:rStyle w:val="Hyperlink"/>
            <w:rFonts w:ascii="Calibri" w:hAnsi="Calibri" w:cs="Calibri"/>
            <w:sz w:val="22"/>
            <w:szCs w:val="22"/>
          </w:rPr>
          <w:t>4</w:t>
        </w:r>
        <w:r w:rsidRPr="00B961B5">
          <w:rPr>
            <w:rStyle w:val="Hyperlink"/>
            <w:rFonts w:ascii="Calibri" w:hAnsi="Calibri" w:cs="Calibri"/>
            <w:sz w:val="22"/>
            <w:szCs w:val="22"/>
          </w:rPr>
          <w:t>.3.1</w:t>
        </w:r>
      </w:hyperlink>
      <w:r w:rsidRPr="00B961B5">
        <w:rPr>
          <w:rFonts w:ascii="Calibri" w:hAnsi="Calibri" w:cs="Calibri"/>
          <w:sz w:val="22"/>
          <w:szCs w:val="22"/>
        </w:rPr>
        <w:t xml:space="preserve"> (living donation), </w:t>
      </w:r>
      <w:hyperlink w:anchor="_Consent_for_deceased_2" w:history="1">
        <w:r w:rsidRPr="00B961B5">
          <w:rPr>
            <w:rStyle w:val="Hyperlink"/>
            <w:rFonts w:ascii="Calibri" w:hAnsi="Calibri" w:cs="Calibri"/>
            <w:sz w:val="22"/>
            <w:szCs w:val="22"/>
          </w:rPr>
          <w:t xml:space="preserve">Chapter </w:t>
        </w:r>
        <w:r w:rsidR="00252C48" w:rsidRPr="00B961B5">
          <w:rPr>
            <w:rStyle w:val="Hyperlink"/>
            <w:rFonts w:ascii="Calibri" w:hAnsi="Calibri" w:cs="Calibri"/>
            <w:sz w:val="22"/>
            <w:szCs w:val="22"/>
          </w:rPr>
          <w:t>4</w:t>
        </w:r>
        <w:r w:rsidRPr="00B961B5">
          <w:rPr>
            <w:rStyle w:val="Hyperlink"/>
            <w:rFonts w:ascii="Calibri" w:hAnsi="Calibri" w:cs="Calibri"/>
            <w:sz w:val="22"/>
            <w:szCs w:val="22"/>
          </w:rPr>
          <w:t>.4.1</w:t>
        </w:r>
      </w:hyperlink>
      <w:r w:rsidRPr="00B961B5">
        <w:rPr>
          <w:rFonts w:ascii="Calibri" w:hAnsi="Calibri" w:cs="Calibri"/>
          <w:sz w:val="22"/>
          <w:szCs w:val="22"/>
        </w:rPr>
        <w:t xml:space="preserve"> (deceased donation) and </w:t>
      </w:r>
      <w:hyperlink w:anchor="_Substitute_decision-making_and" w:history="1">
        <w:r w:rsidRPr="00B961B5">
          <w:rPr>
            <w:rStyle w:val="Hyperlink"/>
            <w:rFonts w:ascii="Calibri" w:hAnsi="Calibri" w:cs="Calibri"/>
            <w:sz w:val="22"/>
            <w:szCs w:val="22"/>
          </w:rPr>
          <w:t xml:space="preserve">Chapter </w:t>
        </w:r>
        <w:r w:rsidR="00252C48" w:rsidRPr="00B961B5">
          <w:rPr>
            <w:rStyle w:val="Hyperlink"/>
            <w:rFonts w:ascii="Calibri" w:hAnsi="Calibri" w:cs="Calibri"/>
            <w:sz w:val="22"/>
            <w:szCs w:val="22"/>
          </w:rPr>
          <w:t>5</w:t>
        </w:r>
        <w:r w:rsidRPr="00B961B5">
          <w:rPr>
            <w:rStyle w:val="Hyperlink"/>
            <w:rFonts w:ascii="Calibri" w:hAnsi="Calibri" w:cs="Calibri"/>
            <w:sz w:val="22"/>
            <w:szCs w:val="22"/>
          </w:rPr>
          <w:t>.2</w:t>
        </w:r>
      </w:hyperlink>
      <w:r w:rsidRPr="00B961B5">
        <w:rPr>
          <w:rFonts w:ascii="Calibri" w:hAnsi="Calibri" w:cs="Calibri"/>
          <w:sz w:val="22"/>
          <w:szCs w:val="22"/>
        </w:rPr>
        <w:t xml:space="preserve"> (substitute decision-making and medical treatment laws); privacy (see </w:t>
      </w:r>
      <w:hyperlink w:anchor="_Privacy_legislation_1" w:history="1">
        <w:r w:rsidRPr="00B961B5">
          <w:rPr>
            <w:rStyle w:val="Hyperlink"/>
            <w:rFonts w:ascii="Calibri" w:hAnsi="Calibri" w:cs="Calibri"/>
            <w:sz w:val="22"/>
            <w:szCs w:val="22"/>
          </w:rPr>
          <w:t xml:space="preserve">Chapter </w:t>
        </w:r>
        <w:r w:rsidR="00252C48" w:rsidRPr="00B961B5">
          <w:rPr>
            <w:rStyle w:val="Hyperlink"/>
            <w:rFonts w:ascii="Calibri" w:hAnsi="Calibri" w:cs="Calibri"/>
            <w:sz w:val="22"/>
            <w:szCs w:val="22"/>
          </w:rPr>
          <w:t>7</w:t>
        </w:r>
        <w:r w:rsidRPr="00B961B5">
          <w:rPr>
            <w:rStyle w:val="Hyperlink"/>
            <w:rFonts w:ascii="Calibri" w:hAnsi="Calibri" w:cs="Calibri"/>
            <w:sz w:val="22"/>
            <w:szCs w:val="22"/>
          </w:rPr>
          <w:t>.1.1</w:t>
        </w:r>
      </w:hyperlink>
      <w:r w:rsidRPr="00B961B5">
        <w:rPr>
          <w:rFonts w:ascii="Calibri" w:hAnsi="Calibri" w:cs="Calibri"/>
          <w:sz w:val="22"/>
          <w:szCs w:val="22"/>
        </w:rPr>
        <w:t>); and the</w:t>
      </w:r>
      <w:r w:rsidRPr="006720E4">
        <w:rPr>
          <w:rFonts w:ascii="Calibri" w:hAnsi="Calibri" w:cs="Calibri"/>
          <w:sz w:val="22"/>
          <w:szCs w:val="22"/>
        </w:rPr>
        <w:t xml:space="preserve"> regulation of therapeutic </w:t>
      </w:r>
      <w:r w:rsidRPr="00B961B5">
        <w:rPr>
          <w:rFonts w:ascii="Calibri" w:hAnsi="Calibri" w:cs="Calibri"/>
          <w:sz w:val="22"/>
          <w:szCs w:val="22"/>
        </w:rPr>
        <w:t>goods (see</w:t>
      </w:r>
      <w:r w:rsidR="00B961B5" w:rsidRPr="00B961B5">
        <w:rPr>
          <w:rFonts w:ascii="Calibri" w:hAnsi="Calibri" w:cs="Calibri"/>
          <w:sz w:val="22"/>
          <w:szCs w:val="22"/>
        </w:rPr>
        <w:t xml:space="preserve"> </w:t>
      </w:r>
      <w:hyperlink w:anchor="_Decision-making_for_living" w:history="1">
        <w:r w:rsidR="00B961B5" w:rsidRPr="00B961B5">
          <w:rPr>
            <w:rStyle w:val="Hyperlink"/>
            <w:rFonts w:ascii="Calibri" w:hAnsi="Calibri" w:cs="Calibri"/>
            <w:sz w:val="22"/>
            <w:szCs w:val="22"/>
          </w:rPr>
          <w:t>Chapter 3.5.2</w:t>
        </w:r>
      </w:hyperlink>
      <w:r w:rsidR="00B961B5" w:rsidRPr="00B961B5">
        <w:rPr>
          <w:rFonts w:ascii="Calibri" w:hAnsi="Calibri" w:cs="Calibri"/>
          <w:sz w:val="22"/>
          <w:szCs w:val="22"/>
        </w:rPr>
        <w:t xml:space="preserve">) </w:t>
      </w:r>
      <w:r w:rsidRPr="00B961B5">
        <w:rPr>
          <w:rFonts w:ascii="Calibri" w:hAnsi="Calibri" w:cs="Calibri"/>
          <w:sz w:val="22"/>
          <w:szCs w:val="22"/>
        </w:rPr>
        <w:t>may play</w:t>
      </w:r>
      <w:r w:rsidRPr="006720E4">
        <w:rPr>
          <w:rFonts w:ascii="Calibri" w:hAnsi="Calibri" w:cs="Calibri"/>
          <w:sz w:val="22"/>
          <w:szCs w:val="22"/>
        </w:rPr>
        <w:t xml:space="preserve"> an important role in guiding practice in donation and transplantation. Relevant legislation for each State and Territory are summarised in this section and in specific sections throughout these Guidelines, but these summaries are general in nature and independent legal advice should always be sought in relation to when legal issues arise in particular cases. </w:t>
      </w:r>
    </w:p>
    <w:p w14:paraId="7C44F4C0" w14:textId="296A04C8" w:rsidR="006C6EBA" w:rsidRPr="006720E4" w:rsidRDefault="006C6EBA" w:rsidP="00EA22AE">
      <w:pPr>
        <w:pStyle w:val="Heading3"/>
        <w:spacing w:after="120"/>
      </w:pPr>
      <w:bookmarkStart w:id="826" w:name="_Human_tissue_legislation"/>
      <w:bookmarkStart w:id="827" w:name="_Toc63683398"/>
      <w:bookmarkStart w:id="828" w:name="_Toc70241736"/>
      <w:bookmarkStart w:id="829" w:name="_Toc70243370"/>
      <w:bookmarkStart w:id="830" w:name="_Toc70414816"/>
      <w:bookmarkStart w:id="831" w:name="_Toc70844142"/>
      <w:bookmarkStart w:id="832" w:name="_Toc72615074"/>
      <w:bookmarkStart w:id="833" w:name="_Toc73129794"/>
      <w:bookmarkStart w:id="834" w:name="_Toc73301663"/>
      <w:bookmarkStart w:id="835" w:name="_Toc73302169"/>
      <w:bookmarkStart w:id="836" w:name="_Toc73303302"/>
      <w:bookmarkStart w:id="837" w:name="_Toc73303560"/>
      <w:bookmarkStart w:id="838" w:name="_Toc74080677"/>
      <w:bookmarkStart w:id="839" w:name="_Toc74080985"/>
      <w:bookmarkStart w:id="840" w:name="_Toc74081215"/>
      <w:bookmarkStart w:id="841" w:name="_Toc74081447"/>
      <w:bookmarkStart w:id="842" w:name="_Toc74171046"/>
      <w:bookmarkStart w:id="843" w:name="_Toc74172224"/>
      <w:bookmarkStart w:id="844" w:name="_Toc74172760"/>
      <w:bookmarkStart w:id="845" w:name="_Toc74238720"/>
      <w:bookmarkStart w:id="846" w:name="_Toc79406330"/>
      <w:bookmarkStart w:id="847" w:name="_Toc82773500"/>
      <w:bookmarkStart w:id="848" w:name="_Toc82773853"/>
      <w:bookmarkEnd w:id="826"/>
      <w:r w:rsidRPr="006720E4">
        <w:t>Human tissue legislation</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7C6E5857" w14:textId="63462A2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Legislation in each State and Territory governs donation and transplantation for clinical purposes (see </w:t>
      </w:r>
      <w:r w:rsidRPr="006720E4">
        <w:rPr>
          <w:rFonts w:ascii="Calibri" w:hAnsi="Calibri" w:cs="Calibri"/>
          <w:b/>
          <w:bCs/>
          <w:sz w:val="22"/>
          <w:szCs w:val="22"/>
        </w:rPr>
        <w:t>Table 3.2</w:t>
      </w:r>
      <w:r w:rsidRPr="006720E4">
        <w:rPr>
          <w:rFonts w:ascii="Calibri" w:hAnsi="Calibri" w:cs="Calibri"/>
          <w:sz w:val="22"/>
          <w:szCs w:val="22"/>
        </w:rPr>
        <w:t xml:space="preserve">). Although referred to as “human tissue legislation” in accordance with the terminology used in much of this legislation, the legislation is also inclusive of cells and organs. </w:t>
      </w:r>
    </w:p>
    <w:p w14:paraId="304005B5" w14:textId="2F09AABB" w:rsidR="006C6EBA" w:rsidRDefault="006C6EBA" w:rsidP="00EA22AE">
      <w:pPr>
        <w:spacing w:after="120"/>
        <w:rPr>
          <w:rFonts w:ascii="Calibri" w:hAnsi="Calibri" w:cs="Calibri"/>
          <w:sz w:val="22"/>
          <w:szCs w:val="22"/>
        </w:rPr>
      </w:pPr>
      <w:r w:rsidRPr="006720E4">
        <w:rPr>
          <w:rFonts w:ascii="Calibri" w:hAnsi="Calibri" w:cs="Calibri"/>
          <w:sz w:val="22"/>
          <w:szCs w:val="22"/>
        </w:rPr>
        <w:t xml:space="preserve">Common features of this legislation across all Australian jurisdictions include </w:t>
      </w:r>
      <w:r w:rsidRPr="00B327D8">
        <w:rPr>
          <w:rFonts w:ascii="Calibri" w:hAnsi="Calibri" w:cs="Calibri"/>
          <w:sz w:val="22"/>
          <w:szCs w:val="22"/>
        </w:rPr>
        <w:t>provision of a legal mechanism for authorising donation of organs and tissues following the death of a person (</w:t>
      </w:r>
      <w:hyperlink w:anchor="_Determination_of_death_1" w:history="1">
        <w:r w:rsidR="00B327D8" w:rsidRPr="00B327D8">
          <w:rPr>
            <w:rStyle w:val="Hyperlink"/>
            <w:rFonts w:ascii="Calibri" w:hAnsi="Calibri" w:cs="Calibri"/>
            <w:sz w:val="22"/>
            <w:szCs w:val="22"/>
          </w:rPr>
          <w:t xml:space="preserve">Chapter </w:t>
        </w:r>
        <w:r w:rsidR="00B961B5">
          <w:rPr>
            <w:rStyle w:val="Hyperlink"/>
            <w:rFonts w:ascii="Calibri" w:hAnsi="Calibri" w:cs="Calibri"/>
            <w:sz w:val="22"/>
            <w:szCs w:val="22"/>
          </w:rPr>
          <w:t>3</w:t>
        </w:r>
        <w:r w:rsidR="00B327D8" w:rsidRPr="00B327D8">
          <w:rPr>
            <w:rStyle w:val="Hyperlink"/>
            <w:rFonts w:ascii="Calibri" w:hAnsi="Calibri" w:cs="Calibri"/>
            <w:sz w:val="22"/>
            <w:szCs w:val="22"/>
          </w:rPr>
          <w:t>.5</w:t>
        </w:r>
        <w:r w:rsidRPr="00B327D8">
          <w:rPr>
            <w:rStyle w:val="Hyperlink"/>
            <w:rFonts w:ascii="Calibri" w:hAnsi="Calibri" w:cs="Calibri"/>
            <w:sz w:val="22"/>
            <w:szCs w:val="22"/>
          </w:rPr>
          <w:t>.1.1</w:t>
        </w:r>
      </w:hyperlink>
      <w:r w:rsidRPr="00B327D8">
        <w:rPr>
          <w:rFonts w:ascii="Calibri" w:hAnsi="Calibri" w:cs="Calibri"/>
          <w:sz w:val="22"/>
          <w:szCs w:val="22"/>
        </w:rPr>
        <w:t xml:space="preserve">), disclosure of identity of donors and recipients (see </w:t>
      </w:r>
      <w:hyperlink w:anchor="_Legal_considerations_in" w:history="1">
        <w:r w:rsidRPr="00B327D8">
          <w:rPr>
            <w:rStyle w:val="Hyperlink"/>
            <w:rFonts w:ascii="Calibri" w:hAnsi="Calibri" w:cs="Calibri"/>
            <w:sz w:val="22"/>
            <w:szCs w:val="22"/>
          </w:rPr>
          <w:t xml:space="preserve">Chapter </w:t>
        </w:r>
        <w:r w:rsidR="007D4839" w:rsidRPr="00B327D8">
          <w:rPr>
            <w:rStyle w:val="Hyperlink"/>
            <w:rFonts w:ascii="Calibri" w:hAnsi="Calibri" w:cs="Calibri"/>
            <w:sz w:val="22"/>
            <w:szCs w:val="22"/>
          </w:rPr>
          <w:t>7</w:t>
        </w:r>
        <w:r w:rsidRPr="00B327D8">
          <w:rPr>
            <w:rStyle w:val="Hyperlink"/>
            <w:rFonts w:ascii="Calibri" w:hAnsi="Calibri" w:cs="Calibri"/>
            <w:sz w:val="22"/>
            <w:szCs w:val="22"/>
          </w:rPr>
          <w:t>.1.1.1</w:t>
        </w:r>
      </w:hyperlink>
      <w:r w:rsidRPr="00B327D8">
        <w:rPr>
          <w:rFonts w:ascii="Calibri" w:hAnsi="Calibri" w:cs="Calibri"/>
          <w:sz w:val="22"/>
          <w:szCs w:val="22"/>
        </w:rPr>
        <w:t>), and prohibition</w:t>
      </w:r>
      <w:r w:rsidRPr="007D4839">
        <w:rPr>
          <w:rFonts w:ascii="Calibri" w:hAnsi="Calibri" w:cs="Calibri"/>
          <w:sz w:val="22"/>
          <w:szCs w:val="22"/>
        </w:rPr>
        <w:t xml:space="preserve"> against trading in human tissues with some limited exceptions (see </w:t>
      </w:r>
      <w:hyperlink w:anchor="_Legal_aspects_of_1" w:history="1">
        <w:r w:rsidRPr="007D4839">
          <w:rPr>
            <w:rStyle w:val="Hyperlink"/>
            <w:rFonts w:ascii="Calibri" w:hAnsi="Calibri" w:cs="Calibri"/>
            <w:sz w:val="22"/>
            <w:szCs w:val="22"/>
          </w:rPr>
          <w:t xml:space="preserve">Chapter </w:t>
        </w:r>
        <w:r w:rsidR="007D4839" w:rsidRPr="007D4839">
          <w:rPr>
            <w:rStyle w:val="Hyperlink"/>
            <w:rFonts w:ascii="Calibri" w:hAnsi="Calibri" w:cs="Calibri"/>
            <w:sz w:val="22"/>
            <w:szCs w:val="22"/>
          </w:rPr>
          <w:t>10</w:t>
        </w:r>
        <w:r w:rsidRPr="007D4839">
          <w:rPr>
            <w:rStyle w:val="Hyperlink"/>
            <w:rFonts w:ascii="Calibri" w:hAnsi="Calibri" w:cs="Calibri"/>
            <w:sz w:val="22"/>
            <w:szCs w:val="22"/>
          </w:rPr>
          <w:t>.2</w:t>
        </w:r>
      </w:hyperlink>
      <w:r w:rsidRPr="007D4839">
        <w:rPr>
          <w:rFonts w:ascii="Calibri" w:hAnsi="Calibri" w:cs="Calibri"/>
          <w:sz w:val="22"/>
          <w:szCs w:val="22"/>
        </w:rPr>
        <w:t>).</w:t>
      </w:r>
    </w:p>
    <w:p w14:paraId="554640F8" w14:textId="77777777" w:rsidR="00B327D8" w:rsidRPr="006720E4" w:rsidRDefault="00B327D8" w:rsidP="00EA22AE">
      <w:pPr>
        <w:spacing w:after="120"/>
        <w:rPr>
          <w:rFonts w:ascii="Calibri" w:hAnsi="Calibri" w:cs="Calibri"/>
          <w:sz w:val="22"/>
          <w:szCs w:val="22"/>
        </w:rPr>
      </w:pPr>
    </w:p>
    <w:tbl>
      <w:tblPr>
        <w:tblW w:w="0" w:type="auto"/>
        <w:jc w:val="center"/>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3682"/>
        <w:gridCol w:w="5278"/>
      </w:tblGrid>
      <w:tr w:rsidR="00B327D8" w:rsidRPr="007E1B57" w14:paraId="008425CE" w14:textId="77777777" w:rsidTr="00080A0A">
        <w:trPr>
          <w:jc w:val="center"/>
        </w:trPr>
        <w:tc>
          <w:tcPr>
            <w:tcW w:w="8960" w:type="dxa"/>
            <w:gridSpan w:val="2"/>
            <w:tcBorders>
              <w:top w:val="single" w:sz="4" w:space="0" w:color="auto"/>
              <w:bottom w:val="single" w:sz="4" w:space="0" w:color="auto"/>
            </w:tcBorders>
            <w:shd w:val="clear" w:color="auto" w:fill="E7E6E6"/>
            <w:tcMar>
              <w:top w:w="100" w:type="nil"/>
              <w:right w:w="100" w:type="nil"/>
            </w:tcMar>
          </w:tcPr>
          <w:p w14:paraId="1446F07A" w14:textId="52AEDA1C" w:rsidR="00B327D8" w:rsidRPr="0021660C" w:rsidRDefault="00B327D8" w:rsidP="00EA22AE">
            <w:pPr>
              <w:pStyle w:val="Guidelinesnormalparagraph"/>
              <w:rPr>
                <w:rFonts w:ascii="Calibri" w:hAnsi="Calibri" w:cs="Calibri"/>
                <w:b/>
                <w:bCs/>
                <w:kern w:val="0"/>
                <w:szCs w:val="22"/>
                <w:u w:color="0000FF"/>
                <w:lang w:val="en-GB"/>
              </w:rPr>
            </w:pPr>
            <w:bookmarkStart w:id="849" w:name="_Determination_of_death"/>
            <w:bookmarkStart w:id="850" w:name="_Toc70414817"/>
            <w:bookmarkStart w:id="851" w:name="_Toc70844143"/>
            <w:bookmarkStart w:id="852" w:name="_Toc72615075"/>
            <w:bookmarkStart w:id="853" w:name="_Toc73129795"/>
            <w:bookmarkStart w:id="854" w:name="_Toc73301664"/>
            <w:bookmarkStart w:id="855" w:name="_Toc73302170"/>
            <w:bookmarkStart w:id="856" w:name="_Toc73303303"/>
            <w:bookmarkStart w:id="857" w:name="_Toc74081448"/>
            <w:bookmarkStart w:id="858" w:name="_Toc74172225"/>
            <w:bookmarkStart w:id="859" w:name="_Toc74172761"/>
            <w:bookmarkEnd w:id="849"/>
            <w:r w:rsidRPr="0021660C">
              <w:rPr>
                <w:rFonts w:ascii="Calibri" w:hAnsi="Calibri" w:cs="Calibri"/>
                <w:b/>
                <w:bCs/>
                <w:kern w:val="0"/>
                <w:szCs w:val="22"/>
                <w:u w:color="0000FF"/>
                <w:lang w:val="en-GB"/>
              </w:rPr>
              <w:t xml:space="preserve">Table </w:t>
            </w:r>
            <w:r>
              <w:rPr>
                <w:rFonts w:ascii="Calibri" w:hAnsi="Calibri" w:cs="Calibri"/>
                <w:b/>
                <w:bCs/>
                <w:kern w:val="0"/>
                <w:szCs w:val="22"/>
                <w:u w:color="0000FF"/>
                <w:lang w:val="en-GB"/>
              </w:rPr>
              <w:t>3.2</w:t>
            </w:r>
            <w:r w:rsidRPr="0021660C">
              <w:rPr>
                <w:rFonts w:ascii="Calibri" w:hAnsi="Calibri" w:cs="Calibri"/>
                <w:b/>
                <w:bCs/>
                <w:kern w:val="0"/>
                <w:szCs w:val="22"/>
                <w:u w:color="0000FF"/>
                <w:lang w:val="en-GB"/>
              </w:rPr>
              <w:t xml:space="preserve"> - Human Tissue Legislation in Australia</w:t>
            </w:r>
          </w:p>
        </w:tc>
      </w:tr>
      <w:tr w:rsidR="00B327D8" w:rsidRPr="007E1B57" w14:paraId="3C4471D4" w14:textId="77777777" w:rsidTr="00080A0A">
        <w:tblPrEx>
          <w:tblBorders>
            <w:top w:val="none" w:sz="0" w:space="0" w:color="auto"/>
          </w:tblBorders>
        </w:tblPrEx>
        <w:trPr>
          <w:jc w:val="center"/>
        </w:trPr>
        <w:tc>
          <w:tcPr>
            <w:tcW w:w="3682" w:type="dxa"/>
            <w:tcBorders>
              <w:top w:val="single" w:sz="4" w:space="0" w:color="auto"/>
              <w:bottom w:val="single" w:sz="4" w:space="0" w:color="auto"/>
              <w:right w:val="single" w:sz="4" w:space="0" w:color="auto"/>
            </w:tcBorders>
            <w:tcMar>
              <w:top w:w="100" w:type="nil"/>
              <w:right w:w="100" w:type="nil"/>
            </w:tcMar>
          </w:tcPr>
          <w:p w14:paraId="68AB0D20" w14:textId="77777777" w:rsidR="00B327D8" w:rsidRPr="007E1B57" w:rsidRDefault="00B327D8"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ACT Transplantation and Anatomy Act 1978</w:t>
            </w:r>
          </w:p>
        </w:tc>
        <w:tc>
          <w:tcPr>
            <w:tcW w:w="5278" w:type="dxa"/>
            <w:tcBorders>
              <w:top w:val="single" w:sz="4" w:space="0" w:color="auto"/>
              <w:left w:val="single" w:sz="4" w:space="0" w:color="auto"/>
              <w:bottom w:val="single" w:sz="4" w:space="0" w:color="auto"/>
            </w:tcBorders>
            <w:tcMar>
              <w:top w:w="100" w:type="nil"/>
              <w:right w:w="100" w:type="nil"/>
            </w:tcMar>
          </w:tcPr>
          <w:p w14:paraId="052374CC" w14:textId="77777777" w:rsidR="00B327D8" w:rsidRPr="007E1B57" w:rsidRDefault="00000000" w:rsidP="00EA22AE">
            <w:pPr>
              <w:pStyle w:val="Guidelinesnormalparagraph"/>
              <w:rPr>
                <w:rFonts w:ascii="Calibri" w:hAnsi="Calibri" w:cs="Calibri"/>
                <w:kern w:val="0"/>
                <w:szCs w:val="22"/>
                <w:u w:color="0000FF"/>
                <w:lang w:val="en-GB"/>
              </w:rPr>
            </w:pPr>
            <w:hyperlink r:id="rId46" w:history="1">
              <w:r w:rsidR="00B327D8" w:rsidRPr="007E1B57">
                <w:rPr>
                  <w:rFonts w:ascii="Calibri" w:hAnsi="Calibri" w:cs="Calibri"/>
                  <w:color w:val="0000FF"/>
                  <w:kern w:val="0"/>
                  <w:szCs w:val="22"/>
                  <w:u w:val="single" w:color="0000FF"/>
                  <w:lang w:val="en-GB"/>
                </w:rPr>
                <w:t>https://www.legislation.act.gov.au/a/1978-44/</w:t>
              </w:r>
            </w:hyperlink>
          </w:p>
        </w:tc>
      </w:tr>
      <w:tr w:rsidR="00B327D8" w:rsidRPr="007E1B57" w14:paraId="6F6CF1D5" w14:textId="77777777" w:rsidTr="00080A0A">
        <w:tblPrEx>
          <w:tblBorders>
            <w:top w:val="none" w:sz="0" w:space="0" w:color="auto"/>
          </w:tblBorders>
        </w:tblPrEx>
        <w:trPr>
          <w:jc w:val="center"/>
        </w:trPr>
        <w:tc>
          <w:tcPr>
            <w:tcW w:w="3682" w:type="dxa"/>
            <w:tcBorders>
              <w:top w:val="single" w:sz="4" w:space="0" w:color="auto"/>
              <w:bottom w:val="single" w:sz="4" w:space="0" w:color="auto"/>
              <w:right w:val="single" w:sz="4" w:space="0" w:color="auto"/>
            </w:tcBorders>
            <w:tcMar>
              <w:top w:w="100" w:type="nil"/>
              <w:right w:w="100" w:type="nil"/>
            </w:tcMar>
          </w:tcPr>
          <w:p w14:paraId="28CFA2F1" w14:textId="77777777" w:rsidR="00B327D8" w:rsidRPr="007E1B57" w:rsidRDefault="00B327D8"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NSW Human Tissue Act 1983</w:t>
            </w:r>
          </w:p>
        </w:tc>
        <w:tc>
          <w:tcPr>
            <w:tcW w:w="5278" w:type="dxa"/>
            <w:tcBorders>
              <w:top w:val="single" w:sz="4" w:space="0" w:color="auto"/>
              <w:left w:val="single" w:sz="4" w:space="0" w:color="auto"/>
              <w:bottom w:val="single" w:sz="4" w:space="0" w:color="auto"/>
            </w:tcBorders>
            <w:tcMar>
              <w:top w:w="100" w:type="nil"/>
              <w:right w:w="100" w:type="nil"/>
            </w:tcMar>
          </w:tcPr>
          <w:p w14:paraId="40AAB19F" w14:textId="77777777" w:rsidR="00B327D8" w:rsidRPr="007E1B57" w:rsidRDefault="00000000" w:rsidP="00EA22AE">
            <w:pPr>
              <w:pStyle w:val="Guidelinesnormalparagraph"/>
              <w:rPr>
                <w:rFonts w:ascii="Calibri" w:hAnsi="Calibri" w:cs="Calibri"/>
                <w:kern w:val="0"/>
                <w:szCs w:val="22"/>
                <w:u w:color="0000FF"/>
                <w:lang w:val="en-GB"/>
              </w:rPr>
            </w:pPr>
            <w:hyperlink r:id="rId47" w:history="1">
              <w:r w:rsidR="00B327D8" w:rsidRPr="007E1B57">
                <w:rPr>
                  <w:rFonts w:ascii="Calibri" w:hAnsi="Calibri" w:cs="Calibri"/>
                  <w:color w:val="0000FF"/>
                  <w:kern w:val="0"/>
                  <w:szCs w:val="22"/>
                  <w:u w:val="single" w:color="0000FF"/>
                  <w:lang w:val="en-GB"/>
                </w:rPr>
                <w:t>https://www.legislation.nsw.gov.au/view/html/inforce/curre</w:t>
              </w:r>
            </w:hyperlink>
            <w:r w:rsidR="00B327D8" w:rsidRPr="007E1B57">
              <w:rPr>
                <w:rFonts w:ascii="Calibri" w:hAnsi="Calibri" w:cs="Calibri"/>
                <w:kern w:val="0"/>
                <w:szCs w:val="22"/>
                <w:u w:color="0000FF"/>
                <w:lang w:val="en-GB"/>
              </w:rPr>
              <w:t xml:space="preserve"> </w:t>
            </w:r>
            <w:hyperlink r:id="rId48" w:history="1">
              <w:proofErr w:type="spellStart"/>
              <w:r w:rsidR="00B327D8" w:rsidRPr="007E1B57">
                <w:rPr>
                  <w:rFonts w:ascii="Calibri" w:hAnsi="Calibri" w:cs="Calibri"/>
                  <w:color w:val="0000FF"/>
                  <w:kern w:val="0"/>
                  <w:szCs w:val="22"/>
                  <w:u w:val="single" w:color="0000FF"/>
                  <w:lang w:val="en-GB"/>
                </w:rPr>
                <w:t>nt</w:t>
              </w:r>
              <w:proofErr w:type="spellEnd"/>
              <w:r w:rsidR="00B327D8" w:rsidRPr="007E1B57">
                <w:rPr>
                  <w:rFonts w:ascii="Calibri" w:hAnsi="Calibri" w:cs="Calibri"/>
                  <w:color w:val="0000FF"/>
                  <w:kern w:val="0"/>
                  <w:szCs w:val="22"/>
                  <w:u w:val="single" w:color="0000FF"/>
                  <w:lang w:val="en-GB"/>
                </w:rPr>
                <w:t>/act-1983-164#</w:t>
              </w:r>
            </w:hyperlink>
          </w:p>
        </w:tc>
      </w:tr>
      <w:tr w:rsidR="00B327D8" w:rsidRPr="007E1B57" w14:paraId="6A26A8C1" w14:textId="77777777" w:rsidTr="00080A0A">
        <w:tblPrEx>
          <w:tblBorders>
            <w:top w:val="none" w:sz="0" w:space="0" w:color="auto"/>
          </w:tblBorders>
        </w:tblPrEx>
        <w:trPr>
          <w:jc w:val="center"/>
        </w:trPr>
        <w:tc>
          <w:tcPr>
            <w:tcW w:w="3682" w:type="dxa"/>
            <w:tcBorders>
              <w:top w:val="single" w:sz="4" w:space="0" w:color="auto"/>
              <w:bottom w:val="single" w:sz="4" w:space="0" w:color="auto"/>
              <w:right w:val="single" w:sz="4" w:space="0" w:color="auto"/>
            </w:tcBorders>
            <w:tcMar>
              <w:top w:w="100" w:type="nil"/>
              <w:right w:w="100" w:type="nil"/>
            </w:tcMar>
          </w:tcPr>
          <w:p w14:paraId="418666C0" w14:textId="77777777" w:rsidR="00B327D8" w:rsidRPr="007E1B57" w:rsidRDefault="00B327D8"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NT Transplantation and Anatomy Act</w:t>
            </w:r>
          </w:p>
        </w:tc>
        <w:tc>
          <w:tcPr>
            <w:tcW w:w="5278" w:type="dxa"/>
            <w:tcBorders>
              <w:top w:val="single" w:sz="4" w:space="0" w:color="auto"/>
              <w:left w:val="single" w:sz="4" w:space="0" w:color="auto"/>
              <w:bottom w:val="single" w:sz="4" w:space="0" w:color="auto"/>
            </w:tcBorders>
            <w:tcMar>
              <w:top w:w="100" w:type="nil"/>
              <w:right w:w="100" w:type="nil"/>
            </w:tcMar>
          </w:tcPr>
          <w:p w14:paraId="5C209CA7" w14:textId="77777777" w:rsidR="00B327D8" w:rsidRPr="007E1B57" w:rsidRDefault="00B327D8" w:rsidP="00EA22AE">
            <w:pPr>
              <w:pStyle w:val="Guidelinesnormalparagraph"/>
              <w:rPr>
                <w:rFonts w:ascii="Calibri" w:hAnsi="Calibri" w:cs="Calibri"/>
                <w:kern w:val="0"/>
                <w:szCs w:val="22"/>
                <w:u w:color="0000FF"/>
                <w:lang w:val="en-GB"/>
              </w:rPr>
            </w:pPr>
            <w:r w:rsidRPr="0091518B">
              <w:rPr>
                <w:rFonts w:ascii="Calibri" w:hAnsi="Calibri" w:cs="Calibri"/>
                <w:color w:val="0000FF"/>
                <w:kern w:val="0"/>
                <w:szCs w:val="22"/>
                <w:u w:val="single" w:color="0000FF"/>
                <w:lang w:val="en-GB"/>
              </w:rPr>
              <w:t>https://legislation.nt.gov.au/Legislation/TRANSPLANTATION-AND-ANATOMY-ACT-1979</w:t>
            </w:r>
          </w:p>
        </w:tc>
      </w:tr>
      <w:tr w:rsidR="00B327D8" w:rsidRPr="007E1B57" w14:paraId="493BA695" w14:textId="77777777" w:rsidTr="00080A0A">
        <w:tblPrEx>
          <w:tblBorders>
            <w:top w:val="none" w:sz="0" w:space="0" w:color="auto"/>
          </w:tblBorders>
        </w:tblPrEx>
        <w:trPr>
          <w:jc w:val="center"/>
        </w:trPr>
        <w:tc>
          <w:tcPr>
            <w:tcW w:w="3682" w:type="dxa"/>
            <w:tcBorders>
              <w:top w:val="single" w:sz="4" w:space="0" w:color="auto"/>
              <w:bottom w:val="single" w:sz="4" w:space="0" w:color="auto"/>
              <w:right w:val="single" w:sz="4" w:space="0" w:color="auto"/>
            </w:tcBorders>
            <w:tcMar>
              <w:top w:w="100" w:type="nil"/>
              <w:right w:w="100" w:type="nil"/>
            </w:tcMar>
          </w:tcPr>
          <w:p w14:paraId="6824D824" w14:textId="77777777" w:rsidR="00B327D8" w:rsidRPr="007E1B57" w:rsidRDefault="00B327D8"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QLD Transplantation and Anatomy Act 1979</w:t>
            </w:r>
          </w:p>
        </w:tc>
        <w:tc>
          <w:tcPr>
            <w:tcW w:w="5278" w:type="dxa"/>
            <w:tcBorders>
              <w:top w:val="single" w:sz="4" w:space="0" w:color="auto"/>
              <w:left w:val="single" w:sz="4" w:space="0" w:color="auto"/>
              <w:bottom w:val="single" w:sz="4" w:space="0" w:color="auto"/>
            </w:tcBorders>
            <w:tcMar>
              <w:top w:w="100" w:type="nil"/>
              <w:right w:w="100" w:type="nil"/>
            </w:tcMar>
          </w:tcPr>
          <w:p w14:paraId="6884C9B9" w14:textId="77777777" w:rsidR="00B327D8" w:rsidRPr="007E1B57" w:rsidRDefault="00000000" w:rsidP="00EA22AE">
            <w:pPr>
              <w:pStyle w:val="Guidelinesnormalparagraph"/>
              <w:rPr>
                <w:rFonts w:ascii="Calibri" w:hAnsi="Calibri" w:cs="Calibri"/>
                <w:kern w:val="0"/>
                <w:szCs w:val="22"/>
                <w:u w:color="0000FF"/>
                <w:lang w:val="en-GB"/>
              </w:rPr>
            </w:pPr>
            <w:hyperlink r:id="rId49" w:history="1">
              <w:r w:rsidR="00B327D8" w:rsidRPr="007E1B57">
                <w:rPr>
                  <w:rFonts w:ascii="Calibri" w:hAnsi="Calibri" w:cs="Calibri"/>
                  <w:color w:val="0000FF"/>
                  <w:kern w:val="0"/>
                  <w:szCs w:val="22"/>
                  <w:u w:val="single" w:color="0000FF"/>
                  <w:lang w:val="en-GB"/>
                </w:rPr>
                <w:t>https://www.legislation.qld.gov.au/view/html/inforce/curren</w:t>
              </w:r>
            </w:hyperlink>
            <w:r w:rsidR="00B327D8" w:rsidRPr="007E1B57">
              <w:rPr>
                <w:rFonts w:ascii="Calibri" w:hAnsi="Calibri" w:cs="Calibri"/>
                <w:kern w:val="0"/>
                <w:szCs w:val="22"/>
                <w:u w:color="0000FF"/>
                <w:lang w:val="en-GB"/>
              </w:rPr>
              <w:t xml:space="preserve"> </w:t>
            </w:r>
            <w:hyperlink r:id="rId50" w:history="1">
              <w:r w:rsidR="00B327D8" w:rsidRPr="007E1B57">
                <w:rPr>
                  <w:rFonts w:ascii="Calibri" w:hAnsi="Calibri" w:cs="Calibri"/>
                  <w:color w:val="0000FF"/>
                  <w:kern w:val="0"/>
                  <w:szCs w:val="22"/>
                  <w:u w:val="single" w:color="0000FF"/>
                  <w:lang w:val="en-GB"/>
                </w:rPr>
                <w:t>t/act-1979-074</w:t>
              </w:r>
            </w:hyperlink>
          </w:p>
        </w:tc>
      </w:tr>
      <w:tr w:rsidR="00B327D8" w:rsidRPr="007E1B57" w14:paraId="34D95B2C" w14:textId="77777777" w:rsidTr="00080A0A">
        <w:tblPrEx>
          <w:tblBorders>
            <w:top w:val="none" w:sz="0" w:space="0" w:color="auto"/>
          </w:tblBorders>
        </w:tblPrEx>
        <w:trPr>
          <w:jc w:val="center"/>
        </w:trPr>
        <w:tc>
          <w:tcPr>
            <w:tcW w:w="3682" w:type="dxa"/>
            <w:tcBorders>
              <w:top w:val="single" w:sz="4" w:space="0" w:color="auto"/>
              <w:bottom w:val="single" w:sz="4" w:space="0" w:color="auto"/>
              <w:right w:val="single" w:sz="4" w:space="0" w:color="auto"/>
            </w:tcBorders>
            <w:tcMar>
              <w:top w:w="100" w:type="nil"/>
              <w:right w:w="100" w:type="nil"/>
            </w:tcMar>
          </w:tcPr>
          <w:p w14:paraId="10727CF2" w14:textId="77777777" w:rsidR="00B327D8" w:rsidRPr="007E1B57" w:rsidRDefault="00B327D8"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lastRenderedPageBreak/>
              <w:t>SA Transplantation and Anatomy Act 1983</w:t>
            </w:r>
          </w:p>
        </w:tc>
        <w:tc>
          <w:tcPr>
            <w:tcW w:w="5278" w:type="dxa"/>
            <w:tcBorders>
              <w:top w:val="single" w:sz="4" w:space="0" w:color="auto"/>
              <w:left w:val="single" w:sz="4" w:space="0" w:color="auto"/>
              <w:bottom w:val="single" w:sz="4" w:space="0" w:color="auto"/>
            </w:tcBorders>
            <w:tcMar>
              <w:top w:w="100" w:type="nil"/>
              <w:right w:w="100" w:type="nil"/>
            </w:tcMar>
          </w:tcPr>
          <w:p w14:paraId="13300916" w14:textId="77777777" w:rsidR="00B327D8" w:rsidRPr="007E1B57" w:rsidRDefault="00B327D8" w:rsidP="00EA22AE">
            <w:pPr>
              <w:pStyle w:val="Guidelinesnormalparagraph"/>
              <w:rPr>
                <w:rFonts w:ascii="Calibri" w:hAnsi="Calibri" w:cs="Calibri"/>
                <w:kern w:val="0"/>
                <w:szCs w:val="22"/>
                <w:u w:color="0000FF"/>
                <w:lang w:val="en-GB"/>
              </w:rPr>
            </w:pPr>
            <w:r w:rsidRPr="00CA689A">
              <w:rPr>
                <w:rFonts w:ascii="Calibri" w:hAnsi="Calibri" w:cs="Calibri"/>
                <w:color w:val="0000FF"/>
                <w:kern w:val="0"/>
                <w:szCs w:val="22"/>
                <w:u w:val="single" w:color="0000FF"/>
                <w:lang w:val="en-GB"/>
              </w:rPr>
              <w:t>https://www.legislation.sa.gov.au/lz?path=/c/a/transplantation%20and%20anatomy%20act%201983</w:t>
            </w:r>
          </w:p>
        </w:tc>
      </w:tr>
      <w:tr w:rsidR="00B327D8" w:rsidRPr="007E1B57" w14:paraId="12243F63" w14:textId="77777777" w:rsidTr="00080A0A">
        <w:tblPrEx>
          <w:tblBorders>
            <w:top w:val="none" w:sz="0" w:space="0" w:color="auto"/>
          </w:tblBorders>
        </w:tblPrEx>
        <w:trPr>
          <w:jc w:val="center"/>
        </w:trPr>
        <w:tc>
          <w:tcPr>
            <w:tcW w:w="3682" w:type="dxa"/>
            <w:tcBorders>
              <w:top w:val="single" w:sz="4" w:space="0" w:color="auto"/>
              <w:bottom w:val="single" w:sz="4" w:space="0" w:color="auto"/>
              <w:right w:val="single" w:sz="4" w:space="0" w:color="auto"/>
            </w:tcBorders>
            <w:tcMar>
              <w:top w:w="100" w:type="nil"/>
              <w:right w:w="100" w:type="nil"/>
            </w:tcMar>
          </w:tcPr>
          <w:p w14:paraId="118B7A15" w14:textId="77777777" w:rsidR="00B327D8" w:rsidRPr="007E1B57" w:rsidRDefault="00B327D8"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TAS Human Tissue Act 1985</w:t>
            </w:r>
          </w:p>
        </w:tc>
        <w:tc>
          <w:tcPr>
            <w:tcW w:w="5278" w:type="dxa"/>
            <w:tcBorders>
              <w:top w:val="single" w:sz="4" w:space="0" w:color="auto"/>
              <w:left w:val="single" w:sz="4" w:space="0" w:color="auto"/>
              <w:bottom w:val="single" w:sz="4" w:space="0" w:color="auto"/>
            </w:tcBorders>
            <w:tcMar>
              <w:top w:w="100" w:type="nil"/>
              <w:right w:w="100" w:type="nil"/>
            </w:tcMar>
          </w:tcPr>
          <w:p w14:paraId="2ED73BF7" w14:textId="77777777" w:rsidR="00B327D8" w:rsidRPr="007E1B57" w:rsidRDefault="00B327D8" w:rsidP="00EA22AE">
            <w:pPr>
              <w:pStyle w:val="Guidelinesnormalparagraph"/>
              <w:rPr>
                <w:rFonts w:ascii="Calibri" w:hAnsi="Calibri" w:cs="Calibri"/>
                <w:kern w:val="0"/>
                <w:szCs w:val="22"/>
                <w:u w:color="0000FF"/>
                <w:lang w:val="en-GB"/>
              </w:rPr>
            </w:pPr>
            <w:r w:rsidRPr="00EE7C63">
              <w:rPr>
                <w:rFonts w:ascii="Calibri" w:hAnsi="Calibri" w:cs="Calibri"/>
                <w:color w:val="0000FF"/>
                <w:kern w:val="0"/>
                <w:szCs w:val="22"/>
                <w:u w:val="single" w:color="0000FF"/>
                <w:lang w:val="en-GB"/>
              </w:rPr>
              <w:t>https://www.legislation.tas.gov.au/view/html/inforce/current/act-1985-118</w:t>
            </w:r>
          </w:p>
        </w:tc>
      </w:tr>
      <w:tr w:rsidR="00B327D8" w:rsidRPr="007E1B57" w14:paraId="3C93A6C4" w14:textId="77777777" w:rsidTr="00080A0A">
        <w:tblPrEx>
          <w:tblBorders>
            <w:top w:val="none" w:sz="0" w:space="0" w:color="auto"/>
            <w:bottom w:val="single" w:sz="4" w:space="0" w:color="auto"/>
          </w:tblBorders>
        </w:tblPrEx>
        <w:trPr>
          <w:jc w:val="center"/>
        </w:trPr>
        <w:tc>
          <w:tcPr>
            <w:tcW w:w="3682" w:type="dxa"/>
            <w:tcBorders>
              <w:top w:val="single" w:sz="4" w:space="0" w:color="auto"/>
              <w:bottom w:val="single" w:sz="4" w:space="0" w:color="auto"/>
              <w:right w:val="single" w:sz="4" w:space="0" w:color="auto"/>
            </w:tcBorders>
            <w:tcMar>
              <w:top w:w="100" w:type="nil"/>
              <w:right w:w="100" w:type="nil"/>
            </w:tcMar>
          </w:tcPr>
          <w:p w14:paraId="13A0657A" w14:textId="77777777" w:rsidR="00B327D8" w:rsidRPr="007E1B57" w:rsidRDefault="00B327D8"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VIC Human Tissue Act 1982</w:t>
            </w:r>
          </w:p>
        </w:tc>
        <w:tc>
          <w:tcPr>
            <w:tcW w:w="5278" w:type="dxa"/>
            <w:tcBorders>
              <w:top w:val="single" w:sz="4" w:space="0" w:color="auto"/>
              <w:left w:val="single" w:sz="4" w:space="0" w:color="auto"/>
              <w:bottom w:val="single" w:sz="4" w:space="0" w:color="auto"/>
            </w:tcBorders>
            <w:tcMar>
              <w:top w:w="100" w:type="nil"/>
              <w:right w:w="100" w:type="nil"/>
            </w:tcMar>
          </w:tcPr>
          <w:p w14:paraId="0B61A8C1" w14:textId="77777777" w:rsidR="00B327D8" w:rsidRPr="007E1B57" w:rsidRDefault="00B327D8" w:rsidP="00EA22AE">
            <w:pPr>
              <w:pStyle w:val="Guidelinesnormalparagraph"/>
              <w:rPr>
                <w:rFonts w:ascii="Calibri" w:hAnsi="Calibri" w:cs="Calibri"/>
                <w:kern w:val="0"/>
                <w:szCs w:val="22"/>
                <w:u w:color="0000FF"/>
                <w:lang w:val="en-GB"/>
              </w:rPr>
            </w:pPr>
            <w:r w:rsidRPr="00A862A1">
              <w:rPr>
                <w:rFonts w:ascii="Calibri" w:hAnsi="Calibri" w:cs="Calibri"/>
                <w:color w:val="0000FF"/>
                <w:kern w:val="0"/>
                <w:szCs w:val="22"/>
                <w:u w:val="single" w:color="0000FF"/>
                <w:lang w:val="en-GB"/>
              </w:rPr>
              <w:t>https://www.legislation.vic.gov.au/in-force/acts/human-tissue-act-1982/045</w:t>
            </w:r>
          </w:p>
        </w:tc>
      </w:tr>
      <w:tr w:rsidR="00B327D8" w:rsidRPr="007E1B57" w14:paraId="712B0751" w14:textId="77777777" w:rsidTr="00080A0A">
        <w:tblPrEx>
          <w:tblBorders>
            <w:bottom w:val="single" w:sz="4" w:space="0" w:color="auto"/>
          </w:tblBorders>
        </w:tblPrEx>
        <w:trPr>
          <w:jc w:val="center"/>
        </w:trPr>
        <w:tc>
          <w:tcPr>
            <w:tcW w:w="3682" w:type="dxa"/>
            <w:tcBorders>
              <w:top w:val="single" w:sz="4" w:space="0" w:color="auto"/>
              <w:bottom w:val="single" w:sz="4" w:space="0" w:color="auto"/>
              <w:right w:val="single" w:sz="4" w:space="0" w:color="auto"/>
            </w:tcBorders>
            <w:tcMar>
              <w:top w:w="100" w:type="nil"/>
              <w:right w:w="100" w:type="nil"/>
            </w:tcMar>
          </w:tcPr>
          <w:p w14:paraId="07717EF4" w14:textId="77777777" w:rsidR="00B327D8" w:rsidRPr="007E1B57" w:rsidRDefault="00B327D8"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WA Human Tissue and Transplant Act 1982</w:t>
            </w:r>
          </w:p>
        </w:tc>
        <w:tc>
          <w:tcPr>
            <w:tcW w:w="5278" w:type="dxa"/>
            <w:tcBorders>
              <w:top w:val="single" w:sz="4" w:space="0" w:color="auto"/>
              <w:left w:val="single" w:sz="4" w:space="0" w:color="auto"/>
              <w:bottom w:val="single" w:sz="4" w:space="0" w:color="auto"/>
            </w:tcBorders>
            <w:tcMar>
              <w:top w:w="100" w:type="nil"/>
              <w:right w:w="100" w:type="nil"/>
            </w:tcMar>
          </w:tcPr>
          <w:p w14:paraId="282010A3" w14:textId="77777777" w:rsidR="00B327D8" w:rsidRPr="007E1B57" w:rsidRDefault="00B327D8" w:rsidP="00EA22AE">
            <w:pPr>
              <w:pStyle w:val="Guidelinesnormalparagraph"/>
              <w:rPr>
                <w:rFonts w:ascii="Calibri" w:hAnsi="Calibri" w:cs="Calibri"/>
                <w:kern w:val="0"/>
                <w:szCs w:val="22"/>
                <w:u w:color="0000FF"/>
                <w:lang w:val="en-GB"/>
              </w:rPr>
            </w:pPr>
            <w:r w:rsidRPr="00AF0060">
              <w:rPr>
                <w:rFonts w:ascii="Calibri" w:hAnsi="Calibri" w:cs="Calibri"/>
                <w:color w:val="0000FF"/>
                <w:kern w:val="0"/>
                <w:szCs w:val="22"/>
                <w:u w:val="single" w:color="0000FF"/>
                <w:lang w:val="en-GB"/>
              </w:rPr>
              <w:t>https://www.legislation.wa.gov.au/legislation/statutes.nsf/law_a364.html</w:t>
            </w:r>
          </w:p>
        </w:tc>
      </w:tr>
      <w:tr w:rsidR="00B327D8" w:rsidRPr="007E1B57" w14:paraId="045E1FD5" w14:textId="77777777" w:rsidTr="00080A0A">
        <w:tblPrEx>
          <w:tblBorders>
            <w:bottom w:val="single" w:sz="4" w:space="0" w:color="auto"/>
          </w:tblBorders>
        </w:tblPrEx>
        <w:trPr>
          <w:jc w:val="center"/>
        </w:trPr>
        <w:tc>
          <w:tcPr>
            <w:tcW w:w="8960" w:type="dxa"/>
            <w:gridSpan w:val="2"/>
            <w:tcBorders>
              <w:top w:val="single" w:sz="4" w:space="0" w:color="auto"/>
              <w:bottom w:val="single" w:sz="4" w:space="0" w:color="auto"/>
            </w:tcBorders>
            <w:tcMar>
              <w:top w:w="100" w:type="nil"/>
              <w:right w:w="100" w:type="nil"/>
            </w:tcMar>
          </w:tcPr>
          <w:p w14:paraId="1AC4A0EB" w14:textId="77777777" w:rsidR="00B327D8" w:rsidRPr="001272A4" w:rsidDel="00AF0060" w:rsidRDefault="00B327D8" w:rsidP="00EA22AE">
            <w:pPr>
              <w:pStyle w:val="Guidelinesnormalparagraph"/>
              <w:rPr>
                <w:i/>
                <w:iCs/>
              </w:rPr>
            </w:pPr>
            <w:r w:rsidRPr="001272A4">
              <w:rPr>
                <w:i/>
                <w:iCs/>
                <w:sz w:val="21"/>
                <w:szCs w:val="22"/>
              </w:rPr>
              <w:t xml:space="preserve">Please note that the above links are current at the time of writing but may lead to out-of-date versions of legislation in future. As legislation is regularly amended, please check that you are viewing the most current version which should usually be accessible via the website to which these links will direct. </w:t>
            </w:r>
          </w:p>
        </w:tc>
      </w:tr>
    </w:tbl>
    <w:p w14:paraId="77C4F6C2" w14:textId="77777777" w:rsidR="006C6EBA" w:rsidRPr="006720E4" w:rsidRDefault="006C6EBA" w:rsidP="00EA22AE">
      <w:pPr>
        <w:spacing w:after="120"/>
        <w:rPr>
          <w:rFonts w:ascii="Calibri" w:hAnsi="Calibri" w:cs="Calibri"/>
        </w:rPr>
      </w:pPr>
    </w:p>
    <w:p w14:paraId="5A3B7972" w14:textId="3E707FAC" w:rsidR="006C6EBA" w:rsidRPr="006720E4" w:rsidRDefault="006C6EBA" w:rsidP="00EA22AE">
      <w:pPr>
        <w:pStyle w:val="Heading4"/>
        <w:spacing w:after="120"/>
      </w:pPr>
      <w:bookmarkStart w:id="860" w:name="_Determination_of_death_1"/>
      <w:bookmarkStart w:id="861" w:name="_Toc82773501"/>
      <w:bookmarkStart w:id="862" w:name="_Toc82773854"/>
      <w:bookmarkEnd w:id="860"/>
      <w:r w:rsidRPr="006720E4">
        <w:t>Determination of death</w:t>
      </w:r>
      <w:bookmarkEnd w:id="850"/>
      <w:bookmarkEnd w:id="851"/>
      <w:bookmarkEnd w:id="852"/>
      <w:bookmarkEnd w:id="853"/>
      <w:bookmarkEnd w:id="854"/>
      <w:bookmarkEnd w:id="855"/>
      <w:bookmarkEnd w:id="856"/>
      <w:bookmarkEnd w:id="857"/>
      <w:bookmarkEnd w:id="858"/>
      <w:bookmarkEnd w:id="859"/>
      <w:bookmarkEnd w:id="861"/>
      <w:bookmarkEnd w:id="862"/>
    </w:p>
    <w:p w14:paraId="36AEE5C1" w14:textId="0920570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Human tissue legislation provides a legal mechanism for authorising deceased donation of cells, tissues and organs following the death of a person. </w:t>
      </w:r>
    </w:p>
    <w:p w14:paraId="6EB0E0B2" w14:textId="38B6FA8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most Australian jurisdictions, death is legally defined as:</w:t>
      </w:r>
    </w:p>
    <w:p w14:paraId="12A906BA" w14:textId="77777777" w:rsidR="006C6EBA" w:rsidRPr="006720E4" w:rsidRDefault="006C6EBA" w:rsidP="00EA22AE">
      <w:pPr>
        <w:pStyle w:val="ListParagraph"/>
        <w:numPr>
          <w:ilvl w:val="0"/>
          <w:numId w:val="3"/>
        </w:numPr>
        <w:spacing w:after="120"/>
        <w:contextualSpacing w:val="0"/>
        <w:rPr>
          <w:rFonts w:cs="Calibri"/>
          <w:szCs w:val="22"/>
        </w:rPr>
      </w:pPr>
      <w:r w:rsidRPr="006720E4">
        <w:rPr>
          <w:rFonts w:cs="Calibri"/>
          <w:szCs w:val="22"/>
        </w:rPr>
        <w:t xml:space="preserve">the irreversible cessation of circulation of blood in a person; or </w:t>
      </w:r>
    </w:p>
    <w:p w14:paraId="7973BCFF" w14:textId="65F725D6" w:rsidR="006C6EBA" w:rsidRPr="006720E4" w:rsidRDefault="006C6EBA" w:rsidP="00EA22AE">
      <w:pPr>
        <w:pStyle w:val="ListParagraph"/>
        <w:numPr>
          <w:ilvl w:val="0"/>
          <w:numId w:val="3"/>
        </w:numPr>
        <w:spacing w:after="120"/>
        <w:contextualSpacing w:val="0"/>
        <w:rPr>
          <w:rFonts w:cs="Calibri"/>
          <w:szCs w:val="22"/>
        </w:rPr>
      </w:pPr>
      <w:r w:rsidRPr="006720E4">
        <w:rPr>
          <w:rFonts w:cs="Calibri"/>
          <w:szCs w:val="22"/>
        </w:rPr>
        <w:t xml:space="preserve">the irreversible cessation of the brain functions of a person. </w:t>
      </w:r>
    </w:p>
    <w:p w14:paraId="68268203" w14:textId="740C6E6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Potential ethical considerations in the determination of death in the context of donation are </w:t>
      </w:r>
      <w:r w:rsidRPr="00BF3C95">
        <w:rPr>
          <w:rFonts w:ascii="Calibri" w:hAnsi="Calibri" w:cs="Calibri"/>
          <w:sz w:val="22"/>
          <w:szCs w:val="22"/>
        </w:rPr>
        <w:t xml:space="preserve">explored in </w:t>
      </w:r>
      <w:hyperlink w:anchor="_Ethical_considerations_in_1" w:history="1">
        <w:r w:rsidRPr="00BF3C95">
          <w:rPr>
            <w:rStyle w:val="Hyperlink"/>
            <w:rFonts w:ascii="Calibri" w:hAnsi="Calibri" w:cs="Calibri"/>
            <w:sz w:val="22"/>
            <w:szCs w:val="22"/>
          </w:rPr>
          <w:t>Chapter 1</w:t>
        </w:r>
        <w:r w:rsidR="00BF3C95" w:rsidRPr="00BF3C95">
          <w:rPr>
            <w:rStyle w:val="Hyperlink"/>
            <w:rFonts w:ascii="Calibri" w:hAnsi="Calibri" w:cs="Calibri"/>
            <w:sz w:val="22"/>
            <w:szCs w:val="22"/>
          </w:rPr>
          <w:t>1</w:t>
        </w:r>
        <w:r w:rsidRPr="00BF3C95">
          <w:rPr>
            <w:rStyle w:val="Hyperlink"/>
            <w:rFonts w:ascii="Calibri" w:hAnsi="Calibri" w:cs="Calibri"/>
            <w:sz w:val="22"/>
            <w:szCs w:val="22"/>
          </w:rPr>
          <w:t>.2</w:t>
        </w:r>
      </w:hyperlink>
      <w:r w:rsidRPr="00BF3C95">
        <w:rPr>
          <w:rFonts w:ascii="Calibri" w:hAnsi="Calibri" w:cs="Calibri"/>
          <w:sz w:val="22"/>
          <w:szCs w:val="22"/>
        </w:rPr>
        <w:t>.</w:t>
      </w:r>
      <w:bookmarkStart w:id="863" w:name="_Decision-making_for_deceased"/>
      <w:bookmarkStart w:id="864" w:name="_Toc70414818"/>
      <w:bookmarkEnd w:id="863"/>
      <w:r w:rsidR="005525CE">
        <w:rPr>
          <w:rFonts w:ascii="Calibri" w:hAnsi="Calibri" w:cs="Calibri"/>
          <w:sz w:val="22"/>
          <w:szCs w:val="22"/>
        </w:rPr>
        <w:t xml:space="preserve"> Clinical considerations in the determination of death and donation are outlined in </w:t>
      </w:r>
      <w:hyperlink w:anchor="_Determination_of_Death_2" w:history="1">
        <w:r w:rsidR="005525CE" w:rsidRPr="005525CE">
          <w:rPr>
            <w:rStyle w:val="Hyperlink"/>
            <w:rFonts w:ascii="Calibri" w:hAnsi="Calibri" w:cs="Calibri"/>
            <w:sz w:val="22"/>
            <w:szCs w:val="22"/>
          </w:rPr>
          <w:t>Chapter 2.4.1</w:t>
        </w:r>
      </w:hyperlink>
      <w:r w:rsidR="005525CE">
        <w:rPr>
          <w:rFonts w:ascii="Calibri" w:hAnsi="Calibri" w:cs="Calibri"/>
          <w:sz w:val="22"/>
          <w:szCs w:val="22"/>
        </w:rPr>
        <w:t>.</w:t>
      </w:r>
    </w:p>
    <w:p w14:paraId="2856A534" w14:textId="77777777" w:rsidR="006C6EBA" w:rsidRPr="006720E4" w:rsidRDefault="006C6EBA" w:rsidP="00EA22AE">
      <w:pPr>
        <w:pStyle w:val="Heading4"/>
        <w:spacing w:after="120"/>
      </w:pPr>
      <w:bookmarkStart w:id="865" w:name="_Decision-making_for_deceased_1"/>
      <w:bookmarkStart w:id="866" w:name="_Toc70844144"/>
      <w:bookmarkStart w:id="867" w:name="_Toc72615076"/>
      <w:bookmarkStart w:id="868" w:name="_Toc73129796"/>
      <w:bookmarkStart w:id="869" w:name="_Toc73301665"/>
      <w:bookmarkStart w:id="870" w:name="_Toc73302171"/>
      <w:bookmarkStart w:id="871" w:name="_Toc73303304"/>
      <w:bookmarkStart w:id="872" w:name="_Toc74081449"/>
      <w:bookmarkStart w:id="873" w:name="_Toc74172226"/>
      <w:bookmarkStart w:id="874" w:name="_Toc74172762"/>
      <w:bookmarkStart w:id="875" w:name="_Toc82773502"/>
      <w:bookmarkStart w:id="876" w:name="_Toc82773855"/>
      <w:bookmarkEnd w:id="865"/>
      <w:r w:rsidRPr="006720E4">
        <w:t>Decision-making for deceased donation</w:t>
      </w:r>
      <w:bookmarkEnd w:id="864"/>
      <w:bookmarkEnd w:id="866"/>
      <w:bookmarkEnd w:id="867"/>
      <w:bookmarkEnd w:id="868"/>
      <w:bookmarkEnd w:id="869"/>
      <w:bookmarkEnd w:id="870"/>
      <w:bookmarkEnd w:id="871"/>
      <w:bookmarkEnd w:id="872"/>
      <w:bookmarkEnd w:id="873"/>
      <w:bookmarkEnd w:id="874"/>
      <w:bookmarkEnd w:id="875"/>
      <w:bookmarkEnd w:id="876"/>
    </w:p>
    <w:p w14:paraId="1F0C75E3" w14:textId="44B5B83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Information about the legal governance of deceased donation decision-making, including registration on the Australian Organ Donor Registry is set out </w:t>
      </w:r>
      <w:r w:rsidRPr="00BF3C95">
        <w:rPr>
          <w:rFonts w:ascii="Calibri" w:hAnsi="Calibri" w:cs="Calibri"/>
          <w:sz w:val="22"/>
          <w:szCs w:val="22"/>
        </w:rPr>
        <w:t>in</w:t>
      </w:r>
      <w:r w:rsidRPr="00BF3C95">
        <w:rPr>
          <w:rFonts w:ascii="Calibri" w:hAnsi="Calibri" w:cs="Calibri"/>
        </w:rPr>
        <w:t xml:space="preserve"> </w:t>
      </w:r>
      <w:hyperlink w:anchor="_Consent_for_deceased_2" w:history="1">
        <w:r w:rsidRPr="00BF3C95">
          <w:rPr>
            <w:rStyle w:val="Hyperlink"/>
            <w:rFonts w:ascii="Calibri" w:hAnsi="Calibri" w:cs="Calibri"/>
            <w:sz w:val="22"/>
            <w:szCs w:val="22"/>
          </w:rPr>
          <w:t xml:space="preserve">Chapter </w:t>
        </w:r>
        <w:r w:rsidR="00412EFF" w:rsidRPr="00BF3C95">
          <w:rPr>
            <w:rStyle w:val="Hyperlink"/>
            <w:rFonts w:ascii="Calibri" w:hAnsi="Calibri" w:cs="Calibri"/>
            <w:sz w:val="22"/>
            <w:szCs w:val="22"/>
          </w:rPr>
          <w:t>4</w:t>
        </w:r>
        <w:r w:rsidRPr="00BF3C95">
          <w:rPr>
            <w:rStyle w:val="Hyperlink"/>
            <w:rFonts w:ascii="Calibri" w:hAnsi="Calibri" w:cs="Calibri"/>
            <w:sz w:val="22"/>
            <w:szCs w:val="22"/>
          </w:rPr>
          <w:t>.4.1</w:t>
        </w:r>
      </w:hyperlink>
      <w:r w:rsidRPr="006720E4">
        <w:rPr>
          <w:rFonts w:ascii="Calibri" w:hAnsi="Calibri" w:cs="Calibri"/>
          <w:sz w:val="22"/>
          <w:szCs w:val="22"/>
        </w:rPr>
        <w:t xml:space="preserve"> </w:t>
      </w:r>
    </w:p>
    <w:p w14:paraId="3C134F92" w14:textId="77777777" w:rsidR="006C6EBA" w:rsidRPr="006720E4" w:rsidRDefault="006C6EBA" w:rsidP="00EA22AE">
      <w:pPr>
        <w:pStyle w:val="Heading3"/>
        <w:spacing w:after="120"/>
      </w:pPr>
      <w:bookmarkStart w:id="877" w:name="_Decision-making_for_living"/>
      <w:bookmarkStart w:id="878" w:name="_Disclosure_of_identity"/>
      <w:bookmarkStart w:id="879" w:name="_Disclosure_of_identity_2"/>
      <w:bookmarkStart w:id="880" w:name="_Prohibition_against_trade"/>
      <w:bookmarkStart w:id="881" w:name="_Substitute_decision-making_and_1"/>
      <w:bookmarkStart w:id="882" w:name="_Privacy_legislation"/>
      <w:bookmarkStart w:id="883" w:name="_Therapeutic_Goods_Act"/>
      <w:bookmarkStart w:id="884" w:name="_Toc63683402"/>
      <w:bookmarkStart w:id="885" w:name="_Toc70241741"/>
      <w:bookmarkStart w:id="886" w:name="_Toc70243375"/>
      <w:bookmarkStart w:id="887" w:name="_Toc70414831"/>
      <w:bookmarkStart w:id="888" w:name="_Toc70844157"/>
      <w:bookmarkStart w:id="889" w:name="_Toc72615089"/>
      <w:bookmarkStart w:id="890" w:name="_Toc73129809"/>
      <w:bookmarkStart w:id="891" w:name="_Toc73301678"/>
      <w:bookmarkStart w:id="892" w:name="_Toc73302184"/>
      <w:bookmarkStart w:id="893" w:name="_Toc73303317"/>
      <w:bookmarkStart w:id="894" w:name="_Toc73303564"/>
      <w:bookmarkStart w:id="895" w:name="_Toc74080681"/>
      <w:bookmarkStart w:id="896" w:name="_Toc74080989"/>
      <w:bookmarkStart w:id="897" w:name="_Toc74081219"/>
      <w:bookmarkStart w:id="898" w:name="_Toc74081462"/>
      <w:bookmarkStart w:id="899" w:name="_Toc74171050"/>
      <w:bookmarkStart w:id="900" w:name="_Toc74172239"/>
      <w:bookmarkStart w:id="901" w:name="_Toc74172775"/>
      <w:bookmarkStart w:id="902" w:name="_Toc74238724"/>
      <w:bookmarkStart w:id="903" w:name="_Toc79406331"/>
      <w:bookmarkStart w:id="904" w:name="_Toc82773503"/>
      <w:bookmarkStart w:id="905" w:name="_Toc82773856"/>
      <w:bookmarkEnd w:id="877"/>
      <w:bookmarkEnd w:id="878"/>
      <w:bookmarkEnd w:id="879"/>
      <w:bookmarkEnd w:id="880"/>
      <w:bookmarkEnd w:id="881"/>
      <w:bookmarkEnd w:id="882"/>
      <w:bookmarkEnd w:id="883"/>
      <w:r w:rsidRPr="006720E4">
        <w:t>Therapeutic Goods Act</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4BE0602A" w14:textId="5A09658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regulatory framework under the </w:t>
      </w:r>
      <w:hyperlink r:id="rId51" w:history="1">
        <w:r w:rsidRPr="006720E4">
          <w:rPr>
            <w:rStyle w:val="Hyperlink"/>
            <w:rFonts w:ascii="Calibri" w:hAnsi="Calibri" w:cs="Calibri"/>
            <w:i/>
            <w:iCs/>
            <w:sz w:val="22"/>
            <w:szCs w:val="22"/>
          </w:rPr>
          <w:t>Therapeutic Goods Act 1989</w:t>
        </w:r>
      </w:hyperlink>
      <w:r w:rsidRPr="006720E4">
        <w:rPr>
          <w:rFonts w:ascii="Calibri" w:hAnsi="Calibri" w:cs="Calibri"/>
          <w:sz w:val="22"/>
          <w:szCs w:val="22"/>
        </w:rPr>
        <w:t xml:space="preserve"> (</w:t>
      </w:r>
      <w:proofErr w:type="spellStart"/>
      <w:r w:rsidRPr="006720E4">
        <w:rPr>
          <w:rFonts w:ascii="Calibri" w:hAnsi="Calibri" w:cs="Calibri"/>
          <w:sz w:val="22"/>
          <w:szCs w:val="22"/>
        </w:rPr>
        <w:t>Cth</w:t>
      </w:r>
      <w:proofErr w:type="spellEnd"/>
      <w:r w:rsidRPr="006720E4">
        <w:rPr>
          <w:rFonts w:ascii="Calibri" w:hAnsi="Calibri" w:cs="Calibri"/>
          <w:sz w:val="22"/>
          <w:szCs w:val="22"/>
        </w:rPr>
        <w:t>) exists for medical products that are made from or contain human cells or tissues, and which are intended to have a therapeutic purpose. That is, they are used to:</w:t>
      </w:r>
    </w:p>
    <w:p w14:paraId="79D61A13" w14:textId="77777777" w:rsidR="006C6EBA" w:rsidRPr="006720E4" w:rsidRDefault="006C6EBA" w:rsidP="00EA22AE">
      <w:pPr>
        <w:pStyle w:val="ListParagraph"/>
        <w:numPr>
          <w:ilvl w:val="0"/>
          <w:numId w:val="8"/>
        </w:numPr>
        <w:spacing w:after="120"/>
        <w:contextualSpacing w:val="0"/>
        <w:rPr>
          <w:rFonts w:cs="Calibri"/>
          <w:szCs w:val="22"/>
        </w:rPr>
      </w:pPr>
      <w:r w:rsidRPr="006720E4">
        <w:rPr>
          <w:rFonts w:cs="Calibri"/>
          <w:szCs w:val="22"/>
        </w:rPr>
        <w:t>treat or prevent disease, ailment, defect or injury</w:t>
      </w:r>
    </w:p>
    <w:p w14:paraId="25B33D8B" w14:textId="77777777" w:rsidR="006C6EBA" w:rsidRPr="006720E4" w:rsidRDefault="006C6EBA" w:rsidP="00EA22AE">
      <w:pPr>
        <w:pStyle w:val="ListParagraph"/>
        <w:numPr>
          <w:ilvl w:val="0"/>
          <w:numId w:val="7"/>
        </w:numPr>
        <w:spacing w:after="120"/>
        <w:contextualSpacing w:val="0"/>
        <w:rPr>
          <w:rFonts w:cs="Calibri"/>
          <w:szCs w:val="22"/>
        </w:rPr>
      </w:pPr>
      <w:r w:rsidRPr="006720E4">
        <w:rPr>
          <w:rFonts w:cs="Calibri"/>
          <w:szCs w:val="22"/>
        </w:rPr>
        <w:t>diagnose a condition of a person</w:t>
      </w:r>
    </w:p>
    <w:p w14:paraId="684CD409" w14:textId="77777777" w:rsidR="006C6EBA" w:rsidRPr="006720E4" w:rsidRDefault="006C6EBA" w:rsidP="00EA22AE">
      <w:pPr>
        <w:pStyle w:val="ListParagraph"/>
        <w:numPr>
          <w:ilvl w:val="0"/>
          <w:numId w:val="7"/>
        </w:numPr>
        <w:spacing w:after="120"/>
        <w:contextualSpacing w:val="0"/>
        <w:rPr>
          <w:rFonts w:cs="Calibri"/>
          <w:szCs w:val="22"/>
        </w:rPr>
      </w:pPr>
      <w:r w:rsidRPr="006720E4">
        <w:rPr>
          <w:rFonts w:cs="Calibri"/>
          <w:szCs w:val="22"/>
        </w:rPr>
        <w:t>alter the physiological processes of a person</w:t>
      </w:r>
    </w:p>
    <w:p w14:paraId="666F559A" w14:textId="77777777" w:rsidR="006C6EBA" w:rsidRPr="006720E4" w:rsidRDefault="006C6EBA" w:rsidP="00EA22AE">
      <w:pPr>
        <w:pStyle w:val="ListParagraph"/>
        <w:numPr>
          <w:ilvl w:val="0"/>
          <w:numId w:val="7"/>
        </w:numPr>
        <w:spacing w:after="120"/>
        <w:contextualSpacing w:val="0"/>
        <w:rPr>
          <w:rFonts w:cs="Calibri"/>
          <w:szCs w:val="22"/>
        </w:rPr>
      </w:pPr>
      <w:r w:rsidRPr="006720E4">
        <w:rPr>
          <w:rFonts w:cs="Calibri"/>
          <w:szCs w:val="22"/>
        </w:rPr>
        <w:t>test the susceptibility of a person to disease</w:t>
      </w:r>
    </w:p>
    <w:p w14:paraId="5833EA35" w14:textId="77777777" w:rsidR="006C6EBA" w:rsidRPr="006720E4" w:rsidRDefault="006C6EBA" w:rsidP="00EA22AE">
      <w:pPr>
        <w:pStyle w:val="ListParagraph"/>
        <w:numPr>
          <w:ilvl w:val="0"/>
          <w:numId w:val="7"/>
        </w:numPr>
        <w:spacing w:after="120"/>
        <w:contextualSpacing w:val="0"/>
        <w:rPr>
          <w:rFonts w:cs="Calibri"/>
          <w:szCs w:val="22"/>
        </w:rPr>
      </w:pPr>
      <w:r w:rsidRPr="006720E4">
        <w:rPr>
          <w:rFonts w:cs="Calibri"/>
          <w:szCs w:val="22"/>
        </w:rPr>
        <w:t>replace or modify a person's body parts.</w:t>
      </w:r>
    </w:p>
    <w:p w14:paraId="030C02E1" w14:textId="77777777" w:rsidR="00A9174C" w:rsidRDefault="00A9174C"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These types of products are known as ‘biologicals’ and they are regulated under the Biological Framework. The Framework standards specify legal requirements for biologicals, for example in relation to infectious disease minimisation, manufacturing principles, labelling requirements as well as specific requirements relevant to types of tissue.</w:t>
      </w:r>
      <w:r>
        <w:rPr>
          <w:rFonts w:ascii="Calibri" w:hAnsi="Calibri" w:cs="Calibri"/>
          <w:kern w:val="0"/>
          <w:szCs w:val="22"/>
          <w:u w:color="0000FF"/>
          <w:lang w:val="en-GB"/>
        </w:rPr>
        <w:t xml:space="preserve"> Alternative regulatory pathways exist alongside the Biological Framework.</w:t>
      </w:r>
    </w:p>
    <w:p w14:paraId="6EA46480" w14:textId="40C7F7A7" w:rsidR="00A9174C" w:rsidRPr="00A9174C" w:rsidRDefault="00A9174C" w:rsidP="00EA22AE">
      <w:pPr>
        <w:pStyle w:val="Guidelinesnormalparagraph"/>
        <w:rPr>
          <w:rFonts w:ascii="Calibri" w:hAnsi="Calibri" w:cs="Calibri"/>
          <w:kern w:val="0"/>
          <w:szCs w:val="22"/>
          <w:u w:color="0000FF"/>
          <w:lang w:val="en-GB"/>
        </w:rPr>
      </w:pPr>
      <w:r w:rsidRPr="00A9174C">
        <w:rPr>
          <w:rFonts w:cs="Calibri"/>
          <w:szCs w:val="22"/>
          <w:u w:color="0000FF"/>
          <w:lang w:val="en-GB"/>
        </w:rPr>
        <w:t>The Therapeutic Goods Administration (TGA) is the Commonwealth body that regulates and monitors therapeutic goods in Australia</w:t>
      </w:r>
      <w:r>
        <w:rPr>
          <w:rFonts w:cs="Calibri"/>
          <w:szCs w:val="22"/>
          <w:u w:color="0000FF"/>
          <w:lang w:val="en-GB"/>
        </w:rPr>
        <w:t xml:space="preserve"> (see </w:t>
      </w:r>
      <w:hyperlink w:anchor="_Therapeutics_Goods_Administration" w:history="1">
        <w:r w:rsidR="00EA22AE" w:rsidRPr="00C12F71">
          <w:rPr>
            <w:rStyle w:val="Hyperlink"/>
            <w:rFonts w:ascii="Calibri" w:hAnsi="Calibri" w:cs="Calibri"/>
            <w:szCs w:val="22"/>
          </w:rPr>
          <w:t>Chapter 2.3.5</w:t>
        </w:r>
      </w:hyperlink>
      <w:r>
        <w:rPr>
          <w:rFonts w:cs="Calibri"/>
          <w:szCs w:val="22"/>
          <w:u w:color="0000FF"/>
          <w:lang w:val="en-GB"/>
        </w:rPr>
        <w:t>)</w:t>
      </w:r>
      <w:r w:rsidRPr="00A9174C">
        <w:rPr>
          <w:rFonts w:cs="Calibri"/>
          <w:szCs w:val="22"/>
          <w:u w:color="0000FF"/>
          <w:lang w:val="en-GB"/>
        </w:rPr>
        <w:t xml:space="preserve">. It is responsible for authorising the supply of therapeutic goods through the Australian Register of Therapeutic Goods (ARTG) and </w:t>
      </w:r>
      <w:r w:rsidRPr="00A9174C">
        <w:rPr>
          <w:rFonts w:cs="Calibri"/>
          <w:szCs w:val="22"/>
          <w:u w:color="0000FF"/>
          <w:lang w:val="en-GB"/>
        </w:rPr>
        <w:lastRenderedPageBreak/>
        <w:t>monitors the quality, safety, and efficacy of therapeutic goods, such as biologicals, in Australia. It is also responsible for licensing the operation of cord blood banks in Australia</w:t>
      </w:r>
      <w:r>
        <w:rPr>
          <w:rFonts w:cs="Calibri"/>
          <w:szCs w:val="22"/>
          <w:u w:color="0000FF"/>
          <w:lang w:val="en-GB"/>
        </w:rPr>
        <w:t xml:space="preserve">. </w:t>
      </w:r>
    </w:p>
    <w:p w14:paraId="1B82F7BE" w14:textId="77777777" w:rsidR="006C6EBA" w:rsidRPr="006720E4" w:rsidRDefault="006C6EBA" w:rsidP="00EA22AE">
      <w:pPr>
        <w:pStyle w:val="Heading2"/>
        <w:spacing w:after="120"/>
      </w:pPr>
      <w:bookmarkStart w:id="906" w:name="_Ethics_of_ethical_1"/>
      <w:bookmarkStart w:id="907" w:name="_Toc79330844"/>
      <w:bookmarkStart w:id="908" w:name="_Toc79331224"/>
      <w:bookmarkStart w:id="909" w:name="_Toc79406332"/>
      <w:bookmarkStart w:id="910" w:name="_Toc82773504"/>
      <w:bookmarkStart w:id="911" w:name="_Toc82773857"/>
      <w:bookmarkStart w:id="912" w:name="_Toc128314193"/>
      <w:bookmarkStart w:id="913" w:name="_Toc135131437"/>
      <w:bookmarkEnd w:id="906"/>
      <w:r w:rsidRPr="006720E4">
        <w:t>Ethics of ethical decision-making</w:t>
      </w:r>
      <w:bookmarkEnd w:id="781"/>
      <w:bookmarkEnd w:id="782"/>
      <w:bookmarkEnd w:id="783"/>
      <w:bookmarkEnd w:id="784"/>
      <w:bookmarkEnd w:id="785"/>
      <w:bookmarkEnd w:id="786"/>
      <w:bookmarkEnd w:id="787"/>
      <w:bookmarkEnd w:id="788"/>
      <w:bookmarkEnd w:id="789"/>
      <w:bookmarkEnd w:id="813"/>
      <w:bookmarkEnd w:id="814"/>
      <w:bookmarkEnd w:id="815"/>
      <w:bookmarkEnd w:id="816"/>
      <w:bookmarkEnd w:id="817"/>
      <w:bookmarkEnd w:id="818"/>
      <w:bookmarkEnd w:id="819"/>
      <w:bookmarkEnd w:id="820"/>
      <w:bookmarkEnd w:id="821"/>
      <w:bookmarkEnd w:id="822"/>
      <w:bookmarkEnd w:id="823"/>
      <w:bookmarkEnd w:id="824"/>
      <w:bookmarkEnd w:id="825"/>
      <w:bookmarkEnd w:id="907"/>
      <w:bookmarkEnd w:id="908"/>
      <w:bookmarkEnd w:id="909"/>
      <w:bookmarkEnd w:id="910"/>
      <w:bookmarkEnd w:id="911"/>
      <w:bookmarkEnd w:id="912"/>
      <w:bookmarkEnd w:id="913"/>
    </w:p>
    <w:p w14:paraId="0A66E8D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health professionals, ethical decision-making, like clinical decision-making, requires effort and training, use of relevant resources such as guidelines and consultation with more expert sources of advice when necessary. Ethical decision-making itself should be conducted ethically; decision-making that is marred by miscommunication, deception, or prejudices cannot not lead to ethically justifiable courses of action.</w:t>
      </w:r>
    </w:p>
    <w:p w14:paraId="28FFA8D9" w14:textId="77777777" w:rsidR="006C6EBA" w:rsidRPr="006720E4" w:rsidRDefault="006C6EBA" w:rsidP="00EA22AE">
      <w:pPr>
        <w:pStyle w:val="Heading3"/>
        <w:spacing w:after="120"/>
      </w:pPr>
      <w:bookmarkStart w:id="914" w:name="_Responsibilities_of_health"/>
      <w:bookmarkStart w:id="915" w:name="_Toc70414805"/>
      <w:bookmarkStart w:id="916" w:name="_Toc70844134"/>
      <w:bookmarkStart w:id="917" w:name="_Toc72615066"/>
      <w:bookmarkStart w:id="918" w:name="_Toc73129786"/>
      <w:bookmarkStart w:id="919" w:name="_Toc73301655"/>
      <w:bookmarkStart w:id="920" w:name="_Toc73302161"/>
      <w:bookmarkStart w:id="921" w:name="_Toc73303294"/>
      <w:bookmarkStart w:id="922" w:name="_Toc73303554"/>
      <w:bookmarkStart w:id="923" w:name="_Toc74080671"/>
      <w:bookmarkStart w:id="924" w:name="_Toc74080979"/>
      <w:bookmarkStart w:id="925" w:name="_Toc74081209"/>
      <w:bookmarkStart w:id="926" w:name="_Toc74081439"/>
      <w:bookmarkStart w:id="927" w:name="_Toc74171040"/>
      <w:bookmarkStart w:id="928" w:name="_Toc74172216"/>
      <w:bookmarkStart w:id="929" w:name="_Toc74172752"/>
      <w:bookmarkStart w:id="930" w:name="_Toc74238714"/>
      <w:bookmarkStart w:id="931" w:name="_Toc79406333"/>
      <w:bookmarkStart w:id="932" w:name="_Toc82773505"/>
      <w:bookmarkStart w:id="933" w:name="_Toc82773858"/>
      <w:bookmarkEnd w:id="914"/>
      <w:r w:rsidRPr="006720E4">
        <w:t>Responsibilities of health professionals when making ethical decisions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72FD4267"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Health professionals should strive to demonstrate the following behaviours and attitudes in their approach to ethical decision-making:</w:t>
      </w:r>
    </w:p>
    <w:p w14:paraId="78E964BF" w14:textId="77777777" w:rsidR="006C6EBA" w:rsidRPr="006720E4" w:rsidRDefault="006C6EBA" w:rsidP="00EA22AE">
      <w:pPr>
        <w:pStyle w:val="ListParagraph"/>
        <w:numPr>
          <w:ilvl w:val="0"/>
          <w:numId w:val="10"/>
        </w:numPr>
        <w:spacing w:after="120"/>
        <w:contextualSpacing w:val="0"/>
        <w:rPr>
          <w:rFonts w:cs="Calibri"/>
          <w:szCs w:val="22"/>
        </w:rPr>
      </w:pPr>
      <w:r w:rsidRPr="006720E4">
        <w:rPr>
          <w:rFonts w:cs="Calibri"/>
          <w:b/>
          <w:bCs/>
          <w:szCs w:val="22"/>
        </w:rPr>
        <w:t>Openness</w:t>
      </w:r>
      <w:r w:rsidRPr="006720E4">
        <w:rPr>
          <w:rFonts w:cs="Calibri"/>
          <w:szCs w:val="22"/>
        </w:rPr>
        <w:t>: be open to new information and ideas from a variety of sources;</w:t>
      </w:r>
    </w:p>
    <w:p w14:paraId="2CCAF2FE" w14:textId="26F48B32" w:rsidR="006C6EBA" w:rsidRPr="006720E4" w:rsidRDefault="006C6EBA" w:rsidP="00EA22AE">
      <w:pPr>
        <w:pStyle w:val="ListParagraph"/>
        <w:numPr>
          <w:ilvl w:val="0"/>
          <w:numId w:val="10"/>
        </w:numPr>
        <w:spacing w:after="120"/>
        <w:contextualSpacing w:val="0"/>
        <w:rPr>
          <w:rFonts w:cs="Calibri"/>
          <w:szCs w:val="22"/>
        </w:rPr>
      </w:pPr>
      <w:r w:rsidRPr="006720E4">
        <w:rPr>
          <w:rFonts w:cs="Calibri"/>
          <w:b/>
          <w:bCs/>
          <w:szCs w:val="22"/>
        </w:rPr>
        <w:t>Reflexivity</w:t>
      </w:r>
      <w:r w:rsidRPr="006720E4">
        <w:rPr>
          <w:rFonts w:cs="Calibri"/>
          <w:szCs w:val="22"/>
        </w:rPr>
        <w:t>: consider their own position explicitly, and reflect on perspectives, experiences and potential biases that might influence their view of a particular situation or issue;</w:t>
      </w:r>
    </w:p>
    <w:p w14:paraId="00D8BAA4" w14:textId="2632F956" w:rsidR="006C6EBA" w:rsidRPr="006720E4" w:rsidRDefault="006C6EBA" w:rsidP="00EA22AE">
      <w:pPr>
        <w:pStyle w:val="ListParagraph"/>
        <w:numPr>
          <w:ilvl w:val="0"/>
          <w:numId w:val="10"/>
        </w:numPr>
        <w:spacing w:after="120"/>
        <w:contextualSpacing w:val="0"/>
        <w:jc w:val="both"/>
        <w:rPr>
          <w:rFonts w:cs="Calibri"/>
          <w:szCs w:val="22"/>
        </w:rPr>
      </w:pPr>
      <w:r w:rsidRPr="006720E4">
        <w:rPr>
          <w:rFonts w:cs="Calibri"/>
          <w:b/>
          <w:bCs/>
          <w:szCs w:val="22"/>
        </w:rPr>
        <w:t>Cultural humility</w:t>
      </w:r>
      <w:r w:rsidRPr="006720E4">
        <w:rPr>
          <w:rFonts w:cs="Calibri"/>
          <w:szCs w:val="22"/>
        </w:rPr>
        <w:t>: engage in interpersonal thinking and actions that are responsive to the aspects of each person’s cultural identity that are important to them;</w:t>
      </w:r>
      <w:r w:rsidRPr="006720E4">
        <w:rPr>
          <w:rFonts w:cs="Calibri"/>
          <w:szCs w:val="22"/>
        </w:rPr>
        <w:fldChar w:fldCharType="begin" w:fldLock="1"/>
      </w:r>
      <w:r w:rsidR="00EB088B">
        <w:rPr>
          <w:rFonts w:cs="Calibri"/>
          <w:szCs w:val="22"/>
        </w:rPr>
        <w:instrText>ADDIN CSL_CITATION {"citationItems":[{"id":"ITEM-1","itemData":{"DOI":"10.1037/a0032595","ISSN":"00220167","PMID":"23647387","abstract":"Building on recent theory stressing multicultural orientation, as well as the development of virtues and dispositions associated with multicultural values, we introduce the construct of cultural humility, defined as having an interpersonal stance that is other-oriented rather than self-focused, characterized by respect and lack of superiority toward an individual's cultural background and experience. In 4 studies, we provide evidence for the estimated reliability and construct validity of a client-rated measure of a therapist's cultural humility, and we demonstrate that client perceptions of their therapist's cultural humility are positively associated with developing a strong working alliance. Furthermore, client perceptions of their therapist's cultural humility were positively associated with improvement in therapy, and this relationship was mediated by a strong working alliance. We consider implications for research, practice, and training. © 2013 American Psychological Association.","author":[{"dropping-particle":"","family":"Hook","given":"Joshua N.","non-dropping-particle":"","parse-names":false,"suffix":""},{"dropping-particle":"","family":"Davis","given":"Don E.","non-dropping-particle":"","parse-names":false,"suffix":""},{"dropping-particle":"","family":"Owen","given":"Jesse","non-dropping-particle":"","parse-names":false,"suffix":""},{"dropping-particle":"","family":"Worthington","given":"Everett L.","non-dropping-particle":"","parse-names":false,"suffix":""},{"dropping-particle":"","family":"Utsey","given":"Shawn O.","non-dropping-particle":"","parse-names":false,"suffix":""}],"container-title":"Journal of Counseling Psychology","id":"ITEM-1","issue":"3","issued":{"date-parts":[["2013"]]},"page":"353-366","title":"Cultural humility: Measuring openness to culturally diverse clients","type":"article-journal","volume":"60"},"uris":["http://www.mendeley.com/documents/?uuid=be43addc-eb42-4003-859f-a3e8829dd5ff"]}],"mendeley":{"formattedCitation":"(39)","plainTextFormattedCitation":"(39)","previouslyFormattedCitation":"(39)"},"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(39)</w:t>
      </w:r>
      <w:r w:rsidRPr="006720E4">
        <w:rPr>
          <w:rFonts w:cs="Calibri"/>
          <w:szCs w:val="22"/>
        </w:rPr>
        <w:fldChar w:fldCharType="end"/>
      </w:r>
      <w:r w:rsidRPr="006720E4">
        <w:rPr>
          <w:rFonts w:cs="Calibri"/>
          <w:szCs w:val="22"/>
        </w:rPr>
        <w:t xml:space="preserve"> </w:t>
      </w:r>
    </w:p>
    <w:p w14:paraId="157CDA2E" w14:textId="77777777" w:rsidR="006C6EBA" w:rsidRPr="006720E4" w:rsidRDefault="006C6EBA" w:rsidP="00EA22AE">
      <w:pPr>
        <w:pStyle w:val="ListParagraph"/>
        <w:numPr>
          <w:ilvl w:val="0"/>
          <w:numId w:val="10"/>
        </w:numPr>
        <w:spacing w:after="120"/>
        <w:contextualSpacing w:val="0"/>
        <w:rPr>
          <w:rFonts w:cs="Calibri"/>
          <w:szCs w:val="22"/>
        </w:rPr>
      </w:pPr>
      <w:r w:rsidRPr="006720E4">
        <w:rPr>
          <w:rFonts w:cs="Calibri"/>
          <w:b/>
          <w:bCs/>
          <w:szCs w:val="22"/>
        </w:rPr>
        <w:t>Impartiality</w:t>
      </w:r>
      <w:r w:rsidRPr="006720E4">
        <w:rPr>
          <w:rFonts w:cs="Calibri"/>
          <w:szCs w:val="22"/>
        </w:rPr>
        <w:t>: treat like situations alike, and consider information objectively, while being mindful of individual patients’ situations and needs;</w:t>
      </w:r>
    </w:p>
    <w:p w14:paraId="71CADDD1" w14:textId="0E8CCDB7" w:rsidR="006C6EBA" w:rsidRPr="006720E4" w:rsidRDefault="006C6EBA" w:rsidP="00EA22AE">
      <w:pPr>
        <w:pStyle w:val="ListParagraph"/>
        <w:numPr>
          <w:ilvl w:val="0"/>
          <w:numId w:val="10"/>
        </w:numPr>
        <w:spacing w:after="120"/>
        <w:contextualSpacing w:val="0"/>
        <w:rPr>
          <w:rFonts w:cs="Calibri"/>
          <w:szCs w:val="22"/>
        </w:rPr>
      </w:pPr>
      <w:r w:rsidRPr="006720E4">
        <w:rPr>
          <w:rFonts w:cs="Calibri"/>
          <w:b/>
          <w:bCs/>
          <w:szCs w:val="22"/>
        </w:rPr>
        <w:t>Transparency</w:t>
      </w:r>
      <w:r w:rsidRPr="006720E4">
        <w:rPr>
          <w:rFonts w:cs="Calibri"/>
          <w:szCs w:val="22"/>
        </w:rPr>
        <w:t>: communicate clearly the information, actions and reasoning relevant to an ethical decision throughout the decision-making process to affected parties;</w:t>
      </w:r>
    </w:p>
    <w:p w14:paraId="0EAC8EBB" w14:textId="77777777" w:rsidR="006C6EBA" w:rsidRPr="006720E4" w:rsidRDefault="006C6EBA" w:rsidP="00EA22AE">
      <w:pPr>
        <w:pStyle w:val="ListParagraph"/>
        <w:numPr>
          <w:ilvl w:val="0"/>
          <w:numId w:val="10"/>
        </w:numPr>
        <w:spacing w:after="120"/>
        <w:contextualSpacing w:val="0"/>
        <w:rPr>
          <w:rFonts w:cs="Calibri"/>
          <w:szCs w:val="22"/>
        </w:rPr>
      </w:pPr>
      <w:r w:rsidRPr="006720E4">
        <w:rPr>
          <w:rFonts w:cs="Calibri"/>
          <w:b/>
          <w:bCs/>
          <w:szCs w:val="22"/>
        </w:rPr>
        <w:t>Integrity</w:t>
      </w:r>
      <w:r w:rsidRPr="006720E4">
        <w:rPr>
          <w:rFonts w:cs="Calibri"/>
          <w:szCs w:val="22"/>
        </w:rPr>
        <w:t>: be honest and trustworthy in actions and decisions;</w:t>
      </w:r>
    </w:p>
    <w:p w14:paraId="0CEC581B" w14:textId="4ABCA312" w:rsidR="006C6EBA" w:rsidRPr="006720E4" w:rsidRDefault="006C6EBA" w:rsidP="00EA22AE">
      <w:pPr>
        <w:pStyle w:val="ListParagraph"/>
        <w:numPr>
          <w:ilvl w:val="0"/>
          <w:numId w:val="10"/>
        </w:numPr>
        <w:spacing w:after="120"/>
        <w:contextualSpacing w:val="0"/>
        <w:rPr>
          <w:rFonts w:cs="Calibri"/>
          <w:szCs w:val="22"/>
        </w:rPr>
      </w:pPr>
      <w:r w:rsidRPr="006720E4">
        <w:rPr>
          <w:rFonts w:cs="Calibri"/>
          <w:b/>
          <w:bCs/>
          <w:szCs w:val="22"/>
        </w:rPr>
        <w:t>Accountability</w:t>
      </w:r>
      <w:r w:rsidRPr="006720E4">
        <w:rPr>
          <w:rFonts w:cs="Calibri"/>
          <w:szCs w:val="22"/>
        </w:rPr>
        <w:t>: provide opportunities for others including patients, their families or substitute decision-makers, and colleagues to discuss and evaluate decisions and their outcomes, and acknowledge and respond to feedback.</w:t>
      </w:r>
    </w:p>
    <w:p w14:paraId="61FCB1D0" w14:textId="77777777" w:rsidR="006C6EBA" w:rsidRPr="006720E4" w:rsidRDefault="006C6EBA" w:rsidP="00EA22AE">
      <w:pPr>
        <w:pStyle w:val="Heading3"/>
        <w:spacing w:after="120"/>
      </w:pPr>
      <w:bookmarkStart w:id="934" w:name="_Moral_distress"/>
      <w:bookmarkStart w:id="935" w:name="_Promoting_impartiality_in"/>
      <w:bookmarkStart w:id="936" w:name="_Toc70414806"/>
      <w:bookmarkStart w:id="937" w:name="_Toc70844135"/>
      <w:bookmarkStart w:id="938" w:name="_Toc72615067"/>
      <w:bookmarkStart w:id="939" w:name="_Toc73129787"/>
      <w:bookmarkStart w:id="940" w:name="_Toc73301656"/>
      <w:bookmarkStart w:id="941" w:name="_Toc73302162"/>
      <w:bookmarkStart w:id="942" w:name="_Toc73303295"/>
      <w:bookmarkStart w:id="943" w:name="_Toc73303555"/>
      <w:bookmarkStart w:id="944" w:name="_Toc74080672"/>
      <w:bookmarkStart w:id="945" w:name="_Toc74080980"/>
      <w:bookmarkStart w:id="946" w:name="_Toc74081210"/>
      <w:bookmarkStart w:id="947" w:name="_Toc74081440"/>
      <w:bookmarkStart w:id="948" w:name="_Toc74171041"/>
      <w:bookmarkStart w:id="949" w:name="_Toc74172217"/>
      <w:bookmarkStart w:id="950" w:name="_Toc74172753"/>
      <w:bookmarkStart w:id="951" w:name="_Toc74238715"/>
      <w:bookmarkStart w:id="952" w:name="_Toc79406334"/>
      <w:bookmarkStart w:id="953" w:name="_Toc82773506"/>
      <w:bookmarkStart w:id="954" w:name="_Toc82773859"/>
      <w:bookmarkStart w:id="955" w:name="_Toc70241733"/>
      <w:bookmarkStart w:id="956" w:name="_Toc70243367"/>
      <w:bookmarkStart w:id="957" w:name="_Toc63683397"/>
      <w:bookmarkStart w:id="958" w:name="_Toc70241735"/>
      <w:bookmarkStart w:id="959" w:name="_Toc70243369"/>
      <w:bookmarkStart w:id="960" w:name="_Toc70328722"/>
      <w:bookmarkStart w:id="961" w:name="_Toc70333952"/>
      <w:bookmarkEnd w:id="934"/>
      <w:bookmarkEnd w:id="935"/>
      <w:r w:rsidRPr="006720E4">
        <w:t>Promoting impartiality in ethical decision-making</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33E5ED3C" w14:textId="0EC3F248" w:rsidR="002F14F9" w:rsidRPr="006720E4" w:rsidRDefault="00412EFF" w:rsidP="00EA22AE">
      <w:pPr>
        <w:spacing w:after="120"/>
        <w:rPr>
          <w:rFonts w:ascii="Calibri" w:hAnsi="Calibri" w:cs="Calibri"/>
          <w:sz w:val="22"/>
          <w:szCs w:val="22"/>
        </w:rPr>
      </w:pPr>
      <w:r w:rsidRPr="006720E4">
        <w:rPr>
          <w:rFonts w:ascii="Calibri" w:hAnsi="Calibri" w:cs="Calibri"/>
          <w:sz w:val="22"/>
          <w:szCs w:val="22"/>
        </w:rPr>
        <w:t>As noted in Principle 3, decision-making about donation and transplantation should be free from bias or unfair discrimination (see</w:t>
      </w:r>
      <w:r w:rsidR="002F14F9" w:rsidRPr="006720E4">
        <w:rPr>
          <w:rFonts w:ascii="Calibri" w:hAnsi="Calibri" w:cs="Calibri"/>
          <w:sz w:val="22"/>
          <w:szCs w:val="22"/>
        </w:rPr>
        <w:t xml:space="preserve"> </w:t>
      </w:r>
      <w:hyperlink w:anchor="_Principle_3._Decision-making" w:history="1">
        <w:r w:rsidRPr="006720E4">
          <w:rPr>
            <w:rStyle w:val="Hyperlink"/>
            <w:rFonts w:ascii="Calibri" w:hAnsi="Calibri" w:cs="Calibri"/>
            <w:sz w:val="22"/>
            <w:szCs w:val="22"/>
            <w:lang w:val="en-GB"/>
          </w:rPr>
          <w:t>Chapter 3.3.3</w:t>
        </w:r>
      </w:hyperlink>
      <w:r w:rsidR="00C152F8" w:rsidRPr="006720E4">
        <w:rPr>
          <w:rFonts w:ascii="Calibri" w:hAnsi="Calibri" w:cs="Calibri"/>
          <w:sz w:val="22"/>
          <w:szCs w:val="22"/>
          <w:u w:color="0000FF"/>
          <w:lang w:val="en-GB"/>
        </w:rPr>
        <w:t xml:space="preserve">) as a matter of procedural </w:t>
      </w:r>
      <w:r w:rsidR="00C152F8" w:rsidRPr="00CB5556">
        <w:rPr>
          <w:rFonts w:ascii="Calibri" w:hAnsi="Calibri" w:cs="Calibri"/>
          <w:sz w:val="22"/>
          <w:szCs w:val="22"/>
          <w:u w:color="0000FF"/>
          <w:lang w:val="en-GB"/>
        </w:rPr>
        <w:t xml:space="preserve">justice (see </w:t>
      </w:r>
      <w:hyperlink w:anchor="_Procedural_justice_and" w:history="1">
        <w:r w:rsidR="00C152F8" w:rsidRPr="00CB5556">
          <w:rPr>
            <w:rStyle w:val="Hyperlink"/>
            <w:rFonts w:ascii="Calibri" w:hAnsi="Calibri" w:cs="Calibri"/>
            <w:sz w:val="22"/>
            <w:szCs w:val="22"/>
            <w:lang w:val="en-GB"/>
          </w:rPr>
          <w:t>Chapter 3.6.3</w:t>
        </w:r>
      </w:hyperlink>
      <w:r w:rsidRPr="00CB5556">
        <w:rPr>
          <w:rFonts w:ascii="Calibri" w:hAnsi="Calibri" w:cs="Calibri"/>
          <w:sz w:val="22"/>
          <w:szCs w:val="22"/>
        </w:rPr>
        <w:t>). Promoting impartiality in ethical decision-making requires attention to how</w:t>
      </w:r>
      <w:r w:rsidR="003C073A" w:rsidRPr="00CB5556">
        <w:rPr>
          <w:rFonts w:ascii="Calibri" w:hAnsi="Calibri" w:cs="Calibri"/>
          <w:sz w:val="22"/>
          <w:szCs w:val="22"/>
        </w:rPr>
        <w:t xml:space="preserve"> and what</w:t>
      </w:r>
      <w:r w:rsidRPr="00CB5556">
        <w:rPr>
          <w:rFonts w:ascii="Calibri" w:hAnsi="Calibri" w:cs="Calibri"/>
          <w:sz w:val="22"/>
          <w:szCs w:val="22"/>
        </w:rPr>
        <w:t xml:space="preserve"> information is</w:t>
      </w:r>
      <w:r w:rsidRPr="006720E4">
        <w:rPr>
          <w:rFonts w:ascii="Calibri" w:hAnsi="Calibri" w:cs="Calibri"/>
          <w:sz w:val="22"/>
          <w:szCs w:val="22"/>
        </w:rPr>
        <w:t xml:space="preserve"> gathered, evaluated, communicated, and used in decision-making</w:t>
      </w:r>
      <w:r w:rsidR="003C073A" w:rsidRPr="006720E4">
        <w:rPr>
          <w:rFonts w:ascii="Calibri" w:hAnsi="Calibri" w:cs="Calibri"/>
          <w:sz w:val="22"/>
          <w:szCs w:val="22"/>
        </w:rPr>
        <w:t>.</w:t>
      </w:r>
    </w:p>
    <w:p w14:paraId="4F26E65C" w14:textId="014D78D3"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How information is gathered and evaluated</w:t>
      </w:r>
      <w:r w:rsidRPr="006720E4">
        <w:rPr>
          <w:rFonts w:ascii="Calibri" w:hAnsi="Calibri" w:cs="Calibri"/>
          <w:sz w:val="22"/>
          <w:szCs w:val="22"/>
        </w:rPr>
        <w:t xml:space="preserve"> may be inappropriately influenced by various forms of bias which leads to poor quality of ethical decision making. Lack of objectivity in evaluation of potential benefits and risks of donation or transplantation, for example, may result in decisions that exacerbate inequities in access to transplantation or prevent the opportunity for an individual to become a </w:t>
      </w:r>
      <w:r w:rsidRPr="00CB5556">
        <w:rPr>
          <w:rFonts w:ascii="Calibri" w:hAnsi="Calibri" w:cs="Calibri"/>
          <w:sz w:val="22"/>
          <w:szCs w:val="22"/>
        </w:rPr>
        <w:t xml:space="preserve">donor (see </w:t>
      </w:r>
      <w:hyperlink w:anchor="_Determining_proportionality_and" w:history="1">
        <w:r w:rsidRPr="00CB5556">
          <w:rPr>
            <w:rStyle w:val="Hyperlink"/>
            <w:rFonts w:ascii="Calibri" w:hAnsi="Calibri" w:cs="Calibri"/>
            <w:sz w:val="22"/>
            <w:szCs w:val="22"/>
          </w:rPr>
          <w:t xml:space="preserve">Chapter </w:t>
        </w:r>
        <w:r w:rsidR="003C073A" w:rsidRPr="00CB5556">
          <w:rPr>
            <w:rStyle w:val="Hyperlink"/>
            <w:rFonts w:ascii="Calibri" w:hAnsi="Calibri" w:cs="Calibri"/>
            <w:sz w:val="22"/>
            <w:szCs w:val="22"/>
          </w:rPr>
          <w:t>6</w:t>
        </w:r>
        <w:r w:rsidRPr="00CB5556">
          <w:rPr>
            <w:rStyle w:val="Hyperlink"/>
            <w:rFonts w:ascii="Calibri" w:hAnsi="Calibri" w:cs="Calibri"/>
            <w:sz w:val="22"/>
            <w:szCs w:val="22"/>
          </w:rPr>
          <w:t>.1.4</w:t>
        </w:r>
      </w:hyperlink>
      <w:r w:rsidRPr="00CB5556">
        <w:rPr>
          <w:rFonts w:ascii="Calibri" w:hAnsi="Calibri" w:cs="Calibri"/>
          <w:sz w:val="22"/>
          <w:szCs w:val="22"/>
        </w:rPr>
        <w:t>).</w:t>
      </w:r>
    </w:p>
    <w:p w14:paraId="22602B6B" w14:textId="57ED58E7"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How information is communicated</w:t>
      </w:r>
      <w:r w:rsidRPr="006720E4">
        <w:rPr>
          <w:rFonts w:ascii="Calibri" w:hAnsi="Calibri" w:cs="Calibri"/>
          <w:sz w:val="22"/>
          <w:szCs w:val="22"/>
        </w:rPr>
        <w:t xml:space="preserve"> is important not only to promote understanding but to avoid undue influence or manipulation of the beliefs and preferences of decision-makers by health professionals who are supporting decision-making. For example, when communicating risks and benefits of donation or transplantation to patients or their substitute decision-makers, health professionals may be influenced by their own beliefs and preferences, limitations of their clinical knowledge, workplace practices and cultures, or a paternalistic desire to protect patients from harm. These factors may lead to bias in the communication of information to patients and others who may be involved in decision-making. </w:t>
      </w:r>
    </w:p>
    <w:p w14:paraId="5E6E7319" w14:textId="47787D9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Information should be provided to decision-makers in a way that respects their autonomy, recognizes potential diversity in attitudes and values, and ensures relevant evidence is communicated impartially. </w:t>
      </w:r>
    </w:p>
    <w:p w14:paraId="09E399D3" w14:textId="1C57B4DA" w:rsidR="00F94CE6" w:rsidRPr="006720E4" w:rsidRDefault="00F94CE6" w:rsidP="00EA22AE">
      <w:pPr>
        <w:pStyle w:val="Heading3"/>
        <w:spacing w:after="120"/>
      </w:pPr>
      <w:bookmarkStart w:id="962" w:name="_Procedural_justice_and"/>
      <w:bookmarkEnd w:id="962"/>
      <w:r w:rsidRPr="006720E4">
        <w:t xml:space="preserve">Procedural justice </w:t>
      </w:r>
      <w:r w:rsidR="00C152F8" w:rsidRPr="006720E4">
        <w:t xml:space="preserve">and inclusivity </w:t>
      </w:r>
      <w:r w:rsidRPr="006720E4">
        <w:t>in decision-making</w:t>
      </w:r>
    </w:p>
    <w:p w14:paraId="4B085AA6" w14:textId="2A86968E" w:rsidR="00C152F8" w:rsidRPr="006720E4" w:rsidRDefault="00C152F8" w:rsidP="00EA22AE">
      <w:pPr>
        <w:spacing w:after="120"/>
        <w:rPr>
          <w:rFonts w:ascii="Calibri" w:hAnsi="Calibri" w:cs="Calibri"/>
          <w:sz w:val="22"/>
          <w:szCs w:val="22"/>
        </w:rPr>
      </w:pPr>
      <w:r w:rsidRPr="006720E4">
        <w:rPr>
          <w:rFonts w:ascii="Calibri" w:hAnsi="Calibri" w:cs="Calibri"/>
          <w:sz w:val="22"/>
          <w:szCs w:val="22"/>
        </w:rPr>
        <w:t>Decision-making relating to p</w:t>
      </w:r>
      <w:r w:rsidR="00F94CE6" w:rsidRPr="006720E4">
        <w:rPr>
          <w:rFonts w:ascii="Calibri" w:hAnsi="Calibri" w:cs="Calibri"/>
          <w:sz w:val="22"/>
          <w:szCs w:val="22"/>
        </w:rPr>
        <w:t>olicy, practice and governance of donation and transplantation activities should be procedurally fair</w:t>
      </w:r>
      <w:r w:rsidRPr="006720E4">
        <w:rPr>
          <w:rFonts w:ascii="Calibri" w:hAnsi="Calibri" w:cs="Calibri"/>
          <w:sz w:val="22"/>
          <w:szCs w:val="22"/>
        </w:rPr>
        <w:t xml:space="preserve">. This requires equitable inclusion of relevant stakeholders or their representatives in decision-making, and transparency in decision-making. </w:t>
      </w:r>
    </w:p>
    <w:p w14:paraId="1A8A6002" w14:textId="77777777" w:rsidR="00C152F8" w:rsidRPr="006720E4" w:rsidRDefault="00C152F8" w:rsidP="00EA22AE">
      <w:pPr>
        <w:spacing w:after="120"/>
        <w:rPr>
          <w:rFonts w:ascii="Calibri" w:hAnsi="Calibri" w:cs="Calibri"/>
          <w:sz w:val="22"/>
          <w:szCs w:val="22"/>
        </w:rPr>
      </w:pPr>
      <w:r w:rsidRPr="006720E4">
        <w:rPr>
          <w:rFonts w:ascii="Calibri" w:hAnsi="Calibri" w:cs="Calibri"/>
          <w:sz w:val="22"/>
          <w:szCs w:val="22"/>
        </w:rPr>
        <w:t>Representatives of stakeholders including donors, donor family members and transplant recipients should routinely be involved in decision-making about donation and transplantation policies and governance of donation and transplantation programs and activities.</w:t>
      </w:r>
    </w:p>
    <w:p w14:paraId="5DA9048A" w14:textId="084A8CB2" w:rsidR="00C152F8" w:rsidRPr="006720E4" w:rsidRDefault="00C152F8" w:rsidP="00EA22AE">
      <w:pPr>
        <w:spacing w:after="120"/>
        <w:rPr>
          <w:rFonts w:ascii="Calibri" w:hAnsi="Calibri" w:cs="Calibri"/>
          <w:sz w:val="22"/>
          <w:szCs w:val="22"/>
        </w:rPr>
      </w:pPr>
      <w:r w:rsidRPr="006720E4">
        <w:rPr>
          <w:rFonts w:ascii="Calibri" w:hAnsi="Calibri" w:cs="Calibri"/>
          <w:sz w:val="22"/>
          <w:szCs w:val="22"/>
        </w:rPr>
        <w:t>Stakeholder representatives should reflect the diversity of people whom they represent and be inclusive of First Nations peoples, and people from culturally and linguistically diverse communities.</w:t>
      </w:r>
    </w:p>
    <w:p w14:paraId="020423CD" w14:textId="175F89C6" w:rsidR="00C152F8" w:rsidRPr="006720E4" w:rsidRDefault="00C152F8" w:rsidP="00EA22AE">
      <w:pPr>
        <w:spacing w:after="120"/>
        <w:rPr>
          <w:rFonts w:ascii="Calibri" w:hAnsi="Calibri" w:cs="Calibri"/>
          <w:sz w:val="22"/>
          <w:szCs w:val="22"/>
        </w:rPr>
      </w:pPr>
      <w:r w:rsidRPr="006720E4">
        <w:rPr>
          <w:rFonts w:ascii="Calibri" w:hAnsi="Calibri" w:cs="Calibri"/>
          <w:sz w:val="22"/>
          <w:szCs w:val="22"/>
        </w:rPr>
        <w:t>Inclusivity in decision-making requires</w:t>
      </w:r>
      <w:r w:rsidR="00CC3B28" w:rsidRPr="006720E4">
        <w:rPr>
          <w:rFonts w:ascii="Calibri" w:hAnsi="Calibri" w:cs="Calibri"/>
          <w:sz w:val="22"/>
          <w:szCs w:val="22"/>
        </w:rPr>
        <w:t xml:space="preserve"> </w:t>
      </w:r>
      <w:r w:rsidRPr="006720E4">
        <w:rPr>
          <w:rFonts w:ascii="Calibri" w:hAnsi="Calibri" w:cs="Calibri"/>
          <w:sz w:val="22"/>
          <w:szCs w:val="22"/>
        </w:rPr>
        <w:t>efforts to identify and address potential cultural, linguistic, literacy and other barriers to communication and participation in decision-making</w:t>
      </w:r>
      <w:r w:rsidR="00CC3B28" w:rsidRPr="006720E4">
        <w:rPr>
          <w:rFonts w:ascii="Calibri" w:hAnsi="Calibri" w:cs="Calibri"/>
          <w:sz w:val="22"/>
          <w:szCs w:val="22"/>
        </w:rPr>
        <w:t>; it also requires a cultural safe decision-making environment.</w:t>
      </w:r>
    </w:p>
    <w:p w14:paraId="70A99684" w14:textId="12D404F5" w:rsidR="00CC3B28" w:rsidRPr="006720E4" w:rsidRDefault="00CC3B28" w:rsidP="00EA22AE">
      <w:pPr>
        <w:spacing w:after="120"/>
        <w:rPr>
          <w:rFonts w:ascii="Calibri" w:hAnsi="Calibri" w:cs="Calibri"/>
          <w:sz w:val="22"/>
          <w:szCs w:val="22"/>
        </w:rPr>
      </w:pPr>
      <w:r w:rsidRPr="006720E4">
        <w:rPr>
          <w:rFonts w:ascii="Calibri" w:hAnsi="Calibri" w:cs="Calibri"/>
          <w:sz w:val="22"/>
          <w:szCs w:val="22"/>
        </w:rPr>
        <w:t xml:space="preserve">A culturally safe environment for decision-making about donation and </w:t>
      </w:r>
      <w:r w:rsidRPr="004F318F">
        <w:rPr>
          <w:rFonts w:ascii="Calibri" w:hAnsi="Calibri" w:cs="Calibri"/>
          <w:sz w:val="22"/>
          <w:szCs w:val="22"/>
        </w:rPr>
        <w:t xml:space="preserve">transplantation (see </w:t>
      </w:r>
      <w:hyperlink w:anchor="_Cultural_safety" w:history="1">
        <w:r w:rsidRPr="004F318F">
          <w:rPr>
            <w:rStyle w:val="Hyperlink"/>
            <w:rFonts w:ascii="Calibri" w:hAnsi="Calibri" w:cs="Calibri"/>
            <w:sz w:val="22"/>
            <w:szCs w:val="22"/>
          </w:rPr>
          <w:t>Chapter 3.4.2</w:t>
        </w:r>
      </w:hyperlink>
      <w:r w:rsidRPr="004F318F">
        <w:rPr>
          <w:rFonts w:ascii="Calibri" w:hAnsi="Calibri" w:cs="Calibri"/>
          <w:sz w:val="22"/>
          <w:szCs w:val="22"/>
        </w:rPr>
        <w:t>). This requires:</w:t>
      </w:r>
    </w:p>
    <w:p w14:paraId="3500361F" w14:textId="77777777" w:rsidR="00CC3B28" w:rsidRPr="006720E4" w:rsidRDefault="00CC3B28" w:rsidP="00C3783C">
      <w:pPr>
        <w:pStyle w:val="ListParagraph"/>
        <w:numPr>
          <w:ilvl w:val="0"/>
          <w:numId w:val="131"/>
        </w:numPr>
        <w:spacing w:after="120"/>
        <w:contextualSpacing w:val="0"/>
        <w:rPr>
          <w:rFonts w:cs="Calibri"/>
          <w:szCs w:val="22"/>
        </w:rPr>
      </w:pPr>
      <w:r w:rsidRPr="006720E4">
        <w:rPr>
          <w:rFonts w:cs="Calibri"/>
          <w:szCs w:val="22"/>
        </w:rPr>
        <w:t>Recognition that cultural safety is defined by the individual’s experience of care not by the health professional.</w:t>
      </w:r>
    </w:p>
    <w:p w14:paraId="642919F4" w14:textId="77777777" w:rsidR="00CC3B28" w:rsidRPr="006720E4" w:rsidRDefault="00CC3B28" w:rsidP="00C3783C">
      <w:pPr>
        <w:pStyle w:val="ListParagraph"/>
        <w:numPr>
          <w:ilvl w:val="0"/>
          <w:numId w:val="131"/>
        </w:numPr>
        <w:spacing w:after="120"/>
        <w:contextualSpacing w:val="0"/>
        <w:rPr>
          <w:rFonts w:cs="Calibri"/>
          <w:szCs w:val="22"/>
        </w:rPr>
      </w:pPr>
      <w:r w:rsidRPr="006720E4">
        <w:rPr>
          <w:rFonts w:cs="Calibri"/>
          <w:szCs w:val="22"/>
        </w:rPr>
        <w:t>Acknowledgement that power relations shape cultural safety in healthcare interactions.</w:t>
      </w:r>
    </w:p>
    <w:p w14:paraId="17D5858D" w14:textId="77777777" w:rsidR="00CC3B28" w:rsidRPr="006720E4" w:rsidRDefault="00CC3B28" w:rsidP="00C3783C">
      <w:pPr>
        <w:pStyle w:val="ListParagraph"/>
        <w:numPr>
          <w:ilvl w:val="0"/>
          <w:numId w:val="131"/>
        </w:numPr>
        <w:spacing w:after="120"/>
        <w:contextualSpacing w:val="0"/>
        <w:rPr>
          <w:rFonts w:cs="Calibri"/>
          <w:szCs w:val="22"/>
        </w:rPr>
      </w:pPr>
      <w:r w:rsidRPr="006720E4">
        <w:rPr>
          <w:rFonts w:cs="Calibri"/>
          <w:szCs w:val="22"/>
        </w:rPr>
        <w:t xml:space="preserve">Each person involved in decision-making to have an understanding of their own culture. </w:t>
      </w:r>
    </w:p>
    <w:p w14:paraId="757138E1" w14:textId="77777777" w:rsidR="00CC3B28" w:rsidRPr="006720E4" w:rsidRDefault="00CC3B28" w:rsidP="00C3783C">
      <w:pPr>
        <w:pStyle w:val="ListParagraph"/>
        <w:numPr>
          <w:ilvl w:val="0"/>
          <w:numId w:val="131"/>
        </w:numPr>
        <w:spacing w:after="120"/>
        <w:contextualSpacing w:val="0"/>
        <w:rPr>
          <w:rFonts w:cs="Calibri"/>
          <w:szCs w:val="22"/>
        </w:rPr>
      </w:pPr>
      <w:r w:rsidRPr="006720E4">
        <w:rPr>
          <w:rFonts w:cs="Calibri"/>
          <w:szCs w:val="22"/>
        </w:rPr>
        <w:t>Respectful acknowledgement of cultural differences.</w:t>
      </w:r>
    </w:p>
    <w:p w14:paraId="139FF498" w14:textId="67E6907E" w:rsidR="00CC3B28" w:rsidRPr="006720E4" w:rsidRDefault="00CC3B28" w:rsidP="00C3783C">
      <w:pPr>
        <w:pStyle w:val="ListParagraph"/>
        <w:numPr>
          <w:ilvl w:val="0"/>
          <w:numId w:val="131"/>
        </w:numPr>
        <w:spacing w:after="120"/>
        <w:contextualSpacing w:val="0"/>
        <w:rPr>
          <w:rFonts w:cs="Calibri"/>
          <w:szCs w:val="22"/>
        </w:rPr>
      </w:pPr>
      <w:r w:rsidRPr="006720E4">
        <w:rPr>
          <w:rFonts w:cs="Calibri"/>
          <w:szCs w:val="22"/>
        </w:rPr>
        <w:t>Understanding of the historical and current impact of racism and colonisation on the lives and wellbeing of Aboriginal and Torres Strait Islander people.</w:t>
      </w:r>
      <w:r w:rsidRPr="006720E4">
        <w:rPr>
          <w:rFonts w:cs="Calibri"/>
          <w:szCs w:val="22"/>
        </w:rPr>
        <w:fldChar w:fldCharType="begin" w:fldLock="1"/>
      </w:r>
      <w:r w:rsidR="00EB088B">
        <w:rPr>
          <w:rFonts w:cs="Calibri"/>
          <w:szCs w:val="22"/>
        </w:rPr>
        <w:instrText>ADDIN CSL_CITATION {"citationItems":[{"id":"ITEM-1","itemData":{"DOI":"10.1037/a0032595","ISSN":"00220167","PMID":"23647387","abstract":"Building on recent theory stressing multicultural orientation, as well as the development of virtues and dispositions associated with multicultural values, we introduce the construct of cultural humility, defined as having an interpersonal stance that is other-oriented rather than self-focused, characterized by respect and lack of superiority toward an individual's cultural background and experience. In 4 studies, we provide evidence for the estimated reliability and construct validity of a client-rated measure of a therapist's cultural humility, and we demonstrate that client perceptions of their therapist's cultural humility are positively associated with developing a strong working alliance. Furthermore, client perceptions of their therapist's cultural humility were positively associated with improvement in therapy, and this relationship was mediated by a strong working alliance. We consider implications for research, practice, and training. © 2013 American Psychological Association.","author":[{"dropping-particle":"","family":"Hook","given":"Joshua N.","non-dropping-particle":"","parse-names":false,"suffix":""},{"dropping-particle":"","family":"Davis","given":"Don E.","non-dropping-particle":"","parse-names":false,"suffix":""},{"dropping-particle":"","family":"Owen","given":"Jesse","non-dropping-particle":"","parse-names":false,"suffix":""},{"dropping-particle":"","family":"Worthington","given":"Everett L.","non-dropping-particle":"","parse-names":false,"suffix":""},{"dropping-particle":"","family":"Utsey","given":"Shawn O.","non-dropping-particle":"","parse-names":false,"suffix":""}],"container-title":"Journal of Counseling Psychology","id":"ITEM-1","issue":"3","issued":{"date-parts":[["2013"]]},"page":"353-366","title":"Cultural humility: Measuring openness to culturally diverse clients","type":"article-journal","volume":"60"},"uris":["http://www.mendeley.com/documents/?uuid=be43addc-eb42-4003-859f-a3e8829dd5ff"]}],"mendeley":{"formattedCitation":"(39)","plainTextFormattedCitation":"(39)","previouslyFormattedCitation":"(39)"},"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(39)</w:t>
      </w:r>
      <w:r w:rsidRPr="006720E4">
        <w:rPr>
          <w:rFonts w:cs="Calibri"/>
          <w:szCs w:val="22"/>
        </w:rPr>
        <w:fldChar w:fldCharType="end"/>
      </w:r>
    </w:p>
    <w:p w14:paraId="3055BA19" w14:textId="10015BF5" w:rsidR="00F94CE6" w:rsidRPr="006720E4" w:rsidRDefault="00CC3B28" w:rsidP="00C3783C">
      <w:pPr>
        <w:pStyle w:val="ListParagraph"/>
        <w:numPr>
          <w:ilvl w:val="0"/>
          <w:numId w:val="131"/>
        </w:numPr>
        <w:spacing w:after="120"/>
        <w:contextualSpacing w:val="0"/>
        <w:rPr>
          <w:rFonts w:cs="Calibri"/>
          <w:szCs w:val="22"/>
        </w:rPr>
      </w:pPr>
      <w:r w:rsidRPr="006720E4">
        <w:rPr>
          <w:rFonts w:cs="Calibri"/>
          <w:szCs w:val="22"/>
        </w:rPr>
        <w:t>Increased cultural diversity of the healthcare workforce and provision of training and education for all staff to improve cultural safety in care and decision-making about donation and transplantation.</w:t>
      </w:r>
    </w:p>
    <w:p w14:paraId="4E426E02" w14:textId="7477FF38" w:rsidR="006C6EBA" w:rsidRPr="006720E4" w:rsidRDefault="006C6EBA" w:rsidP="00EA22AE">
      <w:pPr>
        <w:pStyle w:val="Heading2"/>
        <w:spacing w:after="120"/>
      </w:pPr>
      <w:bookmarkStart w:id="963" w:name="_Conscientious_objection_and"/>
      <w:bookmarkStart w:id="964" w:name="_Toc70414810"/>
      <w:bookmarkStart w:id="965" w:name="_Toc70844136"/>
      <w:bookmarkStart w:id="966" w:name="_Toc70858980"/>
      <w:bookmarkStart w:id="967" w:name="_Toc70861081"/>
      <w:bookmarkStart w:id="968" w:name="_Toc70876565"/>
      <w:bookmarkStart w:id="969" w:name="_Toc72615068"/>
      <w:bookmarkStart w:id="970" w:name="_Toc73129788"/>
      <w:bookmarkStart w:id="971" w:name="_Toc73301657"/>
      <w:bookmarkStart w:id="972" w:name="_Toc73302163"/>
      <w:bookmarkStart w:id="973" w:name="_Toc73303296"/>
      <w:bookmarkStart w:id="974" w:name="_Toc73303556"/>
      <w:bookmarkStart w:id="975" w:name="_Toc74080673"/>
      <w:bookmarkStart w:id="976" w:name="_Toc74080981"/>
      <w:bookmarkStart w:id="977" w:name="_Toc74081211"/>
      <w:bookmarkStart w:id="978" w:name="_Toc74081441"/>
      <w:bookmarkStart w:id="979" w:name="_Toc74171042"/>
      <w:bookmarkStart w:id="980" w:name="_Toc74172218"/>
      <w:bookmarkStart w:id="981" w:name="_Toc74172754"/>
      <w:bookmarkStart w:id="982" w:name="_Toc74238716"/>
      <w:bookmarkStart w:id="983" w:name="_Toc78304756"/>
      <w:bookmarkStart w:id="984" w:name="_Toc79330845"/>
      <w:bookmarkStart w:id="985" w:name="_Toc79331225"/>
      <w:bookmarkStart w:id="986" w:name="_Toc79406335"/>
      <w:bookmarkStart w:id="987" w:name="_Toc82773507"/>
      <w:bookmarkStart w:id="988" w:name="_Toc82773860"/>
      <w:bookmarkStart w:id="989" w:name="_Toc128314194"/>
      <w:bookmarkStart w:id="990" w:name="_Toc135131438"/>
      <w:bookmarkEnd w:id="955"/>
      <w:bookmarkEnd w:id="956"/>
      <w:bookmarkEnd w:id="963"/>
      <w:r w:rsidRPr="006720E4">
        <w:t>Conscientious objection</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720E4">
        <w:t xml:space="preserve"> and moral distress</w:t>
      </w:r>
      <w:bookmarkEnd w:id="983"/>
      <w:bookmarkEnd w:id="984"/>
      <w:bookmarkEnd w:id="985"/>
      <w:bookmarkEnd w:id="986"/>
      <w:bookmarkEnd w:id="987"/>
      <w:bookmarkEnd w:id="988"/>
      <w:bookmarkEnd w:id="989"/>
      <w:bookmarkEnd w:id="990"/>
    </w:p>
    <w:p w14:paraId="65831A17" w14:textId="1C1BADB6" w:rsidR="006C6EBA" w:rsidRPr="006720E4" w:rsidRDefault="006C6EBA" w:rsidP="00EA22AE">
      <w:pPr>
        <w:spacing w:after="120"/>
        <w:rPr>
          <w:rFonts w:ascii="Calibri" w:hAnsi="Calibri" w:cs="Calibri"/>
          <w:sz w:val="22"/>
          <w:szCs w:val="22"/>
        </w:rPr>
      </w:pPr>
      <w:bookmarkStart w:id="991" w:name="_Toc70241865"/>
      <w:bookmarkStart w:id="992" w:name="_Toc70243500"/>
      <w:bookmarkStart w:id="993" w:name="_Toc70328726"/>
      <w:bookmarkStart w:id="994" w:name="_Toc70333956"/>
      <w:r w:rsidRPr="006720E4">
        <w:rPr>
          <w:rFonts w:ascii="Calibri" w:hAnsi="Calibri" w:cs="Calibri"/>
          <w:sz w:val="22"/>
          <w:szCs w:val="22"/>
        </w:rPr>
        <w:t xml:space="preserve">In some circumstances, health professionals working in donation or transplantation may wish to exercise a right of </w:t>
      </w:r>
      <w:hyperlink w:anchor="_Glossary_2" w:history="1">
        <w:r w:rsidRPr="00080A0A">
          <w:rPr>
            <w:rStyle w:val="Hyperlink"/>
            <w:rFonts w:ascii="Calibri" w:hAnsi="Calibri" w:cs="Calibri"/>
            <w:sz w:val="22"/>
            <w:szCs w:val="22"/>
          </w:rPr>
          <w:t>conscientious objection</w:t>
        </w:r>
      </w:hyperlink>
      <w:r w:rsidRPr="006720E4">
        <w:rPr>
          <w:rFonts w:ascii="Calibri" w:hAnsi="Calibri" w:cs="Calibri"/>
          <w:sz w:val="22"/>
          <w:szCs w:val="22"/>
        </w:rPr>
        <w:t xml:space="preserve"> to particular clinical practices or interventions. In this section we explain the concept of a conscientious objection and the ethical considerations relating to the right of conscientious objection, and discuss its potential use in donation and transplantation</w:t>
      </w:r>
      <w:bookmarkEnd w:id="991"/>
      <w:bookmarkEnd w:id="992"/>
      <w:bookmarkEnd w:id="993"/>
      <w:bookmarkEnd w:id="994"/>
      <w:r w:rsidRPr="006720E4">
        <w:rPr>
          <w:rFonts w:ascii="Calibri" w:hAnsi="Calibri" w:cs="Calibri"/>
          <w:sz w:val="22"/>
          <w:szCs w:val="22"/>
        </w:rPr>
        <w:t xml:space="preserve">. We also explain the concept of </w:t>
      </w:r>
      <w:hyperlink w:anchor="_Glossary_2" w:history="1">
        <w:r w:rsidRPr="006720E4">
          <w:rPr>
            <w:rStyle w:val="Hyperlink"/>
            <w:rFonts w:ascii="Calibri" w:hAnsi="Calibri" w:cs="Calibri"/>
            <w:sz w:val="22"/>
            <w:szCs w:val="22"/>
          </w:rPr>
          <w:t>moral distress</w:t>
        </w:r>
      </w:hyperlink>
      <w:r w:rsidRPr="006720E4">
        <w:rPr>
          <w:rFonts w:ascii="Calibri" w:hAnsi="Calibri" w:cs="Calibri"/>
          <w:sz w:val="22"/>
          <w:szCs w:val="22"/>
        </w:rPr>
        <w:t xml:space="preserve"> and discuss why it is important to recognise and address this when it occurs.</w:t>
      </w:r>
    </w:p>
    <w:p w14:paraId="718CDC9D" w14:textId="77777777" w:rsidR="006C6EBA" w:rsidRPr="006720E4" w:rsidRDefault="006C6EBA" w:rsidP="00EA22AE">
      <w:pPr>
        <w:pStyle w:val="Heading3"/>
        <w:spacing w:after="120"/>
      </w:pPr>
      <w:bookmarkStart w:id="995" w:name="_Conscientious_objection_in"/>
      <w:bookmarkStart w:id="996" w:name="_Toc63683516"/>
      <w:bookmarkStart w:id="997" w:name="_Toc70241866"/>
      <w:bookmarkStart w:id="998" w:name="_Toc70243501"/>
      <w:bookmarkStart w:id="999" w:name="_Toc70414811"/>
      <w:bookmarkStart w:id="1000" w:name="_Toc70844137"/>
      <w:bookmarkStart w:id="1001" w:name="_Toc72615069"/>
      <w:bookmarkStart w:id="1002" w:name="_Toc73129789"/>
      <w:bookmarkStart w:id="1003" w:name="_Toc73301658"/>
      <w:bookmarkStart w:id="1004" w:name="_Toc73302164"/>
      <w:bookmarkStart w:id="1005" w:name="_Toc73303297"/>
      <w:bookmarkStart w:id="1006" w:name="_Toc73303557"/>
      <w:bookmarkStart w:id="1007" w:name="_Toc74080674"/>
      <w:bookmarkStart w:id="1008" w:name="_Toc74080982"/>
      <w:bookmarkStart w:id="1009" w:name="_Toc74081212"/>
      <w:bookmarkStart w:id="1010" w:name="_Toc74081442"/>
      <w:bookmarkStart w:id="1011" w:name="_Toc74171043"/>
      <w:bookmarkStart w:id="1012" w:name="_Toc74172219"/>
      <w:bookmarkStart w:id="1013" w:name="_Toc74172755"/>
      <w:bookmarkStart w:id="1014" w:name="_Toc74238717"/>
      <w:bookmarkStart w:id="1015" w:name="_Toc79406336"/>
      <w:bookmarkStart w:id="1016" w:name="_Toc82773508"/>
      <w:bookmarkStart w:id="1017" w:name="_Toc82773861"/>
      <w:bookmarkEnd w:id="995"/>
      <w:r w:rsidRPr="006720E4">
        <w:t>Conscientious objection in healthcare and its limits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43F86154" w14:textId="421FFD1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a health professional firmly believes that a lawful clinical resource, practice, or intervention is morally or ethically wrong, they are considered to have a conscientious objection to that practice or intervention. The right of conscientious objection in healthcare refers to a health professional’s right to refuse to provide the resource, to practice or to participate in the intervention when this is clinically indicated for patient care. </w:t>
      </w:r>
    </w:p>
    <w:p w14:paraId="2ABABBBE" w14:textId="788350B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Generally speaking, health professionals in Australia are permitted to exercise a right of conscientious objection under specific conditions,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{"citationItems":[{"id":"ITEM-1","itemData":{"author":[{"dropping-particle":"","family":"(AMA)","given":"Australian Medical Association","non-dropping-particle":"","parse-names":false,"suffix":""}],"id":"ITEM-1","issued":{"date-parts":[["2019"]]},"title":"AMA Position Statement Conscientious Objection","type":"report"},"uris":["http://www.mendeley.com/documents/?uuid=92c7c5c3-447b-452f-be8a-b6af492883a4"]}],"mendeley":{"formattedCitation":"(40)","plainTextFormattedCitation":"(40)","previouslyFormattedCitation":"(40)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(40)</w:t>
      </w:r>
      <w:r w:rsidRPr="006720E4">
        <w:rPr>
          <w:rFonts w:ascii="Calibri" w:hAnsi="Calibri" w:cs="Calibri"/>
          <w:sz w:val="22"/>
          <w:szCs w:val="22"/>
        </w:rPr>
        <w:fldChar w:fldCharType="end"/>
      </w:r>
      <w:r w:rsidRPr="006720E4">
        <w:rPr>
          <w:rFonts w:ascii="Calibri" w:hAnsi="Calibri" w:cs="Calibri"/>
          <w:sz w:val="22"/>
          <w:szCs w:val="22"/>
        </w:rPr>
        <w:t xml:space="preserve"> which typically include ensuring that:</w:t>
      </w:r>
    </w:p>
    <w:p w14:paraId="58C134E6" w14:textId="21C50F2C" w:rsidR="006C6EBA" w:rsidRPr="006720E4" w:rsidRDefault="006C6EBA" w:rsidP="00EA22AE">
      <w:pPr>
        <w:pStyle w:val="ListParagraph"/>
        <w:numPr>
          <w:ilvl w:val="0"/>
          <w:numId w:val="20"/>
        </w:numPr>
        <w:spacing w:after="120"/>
        <w:contextualSpacing w:val="0"/>
        <w:rPr>
          <w:rFonts w:cs="Calibri"/>
          <w:szCs w:val="22"/>
        </w:rPr>
      </w:pPr>
      <w:r w:rsidRPr="006720E4">
        <w:rPr>
          <w:rFonts w:cs="Calibri"/>
          <w:szCs w:val="22"/>
        </w:rPr>
        <w:lastRenderedPageBreak/>
        <w:t>patients are informed of their conscientious objection;</w:t>
      </w:r>
    </w:p>
    <w:p w14:paraId="07174356" w14:textId="77777777" w:rsidR="006C6EBA" w:rsidRPr="006720E4" w:rsidRDefault="006C6EBA" w:rsidP="00EA22AE">
      <w:pPr>
        <w:pStyle w:val="ListParagraph"/>
        <w:numPr>
          <w:ilvl w:val="0"/>
          <w:numId w:val="20"/>
        </w:numPr>
        <w:spacing w:after="120"/>
        <w:contextualSpacing w:val="0"/>
        <w:rPr>
          <w:rFonts w:cs="Calibri"/>
          <w:szCs w:val="22"/>
        </w:rPr>
      </w:pPr>
      <w:r w:rsidRPr="006720E4">
        <w:rPr>
          <w:rFonts w:cs="Calibri"/>
          <w:szCs w:val="22"/>
        </w:rPr>
        <w:t>patients are informed about and referred to alternative care providers from whom they can access the treatment;</w:t>
      </w:r>
    </w:p>
    <w:p w14:paraId="227EDD50" w14:textId="77777777" w:rsidR="006C6EBA" w:rsidRPr="006720E4" w:rsidRDefault="006C6EBA" w:rsidP="00EA22AE">
      <w:pPr>
        <w:pStyle w:val="ListParagraph"/>
        <w:numPr>
          <w:ilvl w:val="0"/>
          <w:numId w:val="20"/>
        </w:numPr>
        <w:spacing w:after="120"/>
        <w:contextualSpacing w:val="0"/>
        <w:rPr>
          <w:rFonts w:cs="Calibri"/>
          <w:szCs w:val="22"/>
        </w:rPr>
      </w:pPr>
      <w:r w:rsidRPr="006720E4">
        <w:rPr>
          <w:rFonts w:cs="Calibri"/>
          <w:szCs w:val="22"/>
        </w:rPr>
        <w:t>where an individual’s refusal to provide a treatment may endanger the life of the patient seeking care, for example if no other care provider is available, the health professional has an obligation to provide the treatment; and</w:t>
      </w:r>
    </w:p>
    <w:p w14:paraId="77FCF9D6" w14:textId="77777777" w:rsidR="006C6EBA" w:rsidRPr="006720E4" w:rsidRDefault="006C6EBA" w:rsidP="00EA22AE">
      <w:pPr>
        <w:pStyle w:val="ListParagraph"/>
        <w:numPr>
          <w:ilvl w:val="0"/>
          <w:numId w:val="20"/>
        </w:numPr>
        <w:spacing w:after="120"/>
        <w:contextualSpacing w:val="0"/>
        <w:rPr>
          <w:rFonts w:cs="Calibri"/>
          <w:szCs w:val="22"/>
        </w:rPr>
      </w:pPr>
      <w:r w:rsidRPr="006720E4">
        <w:rPr>
          <w:rFonts w:cs="Calibri"/>
          <w:szCs w:val="22"/>
        </w:rPr>
        <w:t>the health professional does not stigmatize or otherwise treat the patient disrespectfully.</w:t>
      </w:r>
      <w:bookmarkStart w:id="1018" w:name="_Toc63683517"/>
      <w:bookmarkStart w:id="1019" w:name="_Toc70241867"/>
      <w:bookmarkStart w:id="1020" w:name="_Toc70243502"/>
      <w:bookmarkStart w:id="1021" w:name="_Toc70414812"/>
      <w:bookmarkStart w:id="1022" w:name="_Toc70844138"/>
      <w:bookmarkStart w:id="1023" w:name="_Toc72615070"/>
      <w:bookmarkStart w:id="1024" w:name="_Toc73129790"/>
    </w:p>
    <w:p w14:paraId="3F09744A" w14:textId="1FE3DBD6" w:rsidR="006C6EBA" w:rsidRPr="006720E4" w:rsidRDefault="006C6EBA" w:rsidP="00EA22AE">
      <w:pPr>
        <w:pStyle w:val="Heading4"/>
        <w:spacing w:after="120"/>
      </w:pPr>
      <w:bookmarkStart w:id="1025" w:name="_Toc82773509"/>
      <w:bookmarkStart w:id="1026" w:name="_Toc82773862"/>
      <w:bookmarkStart w:id="1027" w:name="_Toc73301659"/>
      <w:bookmarkStart w:id="1028" w:name="_Toc73302165"/>
      <w:bookmarkStart w:id="1029" w:name="_Toc73303298"/>
      <w:bookmarkStart w:id="1030" w:name="_Toc74081443"/>
      <w:bookmarkStart w:id="1031" w:name="_Toc74172220"/>
      <w:bookmarkStart w:id="1032" w:name="_Toc74172756"/>
      <w:r w:rsidRPr="006720E4">
        <w:t>Distinguishing conscientious objection from other beliefs that may influence provision of care</w:t>
      </w:r>
      <w:bookmarkEnd w:id="1025"/>
      <w:bookmarkEnd w:id="1026"/>
    </w:p>
    <w:p w14:paraId="68BF03F0" w14:textId="471E5AA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important to distinguish conscientious objection from other factors that may lead a health professional to refuse to provide a specific treatment in a particular case, such as discrimination or bias against specific individuals or groups, or a clinical rather than ethical belief that the treatment is inappropriate. </w:t>
      </w:r>
    </w:p>
    <w:p w14:paraId="0306EBDA" w14:textId="71122F5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Similarly, although conscientious objection may be associated with </w:t>
      </w:r>
      <w:hyperlink w:anchor="_Glossary_2" w:history="1">
        <w:r w:rsidRPr="006720E4">
          <w:rPr>
            <w:rStyle w:val="Hyperlink"/>
            <w:rFonts w:ascii="Calibri" w:hAnsi="Calibri" w:cs="Calibri"/>
            <w:sz w:val="22"/>
            <w:szCs w:val="22"/>
          </w:rPr>
          <w:t>moral distress</w:t>
        </w:r>
      </w:hyperlink>
      <w:r w:rsidRPr="006720E4">
        <w:rPr>
          <w:rFonts w:ascii="Calibri" w:hAnsi="Calibri" w:cs="Calibri"/>
          <w:sz w:val="22"/>
          <w:szCs w:val="22"/>
        </w:rPr>
        <w:t xml:space="preserve">, not all instances of moral distress, or emotional distress more broadly will be related to conscientious objection. For example, an intensive care nurse may be unwilling to continue providing care to a paediatric patient who is awaiting donation after determination of death by neurological criteria, because the nurse is emotionally impacted by the child’s death and feels unable to interact professionally with the child’s parents. This would not be a case of conscientious objection.   </w:t>
      </w:r>
    </w:p>
    <w:p w14:paraId="3B92BF9F" w14:textId="778B4D95" w:rsidR="006C6EBA" w:rsidRPr="006720E4" w:rsidRDefault="006C6EBA" w:rsidP="00EA22AE">
      <w:pPr>
        <w:pStyle w:val="Heading4"/>
        <w:spacing w:after="120"/>
      </w:pPr>
      <w:bookmarkStart w:id="1033" w:name="_Toc82773510"/>
      <w:bookmarkStart w:id="1034" w:name="_Toc82773863"/>
      <w:r w:rsidRPr="006720E4">
        <w:t>Potential benefits and risks of conscientious objection in healthcare</w:t>
      </w:r>
      <w:bookmarkEnd w:id="1018"/>
      <w:bookmarkEnd w:id="1019"/>
      <w:bookmarkEnd w:id="1020"/>
      <w:bookmarkEnd w:id="1021"/>
      <w:bookmarkEnd w:id="1022"/>
      <w:bookmarkEnd w:id="1023"/>
      <w:bookmarkEnd w:id="1024"/>
      <w:bookmarkEnd w:id="1027"/>
      <w:bookmarkEnd w:id="1028"/>
      <w:bookmarkEnd w:id="1029"/>
      <w:bookmarkEnd w:id="1030"/>
      <w:bookmarkEnd w:id="1031"/>
      <w:bookmarkEnd w:id="1032"/>
      <w:bookmarkEnd w:id="1033"/>
      <w:bookmarkEnd w:id="1034"/>
    </w:p>
    <w:p w14:paraId="07CDFDCD" w14:textId="362C560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right of conscientious objection is ethically controversial. It is important to reflect on the potential arguments influencing positions on this right in order to understand different perspectives. These arguments should also be carefully considered when establishing or implementing policies with regards to conscientious objection in the context of donation or transplantation.</w:t>
      </w:r>
    </w:p>
    <w:p w14:paraId="048E4D1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Arguments in favour of permitting health professionals to refuse to perform interventions that conflict with their fundamental ethical beliefs or values include claims that</w:t>
      </w:r>
    </w:p>
    <w:p w14:paraId="622FED87" w14:textId="77777777" w:rsidR="006C6EBA" w:rsidRPr="006720E4" w:rsidRDefault="006C6EBA" w:rsidP="00EA22AE">
      <w:pPr>
        <w:pStyle w:val="ListParagraph"/>
        <w:numPr>
          <w:ilvl w:val="0"/>
          <w:numId w:val="21"/>
        </w:numPr>
        <w:spacing w:after="120"/>
        <w:contextualSpacing w:val="0"/>
        <w:rPr>
          <w:rFonts w:cs="Calibri"/>
          <w:szCs w:val="22"/>
        </w:rPr>
      </w:pPr>
      <w:r w:rsidRPr="006720E4">
        <w:rPr>
          <w:rFonts w:cs="Calibri"/>
          <w:szCs w:val="22"/>
        </w:rPr>
        <w:t>respecting health professionals‘ personal ethical values fosters ethical awareness and encourages health professionals to practice ethically rather than suppressing their ethical commitments;</w:t>
      </w:r>
    </w:p>
    <w:p w14:paraId="63B83825" w14:textId="670AE0CC" w:rsidR="006C6EBA" w:rsidRPr="006720E4" w:rsidRDefault="006C6EBA" w:rsidP="00EA22AE">
      <w:pPr>
        <w:pStyle w:val="ListParagraph"/>
        <w:numPr>
          <w:ilvl w:val="0"/>
          <w:numId w:val="21"/>
        </w:numPr>
        <w:spacing w:after="120"/>
        <w:contextualSpacing w:val="0"/>
        <w:rPr>
          <w:rFonts w:cs="Calibri"/>
          <w:szCs w:val="22"/>
        </w:rPr>
      </w:pPr>
      <w:r w:rsidRPr="006720E4">
        <w:rPr>
          <w:rFonts w:cs="Calibri"/>
          <w:szCs w:val="22"/>
        </w:rPr>
        <w:t>encouraging health professionals to reflect on the legality of clinical practices and to potentially advocate for changes to law that may be ethically necessary;</w:t>
      </w:r>
    </w:p>
    <w:p w14:paraId="2D4ED70F" w14:textId="77777777" w:rsidR="006C6EBA" w:rsidRPr="006720E4" w:rsidRDefault="006C6EBA" w:rsidP="00EA22AE">
      <w:pPr>
        <w:pStyle w:val="ListParagraph"/>
        <w:numPr>
          <w:ilvl w:val="0"/>
          <w:numId w:val="21"/>
        </w:numPr>
        <w:spacing w:after="120"/>
        <w:contextualSpacing w:val="0"/>
        <w:rPr>
          <w:rFonts w:cs="Calibri"/>
          <w:szCs w:val="22"/>
        </w:rPr>
      </w:pPr>
      <w:r w:rsidRPr="006720E4">
        <w:rPr>
          <w:rFonts w:cs="Calibri"/>
          <w:szCs w:val="22"/>
        </w:rPr>
        <w:t>compelling health professionals to perform interventions or provide resources they believe to be ethically wrong may lead to behaviours that are harmful to patients, such as attempts by health professionals to create barriers to access to care, to manipulate patient decision-making, or to fail to meet standards of care when performing interventions.</w:t>
      </w:r>
    </w:p>
    <w:p w14:paraId="449D1857" w14:textId="275EE7A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Those that oppose the right of conscientious objection instead argue that</w:t>
      </w:r>
    </w:p>
    <w:p w14:paraId="59BB9CCB" w14:textId="77777777" w:rsidR="006C6EBA" w:rsidRPr="006720E4" w:rsidRDefault="006C6EBA" w:rsidP="00EA22AE">
      <w:pPr>
        <w:pStyle w:val="ListParagraph"/>
        <w:numPr>
          <w:ilvl w:val="0"/>
          <w:numId w:val="22"/>
        </w:numPr>
        <w:spacing w:after="120"/>
        <w:contextualSpacing w:val="0"/>
        <w:rPr>
          <w:rFonts w:cs="Calibri"/>
          <w:szCs w:val="22"/>
        </w:rPr>
      </w:pPr>
      <w:r w:rsidRPr="006720E4">
        <w:rPr>
          <w:rFonts w:cs="Calibri"/>
          <w:szCs w:val="22"/>
        </w:rPr>
        <w:t>it may result in patients being denied access to treatments to which they are lawfully entitled, or may create delays in access that could be harmful to them;</w:t>
      </w:r>
    </w:p>
    <w:p w14:paraId="0D7AF3C3" w14:textId="77777777" w:rsidR="006C6EBA" w:rsidRPr="006720E4" w:rsidRDefault="006C6EBA" w:rsidP="00EA22AE">
      <w:pPr>
        <w:pStyle w:val="ListParagraph"/>
        <w:numPr>
          <w:ilvl w:val="0"/>
          <w:numId w:val="22"/>
        </w:numPr>
        <w:spacing w:after="120"/>
        <w:contextualSpacing w:val="0"/>
        <w:rPr>
          <w:rFonts w:cs="Calibri"/>
          <w:szCs w:val="22"/>
        </w:rPr>
      </w:pPr>
      <w:r w:rsidRPr="006720E4">
        <w:rPr>
          <w:rFonts w:cs="Calibri"/>
          <w:szCs w:val="22"/>
        </w:rPr>
        <w:t>it exacerbates inequities in access to health, for example because people who already face barriers in accessing health services are more likely to have difficulty in obtaining care from another provider if they encounter a conscientious objector;</w:t>
      </w:r>
    </w:p>
    <w:p w14:paraId="40E6356A" w14:textId="77777777" w:rsidR="006C6EBA" w:rsidRPr="006720E4" w:rsidRDefault="006C6EBA" w:rsidP="00EA22AE">
      <w:pPr>
        <w:pStyle w:val="ListParagraph"/>
        <w:numPr>
          <w:ilvl w:val="0"/>
          <w:numId w:val="22"/>
        </w:numPr>
        <w:spacing w:after="120"/>
        <w:contextualSpacing w:val="0"/>
        <w:rPr>
          <w:rFonts w:cs="Calibri"/>
          <w:szCs w:val="22"/>
        </w:rPr>
      </w:pPr>
      <w:r w:rsidRPr="006720E4">
        <w:rPr>
          <w:rFonts w:cs="Calibri"/>
          <w:szCs w:val="22"/>
        </w:rPr>
        <w:t>health professionals who have been trained in public health systems or who have received support in their studies from the public sector have an obligation to provide all necessary care to the public;</w:t>
      </w:r>
    </w:p>
    <w:p w14:paraId="5A9BF87A" w14:textId="77777777" w:rsidR="006C6EBA" w:rsidRPr="006720E4" w:rsidRDefault="006C6EBA" w:rsidP="00EA22AE">
      <w:pPr>
        <w:pStyle w:val="ListParagraph"/>
        <w:numPr>
          <w:ilvl w:val="0"/>
          <w:numId w:val="22"/>
        </w:numPr>
        <w:spacing w:after="120"/>
        <w:contextualSpacing w:val="0"/>
        <w:rPr>
          <w:rFonts w:cs="Calibri"/>
          <w:szCs w:val="22"/>
        </w:rPr>
      </w:pPr>
      <w:r w:rsidRPr="006720E4">
        <w:rPr>
          <w:rFonts w:cs="Calibri"/>
          <w:szCs w:val="22"/>
        </w:rPr>
        <w:lastRenderedPageBreak/>
        <w:t>health professionals who choose to practice in specific fields in which they may be expected to provide a service to which they conscientiously object should have chosen a different field, as providing the service is an expectation of those who commit to a particular specialty or area of practice;</w:t>
      </w:r>
    </w:p>
    <w:p w14:paraId="2C983969" w14:textId="7EEA8B18" w:rsidR="006C6EBA" w:rsidRPr="006720E4" w:rsidRDefault="006C6EBA" w:rsidP="00EA22AE">
      <w:pPr>
        <w:pStyle w:val="ListParagraph"/>
        <w:numPr>
          <w:ilvl w:val="0"/>
          <w:numId w:val="22"/>
        </w:numPr>
        <w:spacing w:after="120"/>
        <w:contextualSpacing w:val="0"/>
        <w:rPr>
          <w:rFonts w:cs="Calibri"/>
          <w:szCs w:val="22"/>
        </w:rPr>
      </w:pPr>
      <w:r w:rsidRPr="006720E4">
        <w:rPr>
          <w:rFonts w:cs="Calibri"/>
          <w:szCs w:val="22"/>
        </w:rPr>
        <w:t>when a right of conscientious objection is permitted, the burdens of providing the particular intervention will disproportionately impact other health professionals.</w:t>
      </w:r>
    </w:p>
    <w:p w14:paraId="66DF49DC" w14:textId="77777777" w:rsidR="006C6EBA" w:rsidRPr="006720E4" w:rsidRDefault="006C6EBA" w:rsidP="00EA22AE">
      <w:pPr>
        <w:pStyle w:val="Heading3"/>
        <w:spacing w:after="120"/>
      </w:pPr>
      <w:bookmarkStart w:id="1035" w:name="_Toc63683518"/>
      <w:bookmarkStart w:id="1036" w:name="_Toc70241868"/>
      <w:bookmarkStart w:id="1037" w:name="_Toc70243503"/>
      <w:bookmarkStart w:id="1038" w:name="_Toc70414813"/>
      <w:bookmarkStart w:id="1039" w:name="_Toc70844139"/>
      <w:bookmarkStart w:id="1040" w:name="_Toc72615071"/>
      <w:bookmarkStart w:id="1041" w:name="_Toc73129791"/>
      <w:bookmarkStart w:id="1042" w:name="_Toc73301660"/>
      <w:bookmarkStart w:id="1043" w:name="_Toc73302166"/>
      <w:bookmarkStart w:id="1044" w:name="_Toc73303299"/>
      <w:bookmarkStart w:id="1045" w:name="_Toc74081444"/>
      <w:bookmarkStart w:id="1046" w:name="_Toc74172221"/>
      <w:bookmarkStart w:id="1047" w:name="_Toc74172757"/>
      <w:bookmarkStart w:id="1048" w:name="_Toc79406337"/>
      <w:bookmarkStart w:id="1049" w:name="_Toc82773511"/>
      <w:bookmarkStart w:id="1050" w:name="_Toc82773864"/>
      <w:r w:rsidRPr="006720E4">
        <w:t>Conscientious objections in the context of donation and transplantation</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1F21592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health professionals who have specific roles in donation or transplantation, or who work in areas that may intersect with donation or transplantation activities, such as intensive care, may hold ethical beliefs that conflict with some of those activities. </w:t>
      </w:r>
    </w:p>
    <w:p w14:paraId="5D66445F" w14:textId="4EBCDA6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may be difficult to determine when a valid conscientious objection to a donation or transplantation activity exists. For example, a health professional may ethically support deceased donation, but may disagree with specific clinical protocols for the determination of death. This may lead them to object to deceased donation procedures in circumstances where they do not believe a person to be deceased. Others who hold a conscientious objection to voluntary assisted dying (VAD) may object to being involved in donation or transplantation procedures when a donor has died as a result of </w:t>
      </w:r>
      <w:r w:rsidRPr="009760C2">
        <w:rPr>
          <w:rFonts w:ascii="Calibri" w:hAnsi="Calibri" w:cs="Calibri"/>
          <w:sz w:val="22"/>
          <w:szCs w:val="22"/>
        </w:rPr>
        <w:t xml:space="preserve">VAD (see </w:t>
      </w:r>
      <w:hyperlink w:anchor="_Deceased_donation_after" w:history="1">
        <w:r w:rsidRPr="009760C2">
          <w:rPr>
            <w:rStyle w:val="Hyperlink"/>
            <w:rFonts w:ascii="Calibri" w:hAnsi="Calibri" w:cs="Calibri"/>
            <w:sz w:val="22"/>
            <w:szCs w:val="22"/>
          </w:rPr>
          <w:t>Chapter 1</w:t>
        </w:r>
        <w:r w:rsidR="003C073A" w:rsidRPr="009760C2">
          <w:rPr>
            <w:rStyle w:val="Hyperlink"/>
            <w:rFonts w:ascii="Calibri" w:hAnsi="Calibri" w:cs="Calibri"/>
            <w:sz w:val="22"/>
            <w:szCs w:val="22"/>
          </w:rPr>
          <w:t>1</w:t>
        </w:r>
        <w:r w:rsidRPr="009760C2">
          <w:rPr>
            <w:rStyle w:val="Hyperlink"/>
            <w:rFonts w:ascii="Calibri" w:hAnsi="Calibri" w:cs="Calibri"/>
            <w:sz w:val="22"/>
            <w:szCs w:val="22"/>
          </w:rPr>
          <w:t>.7</w:t>
        </w:r>
      </w:hyperlink>
      <w:r w:rsidRPr="009760C2">
        <w:rPr>
          <w:rFonts w:ascii="Calibri" w:hAnsi="Calibri" w:cs="Calibri"/>
          <w:sz w:val="22"/>
          <w:szCs w:val="22"/>
        </w:rPr>
        <w:t>).</w:t>
      </w:r>
      <w:r w:rsidRPr="006720E4">
        <w:rPr>
          <w:rFonts w:ascii="Calibri" w:hAnsi="Calibri" w:cs="Calibri"/>
          <w:sz w:val="22"/>
          <w:szCs w:val="22"/>
        </w:rPr>
        <w:t xml:space="preserve">  </w:t>
      </w:r>
    </w:p>
    <w:p w14:paraId="3759DF7B" w14:textId="4D129098"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 xml:space="preserve">Box </w:t>
      </w:r>
      <w:r w:rsidR="003C073A" w:rsidRPr="006720E4">
        <w:rPr>
          <w:rFonts w:ascii="Calibri" w:hAnsi="Calibri" w:cs="Calibri"/>
          <w:b/>
          <w:bCs/>
          <w:sz w:val="22"/>
          <w:szCs w:val="22"/>
        </w:rPr>
        <w:t>3</w:t>
      </w:r>
      <w:r w:rsidRPr="006720E4">
        <w:rPr>
          <w:rFonts w:ascii="Calibri" w:hAnsi="Calibri" w:cs="Calibri"/>
          <w:b/>
          <w:bCs/>
          <w:sz w:val="22"/>
          <w:szCs w:val="22"/>
        </w:rPr>
        <w:t>.</w:t>
      </w:r>
      <w:r w:rsidR="003C073A" w:rsidRPr="006720E4">
        <w:rPr>
          <w:rFonts w:ascii="Calibri" w:hAnsi="Calibri" w:cs="Calibri"/>
          <w:b/>
          <w:bCs/>
          <w:sz w:val="22"/>
          <w:szCs w:val="22"/>
        </w:rPr>
        <w:t>3</w:t>
      </w:r>
      <w:r w:rsidRPr="006720E4">
        <w:rPr>
          <w:rFonts w:ascii="Calibri" w:hAnsi="Calibri" w:cs="Calibri"/>
          <w:sz w:val="22"/>
          <w:szCs w:val="22"/>
        </w:rPr>
        <w:t xml:space="preserve"> outlines recommendations for managing conscientious objections in the context of donation and transplantation. </w:t>
      </w:r>
    </w:p>
    <w:tbl>
      <w:tblPr>
        <w:tblStyle w:val="TableGrid"/>
        <w:tblW w:w="0" w:type="auto"/>
        <w:tblLook w:val="04A0" w:firstRow="1" w:lastRow="0" w:firstColumn="1" w:lastColumn="0" w:noHBand="0" w:noVBand="1"/>
      </w:tblPr>
      <w:tblGrid>
        <w:gridCol w:w="9010"/>
      </w:tblGrid>
      <w:tr w:rsidR="006C6EBA" w:rsidRPr="006720E4" w14:paraId="4A6F84B4" w14:textId="77777777">
        <w:tc>
          <w:tcPr>
            <w:tcW w:w="9010" w:type="dxa"/>
            <w:shd w:val="clear" w:color="auto" w:fill="E7E6E6" w:themeFill="background2"/>
          </w:tcPr>
          <w:p w14:paraId="0DDF4BE7" w14:textId="426D8BC5"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 xml:space="preserve">Box </w:t>
            </w:r>
            <w:r w:rsidR="003C073A" w:rsidRPr="006720E4">
              <w:rPr>
                <w:rFonts w:ascii="Calibri" w:hAnsi="Calibri" w:cs="Calibri"/>
                <w:b/>
                <w:bCs/>
                <w:sz w:val="22"/>
                <w:szCs w:val="22"/>
              </w:rPr>
              <w:t>3</w:t>
            </w:r>
            <w:r w:rsidRPr="006720E4">
              <w:rPr>
                <w:rFonts w:ascii="Calibri" w:hAnsi="Calibri" w:cs="Calibri"/>
                <w:b/>
                <w:bCs/>
                <w:sz w:val="22"/>
                <w:szCs w:val="22"/>
              </w:rPr>
              <w:t>.</w:t>
            </w:r>
            <w:r w:rsidR="003C073A" w:rsidRPr="006720E4">
              <w:rPr>
                <w:rFonts w:ascii="Calibri" w:hAnsi="Calibri" w:cs="Calibri"/>
                <w:b/>
                <w:bCs/>
                <w:sz w:val="22"/>
                <w:szCs w:val="22"/>
              </w:rPr>
              <w:t>3</w:t>
            </w:r>
            <w:r w:rsidRPr="006720E4">
              <w:rPr>
                <w:rFonts w:ascii="Calibri" w:hAnsi="Calibri" w:cs="Calibri"/>
                <w:b/>
                <w:bCs/>
                <w:sz w:val="22"/>
                <w:szCs w:val="22"/>
              </w:rPr>
              <w:t xml:space="preserve"> Recommendations for managing conscientious objections in the context of donation and transplantation </w:t>
            </w:r>
          </w:p>
        </w:tc>
      </w:tr>
      <w:tr w:rsidR="006C6EBA" w:rsidRPr="006720E4" w14:paraId="15DE1A2B" w14:textId="77777777">
        <w:tc>
          <w:tcPr>
            <w:tcW w:w="9010" w:type="dxa"/>
            <w:shd w:val="clear" w:color="auto" w:fill="E7E6E6" w:themeFill="background2"/>
          </w:tcPr>
          <w:p w14:paraId="3342D88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managing conscientious objections in the context of donation and transplantation, health professionals should:</w:t>
            </w:r>
          </w:p>
          <w:p w14:paraId="2679F63C" w14:textId="52225664" w:rsidR="006C6EBA" w:rsidRPr="006720E4" w:rsidRDefault="006C6EBA" w:rsidP="00EA22AE">
            <w:pPr>
              <w:pStyle w:val="ListParagraph"/>
              <w:numPr>
                <w:ilvl w:val="0"/>
                <w:numId w:val="23"/>
              </w:numPr>
              <w:spacing w:after="120"/>
              <w:contextualSpacing w:val="0"/>
              <w:rPr>
                <w:rFonts w:cs="Calibri"/>
                <w:szCs w:val="22"/>
              </w:rPr>
            </w:pPr>
            <w:r w:rsidRPr="006720E4">
              <w:rPr>
                <w:rFonts w:cs="Calibri"/>
                <w:szCs w:val="22"/>
              </w:rPr>
              <w:t>Disclose any conscientious objection which may impact their ability to provide care to patients to their employer or manager;</w:t>
            </w:r>
          </w:p>
          <w:p w14:paraId="2FE815F1" w14:textId="77777777" w:rsidR="006C6EBA" w:rsidRPr="006720E4" w:rsidRDefault="006C6EBA" w:rsidP="00EA22AE">
            <w:pPr>
              <w:pStyle w:val="ListParagraph"/>
              <w:numPr>
                <w:ilvl w:val="0"/>
                <w:numId w:val="23"/>
              </w:numPr>
              <w:spacing w:after="120"/>
              <w:contextualSpacing w:val="0"/>
              <w:rPr>
                <w:rFonts w:cs="Calibri"/>
                <w:szCs w:val="22"/>
              </w:rPr>
            </w:pPr>
            <w:r w:rsidRPr="006720E4">
              <w:rPr>
                <w:rFonts w:cs="Calibri"/>
                <w:szCs w:val="22"/>
              </w:rPr>
              <w:t>Refrain from communicating personal ethical objections they may hold regarding lawful clinical practices to patients or their families, in order to avoid causing distress or undermining trust, except where disclosure is necessary to ensure that patients or their families have the opportunity to seek care from an alternative provider;</w:t>
            </w:r>
          </w:p>
          <w:p w14:paraId="2E8EB62E" w14:textId="77777777" w:rsidR="0022460B" w:rsidRPr="006720E4" w:rsidRDefault="006C6EBA" w:rsidP="00EA22AE">
            <w:pPr>
              <w:pStyle w:val="ListParagraph"/>
              <w:numPr>
                <w:ilvl w:val="0"/>
                <w:numId w:val="23"/>
              </w:numPr>
              <w:spacing w:after="120"/>
              <w:contextualSpacing w:val="0"/>
              <w:rPr>
                <w:rFonts w:cs="Calibri"/>
                <w:szCs w:val="22"/>
              </w:rPr>
            </w:pPr>
            <w:r w:rsidRPr="006720E4">
              <w:rPr>
                <w:rFonts w:cs="Calibri"/>
                <w:szCs w:val="22"/>
              </w:rPr>
              <w:t>Ensure that their objection does not negatively impact opportunities for donation and transplantation or influence decision-making by patients or their families regarding donation and transplantation;</w:t>
            </w:r>
          </w:p>
          <w:p w14:paraId="631ABA0D" w14:textId="148546DF" w:rsidR="006C6EBA" w:rsidRPr="006720E4" w:rsidRDefault="006C6EBA" w:rsidP="00EA22AE">
            <w:pPr>
              <w:pStyle w:val="ListParagraph"/>
              <w:numPr>
                <w:ilvl w:val="0"/>
                <w:numId w:val="23"/>
              </w:numPr>
              <w:spacing w:after="120"/>
              <w:contextualSpacing w:val="0"/>
              <w:rPr>
                <w:rFonts w:cs="Calibri"/>
                <w:szCs w:val="22"/>
              </w:rPr>
            </w:pPr>
            <w:r w:rsidRPr="006720E4">
              <w:rPr>
                <w:rFonts w:cs="Calibri"/>
                <w:szCs w:val="22"/>
              </w:rPr>
              <w:t>Be provided with opportunities to raise and discuss any ethical concerns they may have regarding donation or transplantation activities with healthcare authorities or professional organi</w:t>
            </w:r>
            <w:r w:rsidR="000208BF">
              <w:rPr>
                <w:rFonts w:cs="Calibri"/>
                <w:szCs w:val="22"/>
              </w:rPr>
              <w:t>s</w:t>
            </w:r>
            <w:r w:rsidRPr="006720E4">
              <w:rPr>
                <w:rFonts w:cs="Calibri"/>
                <w:szCs w:val="22"/>
              </w:rPr>
              <w:t>ations.</w:t>
            </w:r>
          </w:p>
          <w:p w14:paraId="64838BDC" w14:textId="0505F6A1" w:rsidR="0022460B" w:rsidRPr="006720E4" w:rsidRDefault="0022460B" w:rsidP="00EA22AE">
            <w:pPr>
              <w:spacing w:after="120"/>
              <w:rPr>
                <w:rFonts w:ascii="Calibri" w:hAnsi="Calibri" w:cs="Calibri"/>
                <w:b/>
                <w:bCs/>
                <w:sz w:val="22"/>
                <w:szCs w:val="22"/>
              </w:rPr>
            </w:pPr>
            <w:r w:rsidRPr="006720E4">
              <w:rPr>
                <w:rFonts w:ascii="Calibri" w:hAnsi="Calibri" w:cs="Calibri"/>
                <w:sz w:val="22"/>
                <w:szCs w:val="22"/>
              </w:rPr>
              <w:t xml:space="preserve">Where an individual’s refusal to provide a lawful treatment may endanger the life of the patient seeking care, for example if no other care provider is available, the health professional has an obligation to provide the treatment. </w:t>
            </w:r>
          </w:p>
          <w:p w14:paraId="6004091A" w14:textId="77777777" w:rsidR="0022460B" w:rsidRPr="006720E4" w:rsidRDefault="0022460B" w:rsidP="00EA22AE">
            <w:pPr>
              <w:spacing w:after="120"/>
              <w:rPr>
                <w:rFonts w:ascii="Calibri" w:hAnsi="Calibri" w:cs="Calibri"/>
                <w:szCs w:val="22"/>
              </w:rPr>
            </w:pPr>
          </w:p>
        </w:tc>
      </w:tr>
    </w:tbl>
    <w:p w14:paraId="6EC4D609" w14:textId="77777777" w:rsidR="00FB2EF3" w:rsidRPr="006720E4" w:rsidRDefault="00FB2EF3" w:rsidP="00EA22AE">
      <w:pPr>
        <w:spacing w:after="120"/>
        <w:rPr>
          <w:rFonts w:ascii="Calibri" w:hAnsi="Calibri" w:cs="Calibri"/>
          <w:sz w:val="22"/>
          <w:szCs w:val="22"/>
        </w:rPr>
      </w:pPr>
    </w:p>
    <w:p w14:paraId="424DB661" w14:textId="77777777" w:rsidR="006C6EBA" w:rsidRPr="006720E4" w:rsidRDefault="006C6EBA" w:rsidP="00EA22AE">
      <w:pPr>
        <w:pStyle w:val="Heading3"/>
        <w:spacing w:after="120"/>
      </w:pPr>
      <w:bookmarkStart w:id="1051" w:name="_Moral_distress_1"/>
      <w:bookmarkStart w:id="1052" w:name="_Toc70414814"/>
      <w:bookmarkStart w:id="1053" w:name="_Toc70844140"/>
      <w:bookmarkStart w:id="1054" w:name="_Toc72615072"/>
      <w:bookmarkStart w:id="1055" w:name="_Toc73129792"/>
      <w:bookmarkStart w:id="1056" w:name="_Toc73301661"/>
      <w:bookmarkStart w:id="1057" w:name="_Toc73302167"/>
      <w:bookmarkStart w:id="1058" w:name="_Toc73303300"/>
      <w:bookmarkStart w:id="1059" w:name="_Toc73303558"/>
      <w:bookmarkStart w:id="1060" w:name="_Toc74080675"/>
      <w:bookmarkStart w:id="1061" w:name="_Toc74080983"/>
      <w:bookmarkStart w:id="1062" w:name="_Toc74081213"/>
      <w:bookmarkStart w:id="1063" w:name="_Toc74081445"/>
      <w:bookmarkStart w:id="1064" w:name="_Toc74171044"/>
      <w:bookmarkStart w:id="1065" w:name="_Toc74172222"/>
      <w:bookmarkStart w:id="1066" w:name="_Toc74172758"/>
      <w:bookmarkStart w:id="1067" w:name="_Toc74238718"/>
      <w:bookmarkStart w:id="1068" w:name="_Toc79406338"/>
      <w:bookmarkStart w:id="1069" w:name="_Toc82773512"/>
      <w:bookmarkStart w:id="1070" w:name="_Toc82773865"/>
      <w:bookmarkEnd w:id="1051"/>
      <w:r w:rsidRPr="006720E4">
        <w:t>Moral distress</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14:paraId="3A5A8A5E" w14:textId="6135291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people feel unable to follow what they believe to be the ethically right course of action in a given situation, due to factors that are beyond their control, they may experience psychological distress. </w:t>
      </w:r>
      <w:r w:rsidRPr="006720E4">
        <w:rPr>
          <w:rFonts w:ascii="Calibri" w:hAnsi="Calibri" w:cs="Calibri"/>
          <w:sz w:val="22"/>
          <w:szCs w:val="22"/>
        </w:rPr>
        <w:lastRenderedPageBreak/>
        <w:t xml:space="preserve">The term moral distress is commonly used to describe this phenomenon in settings where health professionals experience distress because they feel that they are prevented from acting in accordance with their ethical values or duties due to institutional constraints or resource limitations. </w:t>
      </w:r>
    </w:p>
    <w:p w14:paraId="3E7B1DE7" w14:textId="2CA6106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Sometimes moral distress, or similar terms like “ethical anxiety”, is used to describe a broader range of situations of ethical ambiguity or uncertainty in which psychological distress is linked to a “moral event”.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{"citationItems":[{"id":"ITEM-1","itemData":{"DOI":"10.1111/bioe.12783","ISSN":"14678519","PMID":"32656786","abstract":"There has been increasing debate in recent years about the conceptualization of moral distress. Broadly speaking, two groups of scholars have emerged: those who agree with Jameton’s ‘narrow definition’ that focuses on constraint and those who argue that Jameton’s definition is insufficient and needs to be broadened. Using feminist empirical bioethics, we interviewed critical care nurses in the United Kingdom about their experiences and conceptualizations of moral distress. We provide our broader definition of moral distress and examples of data that both challenge and support our conceptualization. We pre-empt and overcome three key challenges that could be levelled at our account and argue that there are good reasons to adopt our broader definition of moral distress when exploring prevalence of, and management strategies for, moral distress.","author":[{"dropping-particle":"","family":"Morley","given":"Georgina","non-dropping-particle":"","parse-names":false,"suffix":""},{"dropping-particle":"","family":"Bradbury-Jones","given":"Caroline","non-dropping-particle":"","parse-names":false,"suffix":""},{"dropping-particle":"","family":"Ives","given":"Jonathan","non-dropping-particle":"","parse-names":false,"suffix":""}],"container-title":"Bioethics","id":"ITEM-1","issue":"1","issued":{"date-parts":[["2021"]]},"page":"61-71","title":"Reasons To Redefine Moral Distress: a Feminist Empirical Bioethics Analysis","type":"article-journal","volume":"35"},"uris":["http://www.mendeley.com/documents/?uuid=68e1ad6d-f9ad-490d-a8cb-f30f8719ddb5"]}],"mendeley":{"formattedCitation":"(41)","plainTextFormattedCitation":"(41)","previouslyFormattedCitation":"(41)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(41)</w:t>
      </w:r>
      <w:r w:rsidRPr="006720E4">
        <w:rPr>
          <w:rFonts w:ascii="Calibri" w:hAnsi="Calibri" w:cs="Calibri"/>
          <w:sz w:val="22"/>
          <w:szCs w:val="22"/>
        </w:rPr>
        <w:fldChar w:fldCharType="end"/>
      </w:r>
      <w:r w:rsidRPr="006720E4">
        <w:rPr>
          <w:rFonts w:ascii="Calibri" w:hAnsi="Calibri" w:cs="Calibri"/>
          <w:sz w:val="22"/>
          <w:szCs w:val="22"/>
        </w:rPr>
        <w:t xml:space="preserve"> This includes situations where there are institutional or system constraints on action, where the ethically right thing to do is not evident even after investigation, or where the chosen course of action seems to be the result of the choice between equally poor options. Patients and family members may also experience moral distress, particularly when making decisions on behalf of others.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{"citationItems":[{"id":"ITEM-1","itemData":{"DOI":"10.1177/0969733019878838","ISSN":"14770989","PMID":"32138577","abstract":"Background: Moral distress is an important and well-studied phenomenon among nurses and other healthcare providers, yet the conceptualization of parental moral distress remains unclear. Objective: The objective of this dimensional analysis was to describe the nature of family moral distress in serious pediatric illness. Design and methods: A dimensional analysis of articles retrieved from a librarian-assisted systematic review of Scopus, CINAHL, and PsychInfo was conducted, focusing on how children, parents, other family members, and healthcare providers describe parental moral distress, both explicitly through writings on parental moral experience and implicitly through writings on parental involvement in distressing aspects of the child’s serious illness. Ethical considerations: To promote child and family best interest and minimize harm, a nuanced understanding of the moral, existential, emotional, and spiritual impact of serious pediatric illness is needed. The cases used in this dimensional analysis come from the first author’s IRB approved study at the Children’s Hospital of Philadelphia and subsequent published studies; or have been adapted from the literature and the authors’ clinical experiences. Findings: Three dimensions emerged from the literature surrounding parent moral distress: an intrapersonal dimension, an interpersonal dimension, and a spiritual/existential dimension. The overarching theme is that parents experience relational solace and distress because of the impact of their child’s illness on relationships with themselves, their children, family, healthcare providers, their surrounding communities, and society. Discussion: Elucidating this concept can help nurses and other professionals understand, mitigate, or eliminate antecedents to parental moral distress. We discuss how this model can facilitate future empirical and conceptual bioethics research, as well as inform the manner in which healthcare providers engage, collaborate with, and care for families during serious pediatric illness. Conclusion: Parent moral distress is an important and complex phenomenon that requires further theoretical and empirical investigation. We provide an integrated definition and dimensional schematic model that may serve as a starting point for future research and dialogue.","author":[{"dropping-particle":"","family":"Mooney-Doyle","given":"Kim","non-dropping-particle":"","parse-names":false,"suffix":""},{"dropping-particle":"","family":"Ulrich","given":"Connie M.","non-dropping-particle":"","parse-names":false,"suffix":""}],"container-title":"Nursing Ethics","id":"ITEM-1","issue":"3","issued":{"date-parts":[["2020"]]},"page":"821-837","title":"Parent moral distress in serious pediatric illness: A dimensional analysis","type":"article-journal","volume":"27"},"uris":["http://www.mendeley.com/documents/?uuid=c81af151-79cc-4cea-b7af-32ed13b9cdf8"]},{"id":"ITEM-2","itemData":{"DOI":"10.1186/s12904-020-00573-6","ISBN":"1290402000","ISSN":"1472684X","PMID":"32423444","abstract":"Background: Caring for patients with advanced or terminal diseases can confront family caregivers (FC) with ethical challenges. The present study aims at tracing paths connected to ethical challenges among FC of advanced cancer patients by exploring morally troubling situations and related burden, as well as strategies to handle the situation and experience of moral distress from the grieving FC's perspective. Methods: Within a qualitative design, interviews with 12 grieving FC were conducted using a semi-structured interview guide. Data were analysed using grounded theory and abductive reasoning. Results: Core phenomena identified were two paths connected to ethical challenges among FC. Ethical challenges occurred in the context of difficult decision-making (Path 1) and in the context of lacking decision-making options when no decision was to be made by FC (Path 2). We found each path to be triggered by distinct sets of morally troubling situations that occurred during the patient's disease trajectory. In the course of difficult decision-making (Path 1), detrimental external factors could add emotional stress, thus making the decision-making process burdensome. FC used various proactive strategies to overcome those detrimental factors and/or to make the decision. Decisions in conflict with FCs' own moral expectations and values led to moral distress, generating painful emotions. When no decision was to be made by FC (Path 2), FC felt powerless and overrun, which was associated with major emotionality in terms of anxiety and confusion. Either detrimental factors aggravated these feelings to paralyzing shock, or internal resources enabled FC to accept the situation. While acceptance prevented moral distress, paralyzing shock often caused a sense of not meeting their their own moral expectations and values, resulting in moral distress. In both paths, factors were identified that helped FC finding closure and prevented moral residue. Nevertheless, some FC experienced residual moral distress months after the morally troubling situation had occurred. Conclusion: Findings provide first information towards understanding paths leading to ethical challenges in FC and can help clinicians to minimize associated emotional burden and moral distress.","author":[{"dropping-particle":"","family":"Ullrich","given":"Anneke","non-dropping-particle":"","parse-names":false,"suffix":""},{"dropping-particle":"","family":"Theochari","given":"Marianna","non-dropping-particle":"","parse-names":false,"suffix":""},{"dropping-particle":"","family":"Bergelt","given":"Corinna","non-dropping-particle":"","parse-names":false,"suffix":""},{"dropping-particle":"","family":"Marx","given":"Gabriella","non-dropping-particle":"","parse-names":false,"suffix":""},{"dropping-particle":"","family":"Woellert","given":"Katharina","non-dropping-particle":"","parse-names":false,"suffix":""},{"dropping-particle":"","family":"Bokemeyer","given":"Carsten","non-dropping-particle":"","parse-names":false,"suffix":""},{"dropping-particle":"","family":"Oechsle","given":"Karin","non-dropping-particle":"","parse-names":false,"suffix":""}],"container-title":"BMC Palliative Care","id":"ITEM-2","issue":"1","issued":{"date-parts":[["2020"]]},"page":"1-13","publisher":"BMC Palliative Care","title":"Ethical challenges in family caregivers of patients with advanced cancer - A qualitative study","type":"article-journal","volume":"19"},"uris":["http://www.mendeley.com/documents/?uuid=142ec6c6-6723-4011-afad-cee6865e7c5e"]}],"mendeley":{"formattedCitation":"(42,43)","plainTextFormattedCitation":"(42,43)","previouslyFormattedCitation":"(42,43)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(42,43)</w:t>
      </w:r>
      <w:r w:rsidRPr="006720E4">
        <w:rPr>
          <w:rFonts w:ascii="Calibri" w:hAnsi="Calibri" w:cs="Calibri"/>
          <w:sz w:val="22"/>
          <w:szCs w:val="22"/>
        </w:rPr>
        <w:fldChar w:fldCharType="end"/>
      </w:r>
      <w:r w:rsidRPr="006720E4">
        <w:rPr>
          <w:rFonts w:ascii="Calibri" w:hAnsi="Calibri" w:cs="Calibri"/>
          <w:sz w:val="22"/>
          <w:szCs w:val="22"/>
        </w:rPr>
        <w:t xml:space="preserve"> </w:t>
      </w:r>
    </w:p>
    <w:p w14:paraId="1436F406" w14:textId="2B6CA88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It is important for individuals and institutions to be aware of moral distress and consider ways in which to address it. This is because such distress can be a sign of underlying ethical issues that should be addressed, and because moral distress may be linked to burnout and staff turnover, and to moral injury.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10.1007/978-3-030-40033-0","ISBN":"9783030400330","author":[{"dropping-particle":"","family":"Morley","given":"Georgina","non-dropping-particle":"","parse-names":false,"suffix":""},{"dropping-particle":"","family":"Bradbury-jones","given":"Caroline","non-dropping-particle":"","parse-names":false,"suffix":""},{"dropping-particle":"","family":"Ives","given":"Jonathan","non-dropping-particle":"","parse-names":false,"suffix":""}],"chapter-number":"22","container-title":"Contemporary European Perspectives on the Ethics of End of Life Care","editor":[{"dropping-particle":"","family":"Emmerich","given":"Nathan","non-dropping-particle":"","parse-names":false,"suffix":""},{"dropping-particle":"","family":"Mallia","given":"Pierre","non-dropping-particle":"","parse-names":false,"suffix":""},{"dropping-particle":"","family":"Gordjin","given":"Bert","non-dropping-particle":"","parse-names":false,"suffix":""},{"dropping-particle":"","family":"Pistoia","given":"Francesca","non-dropping-particle":"","parse-names":false,"suffix":""}],"id":"ITEM-1","issued":{"date-parts":[["2020"]]},"page":"335-353","publisher":"Springer","title":"Moral Distress in End-of-Life Care","type":"chapter"},"uris":["http://www.mendeley.com/documents/?uuid=fd4c170c-1ee4-46a3-af79-9e88b3457953"]}],"mendeley":{"formattedCitation":"(44)","plainTextFormattedCitation":"(44)","previouslyFormattedCitation":"(44)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(44)</w:t>
      </w:r>
      <w:r w:rsidRPr="006720E4">
        <w:rPr>
          <w:rFonts w:ascii="Calibri" w:hAnsi="Calibri" w:cs="Calibri"/>
          <w:sz w:val="22"/>
          <w:szCs w:val="22"/>
        </w:rPr>
        <w:fldChar w:fldCharType="end"/>
      </w:r>
      <w:r w:rsidRPr="006720E4">
        <w:rPr>
          <w:rFonts w:ascii="Calibri" w:hAnsi="Calibri" w:cs="Calibri"/>
          <w:sz w:val="22"/>
          <w:szCs w:val="22"/>
        </w:rPr>
        <w:t xml:space="preserve"> Prevention of moral distress is a key component of care for patients, their families and health professionals. </w:t>
      </w:r>
    </w:p>
    <w:p w14:paraId="1B3C3A2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Engaging in explicit ethical deliberation within the healthcare team and with patients and their families throughout the process of making challenging decisions can help individuals to develop a clearer understanding of why decisions are made and their own role in decision-making. This also helps to ensure that everyone has the opportunity to express and explain their own views. Investing time and care in ethical decision-making including recognition and resolution of potential ethical disagreements may help to support acceptance of decisions and reduce the incidence of decisional regret, in which individuals feel the wrong decision was made.</w:t>
      </w:r>
    </w:p>
    <w:p w14:paraId="708F0DC7" w14:textId="7CD5F12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Where moral distress occurs, strategies should be used to support patients, family members and health professionals in managing their distress and prevent the development of longer term moral injury.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{"citationItems":[{"id":"ITEM-1","itemData":{"DOI":"10.1053/j.ajkd.2019.09.018","ISSN":"15236838","PMID":"31866229","abstract":"Moral distress occurs when individuals are unable to act in accordance with what they believe to be ethically correct or just. It results from a discrepancy between a clinician's perception of “the right thing to do” and what is actually happening and is perpetuated by perceived constraints that limit the individual from speaking up or enacting change. Moral distress is reported by many clinicians in caring for patients with serious illness, including chronic kidney disease and kidney failure. If left unidentified, unexpressed, or unaddressed, moral distress may cause burnout, exhaustion, detachment, and ineffectiveness. At an extreme, moral distress may lead to a desire to abandon the speciality entirely. This article offers an international perspective on moral distress in nephrology in diverse contexts and health care systems. We examine and discuss the sociocultural factors that contribute to moral distress in nephrology and offer suggestions for interventions from individual provider, facility, and health care systems perspectives to reduce the impact of moral distress on nephrology providers.","author":[{"dropping-particle":"","family":"Ducharlet","given":"Kathryn","non-dropping-particle":"","parse-names":false,"suffix":""},{"dropping-particle":"","family":"Philip","given":"Jennifer","non-dropping-particle":"","parse-names":false,"suffix":""},{"dropping-particle":"","family":"Gock","given":"Hilton","non-dropping-particle":"","parse-names":false,"suffix":""},{"dropping-particle":"","family":"Brown","given":"Mark","non-dropping-particle":"","parse-names":false,"suffix":""},{"dropping-particle":"","family":"Gelfand","given":"Samantha L.","non-dropping-particle":"","parse-names":false,"suffix":""},{"dropping-particle":"","family":"Josland","given":"Elizabeth A.","non-dropping-particle":"","parse-names":false,"suffix":""},{"dropping-particle":"","family":"Brennan","given":"Frank","non-dropping-particle":"","parse-names":false,"suffix":""}],"container-title":"American Journal of Kidney Diseases","id":"ITEM-1","issue":"2","issued":{"date-parts":[["2020"]]},"page":"248-254","publisher":"Elsevier Inc","title":"Moral Distress in Nephrology: Perceived Barriers to Ethical Clinical Care","type":"article-journal","volume":"76"},"uris":["http://www.mendeley.com/documents/?uuid=b64f3825-dc99-45f5-89a3-6825e34eafc2"]}],"mendeley":{"formattedCitation":"(45)","plainTextFormattedCitation":"(45)","previouslyFormattedCitation":"(45)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(45)</w:t>
      </w:r>
      <w:r w:rsidRPr="006720E4">
        <w:rPr>
          <w:rFonts w:ascii="Calibri" w:hAnsi="Calibri" w:cs="Calibri"/>
          <w:sz w:val="22"/>
          <w:szCs w:val="22"/>
        </w:rPr>
        <w:fldChar w:fldCharType="end"/>
      </w:r>
      <w:r w:rsidRPr="006720E4">
        <w:rPr>
          <w:rFonts w:ascii="Calibri" w:hAnsi="Calibri" w:cs="Calibri"/>
          <w:sz w:val="22"/>
          <w:szCs w:val="22"/>
        </w:rPr>
        <w:t xml:space="preserve"> These include:</w:t>
      </w:r>
    </w:p>
    <w:p w14:paraId="3B108CEB"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reflective practices to assist in working through difficult emotions such as counselling and team debriefs. </w:t>
      </w:r>
    </w:p>
    <w:p w14:paraId="04FAF681" w14:textId="31809468" w:rsidR="006C6EBA" w:rsidRPr="006720E4" w:rsidRDefault="006C6EBA" w:rsidP="00EA22AE">
      <w:pPr>
        <w:pStyle w:val="BulletList"/>
        <w:spacing w:after="120"/>
        <w:contextualSpacing w:val="0"/>
        <w:rPr>
          <w:rFonts w:cs="Calibri"/>
          <w:szCs w:val="22"/>
        </w:rPr>
      </w:pPr>
      <w:r w:rsidRPr="006720E4">
        <w:rPr>
          <w:rFonts w:cs="Calibri"/>
          <w:szCs w:val="22"/>
        </w:rPr>
        <w:t xml:space="preserve">reviewing ethical decisions and their outcomes in order to inform future decision-making and strategies that prevent future issues may also help to address moral distress. </w:t>
      </w:r>
    </w:p>
    <w:p w14:paraId="2ACF7241" w14:textId="2CCA14FA" w:rsidR="006C6EBA" w:rsidRPr="006720E4" w:rsidRDefault="006C6EBA" w:rsidP="00EA22AE">
      <w:pPr>
        <w:pStyle w:val="BulletList"/>
        <w:spacing w:after="120"/>
        <w:contextualSpacing w:val="0"/>
        <w:rPr>
          <w:rFonts w:cs="Calibri"/>
          <w:szCs w:val="22"/>
        </w:rPr>
      </w:pPr>
      <w:r w:rsidRPr="006720E4">
        <w:rPr>
          <w:rFonts w:cs="Calibri"/>
          <w:szCs w:val="22"/>
        </w:rPr>
        <w:t>advocating for changes in constraints that are amenable to change may help people experiencing moral distress to regain a sense of ethical agency in their lives.</w:t>
      </w:r>
    </w:p>
    <w:p w14:paraId="735EF4B6" w14:textId="77777777" w:rsidR="006C6EBA" w:rsidRPr="006720E4" w:rsidRDefault="006C6EBA" w:rsidP="00EA22AE">
      <w:pPr>
        <w:pStyle w:val="Heading2"/>
        <w:spacing w:after="120"/>
      </w:pPr>
      <w:bookmarkStart w:id="1071" w:name="_Legislation"/>
      <w:bookmarkStart w:id="1072" w:name="_Laws"/>
      <w:bookmarkStart w:id="1073" w:name="_Conflicts_of_interest"/>
      <w:bookmarkStart w:id="1074" w:name="_Toc70328724"/>
      <w:bookmarkStart w:id="1075" w:name="_Toc70333954"/>
      <w:bookmarkStart w:id="1076" w:name="_Toc70414832"/>
      <w:bookmarkStart w:id="1077" w:name="_Toc70844158"/>
      <w:bookmarkStart w:id="1078" w:name="_Toc70858982"/>
      <w:bookmarkStart w:id="1079" w:name="_Toc70861083"/>
      <w:bookmarkStart w:id="1080" w:name="_Toc70876567"/>
      <w:bookmarkStart w:id="1081" w:name="_Toc72615090"/>
      <w:bookmarkStart w:id="1082" w:name="_Toc73129810"/>
      <w:bookmarkStart w:id="1083" w:name="_Toc73301679"/>
      <w:bookmarkStart w:id="1084" w:name="_Toc73302185"/>
      <w:bookmarkStart w:id="1085" w:name="_Toc73303318"/>
      <w:bookmarkStart w:id="1086" w:name="_Toc73303565"/>
      <w:bookmarkStart w:id="1087" w:name="_Toc74080682"/>
      <w:bookmarkStart w:id="1088" w:name="_Toc74080990"/>
      <w:bookmarkStart w:id="1089" w:name="_Toc74081220"/>
      <w:bookmarkStart w:id="1090" w:name="_Toc74081463"/>
      <w:bookmarkStart w:id="1091" w:name="_Toc74171051"/>
      <w:bookmarkStart w:id="1092" w:name="_Toc74172240"/>
      <w:bookmarkStart w:id="1093" w:name="_Toc74172776"/>
      <w:bookmarkStart w:id="1094" w:name="_Toc74238725"/>
      <w:bookmarkStart w:id="1095" w:name="_Toc78304758"/>
      <w:bookmarkStart w:id="1096" w:name="_Toc79330846"/>
      <w:bookmarkStart w:id="1097" w:name="_Toc79331226"/>
      <w:bookmarkStart w:id="1098" w:name="_Toc79406339"/>
      <w:bookmarkStart w:id="1099" w:name="_Toc82773513"/>
      <w:bookmarkStart w:id="1100" w:name="_Toc82773866"/>
      <w:bookmarkStart w:id="1101" w:name="_Toc128314195"/>
      <w:bookmarkStart w:id="1102" w:name="_Toc135131439"/>
      <w:bookmarkEnd w:id="957"/>
      <w:bookmarkEnd w:id="958"/>
      <w:bookmarkEnd w:id="959"/>
      <w:bookmarkEnd w:id="960"/>
      <w:bookmarkEnd w:id="961"/>
      <w:bookmarkEnd w:id="1071"/>
      <w:bookmarkEnd w:id="1072"/>
      <w:bookmarkEnd w:id="1073"/>
      <w:r w:rsidRPr="006720E4">
        <w:t>Conflicts of interest in decision-making</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14:paraId="293EDD0A" w14:textId="0E5E8C52" w:rsidR="003B6DEC" w:rsidRPr="006720E4" w:rsidRDefault="006C6EBA" w:rsidP="00EA22AE">
      <w:pPr>
        <w:spacing w:after="120"/>
        <w:rPr>
          <w:rFonts w:ascii="Calibri" w:hAnsi="Calibri" w:cs="Calibri"/>
          <w:sz w:val="22"/>
          <w:szCs w:val="22"/>
        </w:rPr>
      </w:pPr>
      <w:r w:rsidRPr="006720E4">
        <w:rPr>
          <w:rFonts w:ascii="Calibri" w:hAnsi="Calibri" w:cs="Calibri"/>
          <w:sz w:val="22"/>
          <w:szCs w:val="22"/>
        </w:rPr>
        <w:t>Decision-making in healthcare, and especially in the context of donation and transplantation, can involve multiple people and organi</w:t>
      </w:r>
      <w:r w:rsidR="000208BF">
        <w:rPr>
          <w:rFonts w:ascii="Calibri" w:hAnsi="Calibri" w:cs="Calibri"/>
          <w:sz w:val="22"/>
          <w:szCs w:val="22"/>
        </w:rPr>
        <w:t>s</w:t>
      </w:r>
      <w:r w:rsidRPr="006720E4">
        <w:rPr>
          <w:rFonts w:ascii="Calibri" w:hAnsi="Calibri" w:cs="Calibri"/>
          <w:sz w:val="22"/>
          <w:szCs w:val="22"/>
        </w:rPr>
        <w:t xml:space="preserve">ations or institutions, all of whom may hold multiple interests of relevance to a particular decision. </w:t>
      </w:r>
      <w:r w:rsidR="00176412" w:rsidRPr="006720E4">
        <w:rPr>
          <w:rFonts w:ascii="Calibri" w:hAnsi="Calibri" w:cs="Calibri"/>
          <w:sz w:val="22"/>
          <w:szCs w:val="22"/>
        </w:rPr>
        <w:t xml:space="preserve">As outlined in Principle 4, potential conflicts of interest should be avoided and appropriately managed when they are unavoidable (see </w:t>
      </w:r>
      <w:hyperlink w:anchor="_Principle_4._In" w:history="1">
        <w:r w:rsidR="00176412" w:rsidRPr="006720E4">
          <w:rPr>
            <w:rStyle w:val="Hyperlink"/>
            <w:rFonts w:ascii="Calibri" w:hAnsi="Calibri" w:cs="Calibri"/>
            <w:sz w:val="22"/>
            <w:szCs w:val="22"/>
            <w:lang w:val="en-GB"/>
          </w:rPr>
          <w:t>Chapter 3.3.4</w:t>
        </w:r>
      </w:hyperlink>
      <w:r w:rsidR="00176412" w:rsidRPr="006720E4">
        <w:rPr>
          <w:rFonts w:ascii="Calibri" w:hAnsi="Calibri" w:cs="Calibri"/>
          <w:sz w:val="22"/>
          <w:szCs w:val="22"/>
        </w:rPr>
        <w:t>).</w:t>
      </w:r>
    </w:p>
    <w:p w14:paraId="1CDEE6CD" w14:textId="4F3D02A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a person or other entity has a conflict of interest in a particular situation, this creates concerns about the potential impact of this conflict on decision-making. Specifically, it causes concern that individuals may fail to make decisions or act in accordance with their primary ethical obligation - such as a duty of care towards patients (see </w:t>
      </w:r>
      <w:hyperlink w:anchor="_Duty_of_care" w:history="1">
        <w:r w:rsidR="003B6DEC" w:rsidRPr="006720E4">
          <w:rPr>
            <w:rStyle w:val="Hyperlink"/>
            <w:rFonts w:ascii="Calibri" w:hAnsi="Calibri" w:cs="Calibri"/>
            <w:sz w:val="22"/>
            <w:szCs w:val="22"/>
          </w:rPr>
          <w:t>Chapter</w:t>
        </w:r>
        <w:r w:rsidRPr="006720E4">
          <w:rPr>
            <w:rStyle w:val="Hyperlink"/>
            <w:rFonts w:ascii="Calibri" w:hAnsi="Calibri" w:cs="Calibri"/>
            <w:sz w:val="22"/>
            <w:szCs w:val="22"/>
          </w:rPr>
          <w:t xml:space="preserve"> </w:t>
        </w:r>
        <w:r w:rsidR="003B6DEC" w:rsidRPr="006720E4">
          <w:rPr>
            <w:rStyle w:val="Hyperlink"/>
            <w:rFonts w:ascii="Calibri" w:hAnsi="Calibri" w:cs="Calibri"/>
            <w:sz w:val="22"/>
            <w:szCs w:val="22"/>
          </w:rPr>
          <w:t>3</w:t>
        </w:r>
        <w:r w:rsidRPr="006720E4">
          <w:rPr>
            <w:rStyle w:val="Hyperlink"/>
            <w:rFonts w:ascii="Calibri" w:hAnsi="Calibri" w:cs="Calibri"/>
            <w:sz w:val="22"/>
            <w:szCs w:val="22"/>
          </w:rPr>
          <w:t>.</w:t>
        </w:r>
        <w:r w:rsidR="003B6DEC" w:rsidRPr="006720E4">
          <w:rPr>
            <w:rStyle w:val="Hyperlink"/>
            <w:rFonts w:ascii="Calibri" w:hAnsi="Calibri" w:cs="Calibri"/>
            <w:sz w:val="22"/>
            <w:szCs w:val="22"/>
          </w:rPr>
          <w:t>3.4</w:t>
        </w:r>
        <w:r w:rsidRPr="006720E4">
          <w:rPr>
            <w:rStyle w:val="Hyperlink"/>
            <w:rFonts w:ascii="Calibri" w:hAnsi="Calibri" w:cs="Calibri"/>
            <w:sz w:val="22"/>
            <w:szCs w:val="22"/>
          </w:rPr>
          <w:t>.1</w:t>
        </w:r>
      </w:hyperlink>
      <w:r w:rsidRPr="006720E4">
        <w:rPr>
          <w:rFonts w:ascii="Calibri" w:hAnsi="Calibri" w:cs="Calibri"/>
          <w:sz w:val="22"/>
          <w:szCs w:val="22"/>
        </w:rPr>
        <w:t xml:space="preserve">) - in a particular situation, due to the influence of their competing interests. </w:t>
      </w:r>
    </w:p>
    <w:p w14:paraId="2E49038A" w14:textId="1863512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Even when an actual conflict of interest does not exist, but rather a potential or perceived conflict of interest, these must be taken seriously. </w:t>
      </w:r>
    </w:p>
    <w:p w14:paraId="4219A065" w14:textId="3070CCF9" w:rsidR="006C6EBA" w:rsidRPr="006720E4" w:rsidRDefault="006C6EBA" w:rsidP="00EA22AE">
      <w:pPr>
        <w:pStyle w:val="ListParagraph"/>
        <w:numPr>
          <w:ilvl w:val="0"/>
          <w:numId w:val="11"/>
        </w:numPr>
        <w:spacing w:after="120"/>
        <w:contextualSpacing w:val="0"/>
        <w:rPr>
          <w:rFonts w:cs="Calibri"/>
          <w:szCs w:val="22"/>
          <w:lang w:val="en-US"/>
        </w:rPr>
      </w:pPr>
      <w:r w:rsidRPr="006720E4">
        <w:rPr>
          <w:rFonts w:cs="Calibri"/>
          <w:szCs w:val="22"/>
        </w:rPr>
        <w:t xml:space="preserve">A </w:t>
      </w:r>
      <w:r w:rsidRPr="006720E4">
        <w:rPr>
          <w:rFonts w:cs="Calibri"/>
          <w:b/>
          <w:bCs/>
          <w:szCs w:val="22"/>
        </w:rPr>
        <w:t>potential conflict of interest</w:t>
      </w:r>
      <w:r w:rsidRPr="006720E4">
        <w:rPr>
          <w:rFonts w:cs="Calibri"/>
          <w:szCs w:val="22"/>
        </w:rPr>
        <w:t xml:space="preserve"> is present in a </w:t>
      </w:r>
      <w:r w:rsidRPr="006720E4">
        <w:rPr>
          <w:rFonts w:cs="Calibri"/>
          <w:szCs w:val="22"/>
          <w:lang w:val="en-US"/>
        </w:rPr>
        <w:t xml:space="preserve">situation in which a person or </w:t>
      </w:r>
      <w:proofErr w:type="spellStart"/>
      <w:r w:rsidRPr="006720E4">
        <w:rPr>
          <w:rFonts w:cs="Calibri"/>
          <w:szCs w:val="22"/>
          <w:lang w:val="en-US"/>
        </w:rPr>
        <w:t>organi</w:t>
      </w:r>
      <w:r w:rsidR="000208BF">
        <w:rPr>
          <w:rFonts w:cs="Calibri"/>
          <w:szCs w:val="22"/>
          <w:lang w:val="en-US"/>
        </w:rPr>
        <w:t>s</w:t>
      </w:r>
      <w:r w:rsidRPr="006720E4">
        <w:rPr>
          <w:rFonts w:cs="Calibri"/>
          <w:szCs w:val="22"/>
          <w:lang w:val="en-US"/>
        </w:rPr>
        <w:t>ation</w:t>
      </w:r>
      <w:proofErr w:type="spellEnd"/>
      <w:r w:rsidRPr="006720E4">
        <w:rPr>
          <w:rFonts w:cs="Calibri"/>
          <w:szCs w:val="22"/>
          <w:lang w:val="en-US"/>
        </w:rPr>
        <w:t xml:space="preserve"> has multiple interests that </w:t>
      </w:r>
      <w:r w:rsidRPr="006720E4">
        <w:rPr>
          <w:rFonts w:cs="Calibri"/>
          <w:i/>
          <w:iCs/>
          <w:szCs w:val="22"/>
          <w:lang w:val="en-US"/>
        </w:rPr>
        <w:t>could</w:t>
      </w:r>
      <w:r w:rsidRPr="006720E4">
        <w:rPr>
          <w:rFonts w:cs="Calibri"/>
          <w:szCs w:val="22"/>
          <w:lang w:val="en-US"/>
        </w:rPr>
        <w:t xml:space="preserve"> conflict. Although a direct conflict of interest may not be present, </w:t>
      </w:r>
      <w:r w:rsidRPr="006720E4">
        <w:rPr>
          <w:rFonts w:cs="Calibri"/>
          <w:szCs w:val="22"/>
          <w:lang w:val="en-US"/>
        </w:rPr>
        <w:lastRenderedPageBreak/>
        <w:t xml:space="preserve">the fact that it could arise requires careful management to ensure it does not occur. A </w:t>
      </w:r>
      <w:r w:rsidRPr="006720E4">
        <w:rPr>
          <w:rFonts w:cs="Calibri"/>
          <w:b/>
          <w:bCs/>
          <w:szCs w:val="22"/>
          <w:lang w:val="en-US"/>
        </w:rPr>
        <w:t>perceived conflict of interest</w:t>
      </w:r>
      <w:r w:rsidRPr="006720E4">
        <w:rPr>
          <w:rFonts w:cs="Calibri"/>
          <w:szCs w:val="22"/>
          <w:lang w:val="en-US"/>
        </w:rPr>
        <w:t xml:space="preserve"> occurs when there is a situation in which there might </w:t>
      </w:r>
      <w:r w:rsidRPr="006720E4">
        <w:rPr>
          <w:rFonts w:cs="Calibri"/>
          <w:i/>
          <w:iCs/>
          <w:szCs w:val="22"/>
          <w:lang w:val="en-US"/>
        </w:rPr>
        <w:t>appear</w:t>
      </w:r>
      <w:r w:rsidRPr="006720E4">
        <w:rPr>
          <w:rFonts w:cs="Calibri"/>
          <w:szCs w:val="22"/>
          <w:lang w:val="en-US"/>
        </w:rPr>
        <w:t xml:space="preserve"> to be a conflict of interest, or a potential conflict of interest, even if there is no actual conflict of interest. If people perceive that there is a conflict of interest, this could cause them to lose trust in the decision-making even if there is in fact no conflict. </w:t>
      </w:r>
    </w:p>
    <w:p w14:paraId="6C2B25AB" w14:textId="028EC981" w:rsidR="006C6EBA" w:rsidRPr="006720E4" w:rsidRDefault="006C6EBA" w:rsidP="00EA22AE">
      <w:pPr>
        <w:spacing w:after="120"/>
        <w:rPr>
          <w:rFonts w:ascii="Calibri" w:hAnsi="Calibri" w:cs="Calibri"/>
          <w:sz w:val="22"/>
          <w:szCs w:val="22"/>
        </w:rPr>
      </w:pPr>
      <w:r w:rsidRPr="006720E4">
        <w:rPr>
          <w:rFonts w:ascii="Calibri" w:hAnsi="Calibri" w:cs="Calibri"/>
          <w:sz w:val="22"/>
          <w:szCs w:val="22"/>
          <w:lang w:val="en-US"/>
        </w:rPr>
        <w:t xml:space="preserve">Although some potential conflicts of interest may seem obvious, others may be less readily identified and thus more likely to overlooked. More subtle conflicts of interest include those that may be embedded in institutional policies or systems. </w:t>
      </w:r>
      <w:r w:rsidRPr="006720E4">
        <w:rPr>
          <w:rFonts w:ascii="Calibri" w:hAnsi="Calibri" w:cs="Calibri"/>
          <w:sz w:val="22"/>
          <w:szCs w:val="22"/>
        </w:rPr>
        <w:t xml:space="preserve">Interests that may conflict in a particular situation include potential private or personal, professional, financial, institutional, and spiritual values, goals, commitments, or relationships. Concerns about conflicts of interest in the context of specific donation and transplantation activities are explored throughout these guidelines. </w:t>
      </w:r>
    </w:p>
    <w:p w14:paraId="4E510F4D" w14:textId="3AD4FAD5" w:rsidR="006C6EBA" w:rsidRPr="006720E4" w:rsidRDefault="006C6EBA" w:rsidP="00EA22AE">
      <w:pPr>
        <w:pStyle w:val="Heading3"/>
        <w:spacing w:after="120"/>
      </w:pPr>
      <w:bookmarkStart w:id="1103" w:name="_Toc79406340"/>
      <w:bookmarkStart w:id="1104" w:name="_Toc82773514"/>
      <w:bookmarkStart w:id="1105" w:name="_Toc82773867"/>
      <w:r w:rsidRPr="006720E4">
        <w:t>Examples of potential conflicts of interest in donation and transplantation</w:t>
      </w:r>
      <w:bookmarkEnd w:id="1103"/>
      <w:bookmarkEnd w:id="1104"/>
      <w:bookmarkEnd w:id="1105"/>
    </w:p>
    <w:p w14:paraId="16C4D252" w14:textId="29AE979A" w:rsidR="006C6EBA" w:rsidRPr="006720E4" w:rsidRDefault="006C6EBA" w:rsidP="00C3783C">
      <w:pPr>
        <w:pStyle w:val="ListParagraph"/>
        <w:numPr>
          <w:ilvl w:val="0"/>
          <w:numId w:val="51"/>
        </w:numPr>
        <w:spacing w:after="120"/>
        <w:contextualSpacing w:val="0"/>
        <w:rPr>
          <w:rFonts w:cs="Calibri"/>
          <w:szCs w:val="22"/>
        </w:rPr>
      </w:pPr>
      <w:r w:rsidRPr="006720E4">
        <w:rPr>
          <w:rFonts w:cs="Calibri"/>
          <w:szCs w:val="22"/>
        </w:rPr>
        <w:t xml:space="preserve">A parent has a primary duty of care towards their two children. If one of the children requires a lifesaving bone marrow transplant and the other child is the only suitable donor, the parent has a conflict of interest in making a decision about donation. Their desire to save the life of one child may conflict with their duty to protect their other child who may be at risk of harm from </w:t>
      </w:r>
      <w:r w:rsidRPr="005C66C9">
        <w:rPr>
          <w:rFonts w:cs="Calibri"/>
          <w:szCs w:val="22"/>
        </w:rPr>
        <w:t xml:space="preserve">donation (see </w:t>
      </w:r>
      <w:hyperlink w:anchor="_Management_of_conflicts_1" w:history="1">
        <w:r w:rsidRPr="005C66C9">
          <w:rPr>
            <w:rStyle w:val="Hyperlink"/>
            <w:rFonts w:cs="Calibri"/>
            <w:szCs w:val="22"/>
          </w:rPr>
          <w:t xml:space="preserve">Chapter </w:t>
        </w:r>
        <w:r w:rsidR="00176412" w:rsidRPr="005C66C9">
          <w:rPr>
            <w:rStyle w:val="Hyperlink"/>
            <w:rFonts w:cs="Calibri"/>
            <w:szCs w:val="22"/>
          </w:rPr>
          <w:t>5</w:t>
        </w:r>
        <w:r w:rsidRPr="005C66C9">
          <w:rPr>
            <w:rStyle w:val="Hyperlink"/>
            <w:rFonts w:cs="Calibri"/>
            <w:szCs w:val="22"/>
          </w:rPr>
          <w:t>.5.3.3</w:t>
        </w:r>
      </w:hyperlink>
      <w:r w:rsidRPr="005C66C9">
        <w:rPr>
          <w:rFonts w:cs="Calibri"/>
          <w:szCs w:val="22"/>
        </w:rPr>
        <w:t>)</w:t>
      </w:r>
      <w:r w:rsidRPr="006720E4">
        <w:rPr>
          <w:rFonts w:cs="Calibri"/>
          <w:szCs w:val="22"/>
        </w:rPr>
        <w:t xml:space="preserve">  </w:t>
      </w:r>
    </w:p>
    <w:p w14:paraId="17C542FF" w14:textId="14F4CDF7" w:rsidR="006C6EBA" w:rsidRPr="006720E4" w:rsidRDefault="006C6EBA" w:rsidP="00C3783C">
      <w:pPr>
        <w:pStyle w:val="ListParagraph"/>
        <w:numPr>
          <w:ilvl w:val="0"/>
          <w:numId w:val="51"/>
        </w:numPr>
        <w:spacing w:after="120"/>
        <w:contextualSpacing w:val="0"/>
        <w:rPr>
          <w:rFonts w:cs="Calibri"/>
          <w:szCs w:val="22"/>
        </w:rPr>
      </w:pPr>
      <w:r w:rsidRPr="006720E4">
        <w:rPr>
          <w:rFonts w:cs="Calibri"/>
          <w:szCs w:val="22"/>
        </w:rPr>
        <w:t xml:space="preserve">A person making a decision about tissue donation on behalf of a relative who has died may have an interest in donation taking place, for example, because they expect to feel some comfort if donation occurs or simply because they know that donation is what their relative wanted. They may also have an interest in declining donation, if this means that they will be able to proceed more quickly in making funeral arrangements and removing their loved one’s body from the hospital. These two interests or goals may conflict if it is not possible to achieve both of them without some degree of compromise. In this situation, the person making a decision has a primary duty to respect the deceased’s wishes where these are </w:t>
      </w:r>
      <w:r w:rsidRPr="00EA22AE">
        <w:rPr>
          <w:rFonts w:cs="Calibri"/>
          <w:szCs w:val="22"/>
        </w:rPr>
        <w:t xml:space="preserve">known (see </w:t>
      </w:r>
      <w:hyperlink w:anchor="_Approach_to_substitute" w:history="1">
        <w:r w:rsidRPr="00EA22AE">
          <w:rPr>
            <w:rStyle w:val="Hyperlink"/>
            <w:rFonts w:cs="Calibri"/>
            <w:szCs w:val="22"/>
          </w:rPr>
          <w:t xml:space="preserve">Chapter </w:t>
        </w:r>
        <w:r w:rsidR="00EA22AE" w:rsidRPr="00EA22AE">
          <w:rPr>
            <w:rStyle w:val="Hyperlink"/>
            <w:rFonts w:cs="Calibri"/>
            <w:szCs w:val="22"/>
          </w:rPr>
          <w:t>4</w:t>
        </w:r>
        <w:r w:rsidRPr="00EA22AE">
          <w:rPr>
            <w:rStyle w:val="Hyperlink"/>
            <w:rFonts w:cs="Calibri"/>
            <w:szCs w:val="22"/>
          </w:rPr>
          <w:t>.4.2.2</w:t>
        </w:r>
      </w:hyperlink>
      <w:r w:rsidRPr="00EA22AE">
        <w:rPr>
          <w:rFonts w:cs="Calibri"/>
          <w:szCs w:val="22"/>
        </w:rPr>
        <w:t>).</w:t>
      </w:r>
    </w:p>
    <w:p w14:paraId="05A7F4C0" w14:textId="743EEE97" w:rsidR="006C6EBA" w:rsidRPr="006720E4" w:rsidRDefault="006C6EBA" w:rsidP="00EA22AE">
      <w:pPr>
        <w:pStyle w:val="Heading3"/>
        <w:spacing w:after="120"/>
      </w:pPr>
      <w:bookmarkStart w:id="1106" w:name="_Management_of_conflicts"/>
      <w:bookmarkStart w:id="1107" w:name="_Toc70414833"/>
      <w:bookmarkStart w:id="1108" w:name="_Toc70844159"/>
      <w:bookmarkStart w:id="1109" w:name="_Toc72615091"/>
      <w:bookmarkStart w:id="1110" w:name="_Toc73129811"/>
      <w:bookmarkStart w:id="1111" w:name="_Toc73301680"/>
      <w:bookmarkStart w:id="1112" w:name="_Toc73302186"/>
      <w:bookmarkStart w:id="1113" w:name="_Toc73303319"/>
      <w:bookmarkStart w:id="1114" w:name="_Toc73303566"/>
      <w:bookmarkStart w:id="1115" w:name="_Toc74080683"/>
      <w:bookmarkStart w:id="1116" w:name="_Toc74080991"/>
      <w:bookmarkStart w:id="1117" w:name="_Toc74081221"/>
      <w:bookmarkStart w:id="1118" w:name="_Toc74081464"/>
      <w:bookmarkStart w:id="1119" w:name="_Toc74171052"/>
      <w:bookmarkStart w:id="1120" w:name="_Toc74172241"/>
      <w:bookmarkStart w:id="1121" w:name="_Toc74172777"/>
      <w:bookmarkStart w:id="1122" w:name="_Toc74238726"/>
      <w:bookmarkStart w:id="1123" w:name="_Toc79406341"/>
      <w:bookmarkStart w:id="1124" w:name="_Toc82773515"/>
      <w:bookmarkStart w:id="1125" w:name="_Toc82773868"/>
      <w:bookmarkEnd w:id="1106"/>
      <w:r w:rsidRPr="006720E4">
        <w:t>Management of conflicts of interest</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Pr="006720E4">
        <w:t xml:space="preserve"> </w:t>
      </w:r>
    </w:p>
    <w:p w14:paraId="1DC2E45F" w14:textId="7BFA0290" w:rsidR="006C6EBA" w:rsidRDefault="006C6EBA" w:rsidP="00EA22AE">
      <w:pPr>
        <w:spacing w:after="120"/>
        <w:rPr>
          <w:rFonts w:ascii="Calibri" w:hAnsi="Calibri" w:cs="Calibri"/>
          <w:sz w:val="22"/>
          <w:szCs w:val="22"/>
        </w:rPr>
      </w:pPr>
      <w:r w:rsidRPr="006720E4">
        <w:rPr>
          <w:rFonts w:ascii="Calibri" w:hAnsi="Calibri" w:cs="Calibri"/>
          <w:sz w:val="22"/>
          <w:szCs w:val="22"/>
        </w:rPr>
        <w:t xml:space="preserve">Several general strategies are recommended to assist in managing </w:t>
      </w:r>
      <w:r w:rsidR="0039113C" w:rsidRPr="006720E4">
        <w:rPr>
          <w:rFonts w:ascii="Calibri" w:hAnsi="Calibri" w:cs="Calibri"/>
          <w:sz w:val="22"/>
          <w:szCs w:val="22"/>
        </w:rPr>
        <w:t xml:space="preserve">perceived, </w:t>
      </w:r>
      <w:r w:rsidRPr="006720E4">
        <w:rPr>
          <w:rFonts w:ascii="Calibri" w:hAnsi="Calibri" w:cs="Calibri"/>
          <w:sz w:val="22"/>
          <w:szCs w:val="22"/>
        </w:rPr>
        <w:t xml:space="preserve">potential and actual conflicts of interest to ensure that these do not inappropriately influence </w:t>
      </w:r>
      <w:r w:rsidR="0039113C" w:rsidRPr="006720E4">
        <w:rPr>
          <w:rFonts w:ascii="Calibri" w:hAnsi="Calibri" w:cs="Calibri"/>
          <w:sz w:val="22"/>
          <w:szCs w:val="22"/>
        </w:rPr>
        <w:t xml:space="preserve">or appear to influence </w:t>
      </w:r>
      <w:r w:rsidRPr="006720E4">
        <w:rPr>
          <w:rFonts w:ascii="Calibri" w:hAnsi="Calibri" w:cs="Calibri"/>
          <w:sz w:val="22"/>
          <w:szCs w:val="22"/>
        </w:rPr>
        <w:t>decision-making or practice.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{"citationItems":[{"id":"ITEM-1","itemData":{"abstract":"Australian Health Practitioner Regulation Agency","author":[{"dropping-particle":"","family":"Medical Board of Australia","given":"(MBA)","non-dropping-particle":"","parse-names":false,"suffix":""}],"id":"ITEM-1","issue":"October","issued":{"date-parts":[["2020"]]},"title":"Good Medical Practice: A Code of Conduct for Doctors in Australia","type":"report"},"uris":["http://www.mendeley.com/documents/?uuid=8724ae4b-ea8f-4948-8468-c57db68b0066"]}],"mendeley":{"formattedCitation":"(46)","plainTextFormattedCitation":"(46)","previouslyFormattedCitation":"(46)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(46)</w:t>
      </w:r>
      <w:r w:rsidRPr="006720E4">
        <w:rPr>
          <w:rFonts w:ascii="Calibri" w:hAnsi="Calibri" w:cs="Calibri"/>
          <w:sz w:val="22"/>
          <w:szCs w:val="22"/>
        </w:rPr>
        <w:fldChar w:fldCharType="end"/>
      </w:r>
      <w:r w:rsidRPr="006720E4">
        <w:rPr>
          <w:rFonts w:ascii="Calibri" w:hAnsi="Calibri" w:cs="Calibri"/>
          <w:sz w:val="22"/>
          <w:szCs w:val="22"/>
        </w:rPr>
        <w:t xml:space="preserve"> These are outlined in </w:t>
      </w:r>
      <w:r w:rsidRPr="006720E4">
        <w:rPr>
          <w:rFonts w:ascii="Calibri" w:hAnsi="Calibri" w:cs="Calibri"/>
          <w:b/>
          <w:bCs/>
          <w:sz w:val="22"/>
          <w:szCs w:val="22"/>
        </w:rPr>
        <w:t>Box 3.</w:t>
      </w:r>
      <w:r w:rsidR="00176412" w:rsidRPr="006720E4">
        <w:rPr>
          <w:rFonts w:ascii="Calibri" w:hAnsi="Calibri" w:cs="Calibri"/>
          <w:b/>
          <w:bCs/>
          <w:sz w:val="22"/>
          <w:szCs w:val="22"/>
        </w:rPr>
        <w:t>4</w:t>
      </w:r>
      <w:r w:rsidRPr="006720E4">
        <w:rPr>
          <w:rFonts w:ascii="Calibri" w:hAnsi="Calibri" w:cs="Calibri"/>
          <w:sz w:val="22"/>
          <w:szCs w:val="22"/>
        </w:rPr>
        <w:t xml:space="preserve"> below. </w:t>
      </w:r>
    </w:p>
    <w:p w14:paraId="575ABA83" w14:textId="77777777" w:rsidR="00067302" w:rsidRPr="006720E4" w:rsidRDefault="00067302" w:rsidP="00EA22AE">
      <w:pPr>
        <w:spacing w:after="120"/>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6C6EBA" w:rsidRPr="006720E4" w14:paraId="54C7F94A" w14:textId="77777777">
        <w:tc>
          <w:tcPr>
            <w:tcW w:w="9010" w:type="dxa"/>
            <w:shd w:val="clear" w:color="auto" w:fill="E7E6E6" w:themeFill="background2"/>
          </w:tcPr>
          <w:p w14:paraId="58BFE52E" w14:textId="1529565E"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Box 3.</w:t>
            </w:r>
            <w:r w:rsidR="00176412" w:rsidRPr="006720E4">
              <w:rPr>
                <w:rFonts w:ascii="Calibri" w:hAnsi="Calibri" w:cs="Calibri"/>
                <w:b/>
                <w:bCs/>
                <w:sz w:val="22"/>
                <w:szCs w:val="22"/>
              </w:rPr>
              <w:t>4</w:t>
            </w:r>
            <w:r w:rsidRPr="006720E4">
              <w:rPr>
                <w:rFonts w:ascii="Calibri" w:hAnsi="Calibri" w:cs="Calibri"/>
                <w:b/>
                <w:bCs/>
                <w:sz w:val="22"/>
                <w:szCs w:val="22"/>
              </w:rPr>
              <w:t xml:space="preserve"> - General strategies to assist in management of potential conflicts of interest</w:t>
            </w:r>
          </w:p>
        </w:tc>
      </w:tr>
      <w:tr w:rsidR="006C6EBA" w:rsidRPr="006720E4" w14:paraId="3CA714C2" w14:textId="77777777">
        <w:tc>
          <w:tcPr>
            <w:tcW w:w="9010" w:type="dxa"/>
            <w:shd w:val="clear" w:color="auto" w:fill="E7E6E6" w:themeFill="background2"/>
          </w:tcPr>
          <w:p w14:paraId="16B37516" w14:textId="3DA8414D" w:rsidR="006C6EBA" w:rsidRPr="006720E4" w:rsidRDefault="006C6EBA" w:rsidP="00EA22AE">
            <w:pPr>
              <w:pStyle w:val="ListParagraph"/>
              <w:numPr>
                <w:ilvl w:val="0"/>
                <w:numId w:val="19"/>
              </w:numPr>
              <w:spacing w:after="120"/>
              <w:contextualSpacing w:val="0"/>
              <w:rPr>
                <w:rFonts w:cs="Calibri"/>
                <w:szCs w:val="22"/>
              </w:rPr>
            </w:pPr>
            <w:r w:rsidRPr="006720E4">
              <w:rPr>
                <w:rFonts w:cs="Calibri"/>
                <w:szCs w:val="22"/>
              </w:rPr>
              <w:t xml:space="preserve">avoid or remove potential conflicts of interest where possible, e.g., by excluding individuals from decision-making if they hold a significant conflict of interest in the decision being made, or by moderating their involvement in decision-making where their inclusion is necessary; </w:t>
            </w:r>
          </w:p>
          <w:p w14:paraId="7D9F815D" w14:textId="71F0A90F" w:rsidR="006C6EBA" w:rsidRPr="006720E4" w:rsidRDefault="006C6EBA" w:rsidP="00EA22AE">
            <w:pPr>
              <w:pStyle w:val="ListParagraph"/>
              <w:numPr>
                <w:ilvl w:val="0"/>
                <w:numId w:val="19"/>
              </w:numPr>
              <w:spacing w:after="120"/>
              <w:contextualSpacing w:val="0"/>
              <w:rPr>
                <w:rFonts w:cs="Calibri"/>
                <w:szCs w:val="22"/>
              </w:rPr>
            </w:pPr>
            <w:r w:rsidRPr="006720E4">
              <w:rPr>
                <w:rFonts w:cs="Calibri"/>
                <w:szCs w:val="22"/>
              </w:rPr>
              <w:t xml:space="preserve">disclose </w:t>
            </w:r>
            <w:r w:rsidR="0039113C" w:rsidRPr="006720E4">
              <w:rPr>
                <w:rFonts w:cs="Calibri"/>
                <w:szCs w:val="22"/>
              </w:rPr>
              <w:t xml:space="preserve">perceived, </w:t>
            </w:r>
            <w:r w:rsidRPr="006720E4">
              <w:rPr>
                <w:rFonts w:cs="Calibri"/>
                <w:szCs w:val="22"/>
              </w:rPr>
              <w:t xml:space="preserve">potential or actual conflicts of interest so that others are aware and hence alert to the risk of potential bias; </w:t>
            </w:r>
          </w:p>
          <w:p w14:paraId="6B32CBB6" w14:textId="5E633384" w:rsidR="006C6EBA" w:rsidRPr="006720E4" w:rsidRDefault="006C6EBA" w:rsidP="00EA22AE">
            <w:pPr>
              <w:pStyle w:val="ListParagraph"/>
              <w:numPr>
                <w:ilvl w:val="0"/>
                <w:numId w:val="19"/>
              </w:numPr>
              <w:spacing w:after="120"/>
              <w:contextualSpacing w:val="0"/>
              <w:rPr>
                <w:rFonts w:cs="Calibri"/>
                <w:szCs w:val="22"/>
              </w:rPr>
            </w:pPr>
            <w:r w:rsidRPr="006720E4">
              <w:rPr>
                <w:rFonts w:cs="Calibri"/>
                <w:szCs w:val="22"/>
              </w:rPr>
              <w:t xml:space="preserve">use decision-making aids such as clinical guidelines or protocols to guide decision-making so that some decisions are not made by individuals, e.g., organ allocation frameworks that determine the most suitable recipient for an organ based on objective clinical criteria; </w:t>
            </w:r>
          </w:p>
          <w:p w14:paraId="2A5F81EE" w14:textId="00038318" w:rsidR="00EB7D20" w:rsidRPr="006720E4" w:rsidRDefault="006C6EBA" w:rsidP="00EA22AE">
            <w:pPr>
              <w:pStyle w:val="ListParagraph"/>
              <w:numPr>
                <w:ilvl w:val="0"/>
                <w:numId w:val="19"/>
              </w:numPr>
              <w:spacing w:after="120"/>
              <w:contextualSpacing w:val="0"/>
              <w:rPr>
                <w:rFonts w:cs="Calibri"/>
                <w:szCs w:val="22"/>
              </w:rPr>
            </w:pPr>
            <w:r w:rsidRPr="006720E4">
              <w:rPr>
                <w:rFonts w:cs="Calibri"/>
                <w:szCs w:val="22"/>
              </w:rPr>
              <w:t>use independent advocates</w:t>
            </w:r>
            <w:r w:rsidR="00EB7D20" w:rsidRPr="006720E4">
              <w:rPr>
                <w:rFonts w:cs="Calibri"/>
                <w:szCs w:val="22"/>
              </w:rPr>
              <w:t>, boards</w:t>
            </w:r>
            <w:r w:rsidRPr="006720E4">
              <w:rPr>
                <w:rFonts w:cs="Calibri"/>
                <w:szCs w:val="22"/>
              </w:rPr>
              <w:t xml:space="preserve"> or institutions to assist or oversee decision-making; e.g., a financially independent board to oversee tissue banks, </w:t>
            </w:r>
          </w:p>
          <w:p w14:paraId="112A0032" w14:textId="1EBC40B2" w:rsidR="006C6EBA" w:rsidRPr="006720E4" w:rsidRDefault="006C6EBA" w:rsidP="00EA22AE">
            <w:pPr>
              <w:pStyle w:val="ListParagraph"/>
              <w:numPr>
                <w:ilvl w:val="0"/>
                <w:numId w:val="19"/>
              </w:numPr>
              <w:spacing w:after="120"/>
              <w:contextualSpacing w:val="0"/>
              <w:rPr>
                <w:rFonts w:cs="Calibri"/>
                <w:szCs w:val="22"/>
              </w:rPr>
            </w:pPr>
            <w:r w:rsidRPr="006720E4">
              <w:rPr>
                <w:rFonts w:cs="Calibri"/>
                <w:szCs w:val="22"/>
              </w:rPr>
              <w:lastRenderedPageBreak/>
              <w:t>separate decisions where possible, e.g., decisions about deceased donation should be separated from decisions about the cessation of life sustaining interventions during end-of-life care;</w:t>
            </w:r>
          </w:p>
          <w:p w14:paraId="135644C0" w14:textId="77777777" w:rsidR="006C6EBA" w:rsidRPr="006720E4" w:rsidRDefault="006C6EBA" w:rsidP="00EA22AE">
            <w:pPr>
              <w:pStyle w:val="ListParagraph"/>
              <w:numPr>
                <w:ilvl w:val="0"/>
                <w:numId w:val="19"/>
              </w:numPr>
              <w:spacing w:after="120"/>
              <w:contextualSpacing w:val="0"/>
              <w:rPr>
                <w:rFonts w:cs="Calibri"/>
                <w:szCs w:val="22"/>
              </w:rPr>
            </w:pPr>
            <w:r w:rsidRPr="006720E4">
              <w:rPr>
                <w:rFonts w:cs="Calibri"/>
                <w:szCs w:val="22"/>
              </w:rPr>
              <w:t>separate clinical roles where duties of specific roles may conflict, e.g., separate clinical teams for living donors and recipients;</w:t>
            </w:r>
          </w:p>
          <w:p w14:paraId="6F983145" w14:textId="31E16662" w:rsidR="006C6EBA" w:rsidRPr="006720E4" w:rsidRDefault="006C6EBA" w:rsidP="00EA22AE">
            <w:pPr>
              <w:pStyle w:val="ListParagraph"/>
              <w:numPr>
                <w:ilvl w:val="0"/>
                <w:numId w:val="19"/>
              </w:numPr>
              <w:spacing w:after="120"/>
              <w:contextualSpacing w:val="0"/>
              <w:rPr>
                <w:rFonts w:cs="Calibri"/>
                <w:szCs w:val="22"/>
              </w:rPr>
            </w:pPr>
            <w:r w:rsidRPr="006720E4">
              <w:rPr>
                <w:rFonts w:cs="Calibri"/>
                <w:szCs w:val="22"/>
              </w:rPr>
              <w:t xml:space="preserve">conduct regular audit of decision-making, outcomes of decisions, and policies and practices to check for signs of potential bias that may reflect the presence of conflicts of interest. </w:t>
            </w:r>
          </w:p>
        </w:tc>
      </w:tr>
    </w:tbl>
    <w:p w14:paraId="58337FAF" w14:textId="77777777" w:rsidR="005C66C9" w:rsidRDefault="005C66C9" w:rsidP="00EA22AE">
      <w:pPr>
        <w:spacing w:after="120"/>
        <w:rPr>
          <w:rFonts w:ascii="Calibri" w:eastAsiaTheme="majorEastAsia" w:hAnsi="Calibri" w:cs="Calibri"/>
          <w:b/>
          <w:color w:val="2F5496" w:themeColor="accent1" w:themeShade="BF"/>
          <w:sz w:val="26"/>
          <w:szCs w:val="26"/>
        </w:rPr>
      </w:pPr>
      <w:bookmarkStart w:id="1126" w:name="_Conscientious_objection"/>
      <w:bookmarkStart w:id="1127" w:name="_Further_reading_and"/>
      <w:bookmarkStart w:id="1128" w:name="_Toc70414834"/>
      <w:bookmarkStart w:id="1129" w:name="_Toc70844160"/>
      <w:bookmarkStart w:id="1130" w:name="_Toc70858983"/>
      <w:bookmarkStart w:id="1131" w:name="_Toc70861084"/>
      <w:bookmarkStart w:id="1132" w:name="_Toc70876568"/>
      <w:bookmarkStart w:id="1133" w:name="_Toc72615092"/>
      <w:bookmarkStart w:id="1134" w:name="_Toc73129812"/>
      <w:bookmarkStart w:id="1135" w:name="_Toc73301681"/>
      <w:bookmarkStart w:id="1136" w:name="_Toc73302187"/>
      <w:bookmarkEnd w:id="1126"/>
      <w:bookmarkEnd w:id="1127"/>
    </w:p>
    <w:p w14:paraId="6C20359A" w14:textId="06C902F5" w:rsidR="005C66C9" w:rsidRDefault="005C66C9" w:rsidP="00EA22AE">
      <w:pPr>
        <w:spacing w:after="120"/>
        <w:rPr>
          <w:rFonts w:ascii="Calibri" w:eastAsiaTheme="majorEastAsia" w:hAnsi="Calibri" w:cs="Calibri"/>
          <w:b/>
          <w:color w:val="2F5496" w:themeColor="accent1" w:themeShade="BF"/>
          <w:sz w:val="26"/>
          <w:szCs w:val="26"/>
        </w:rPr>
      </w:pPr>
      <w:r>
        <w:rPr>
          <w:rFonts w:ascii="Calibri" w:eastAsiaTheme="majorEastAsia" w:hAnsi="Calibri" w:cs="Calibri"/>
          <w:b/>
          <w:color w:val="2F5496" w:themeColor="accent1" w:themeShade="BF"/>
          <w:sz w:val="26"/>
          <w:szCs w:val="26"/>
        </w:rPr>
        <w:t>Case Study</w:t>
      </w:r>
      <w:r w:rsidR="0046446A">
        <w:rPr>
          <w:rFonts w:ascii="Calibri" w:eastAsiaTheme="majorEastAsia" w:hAnsi="Calibri" w:cs="Calibri"/>
          <w:b/>
          <w:color w:val="2F5496" w:themeColor="accent1" w:themeShade="BF"/>
          <w:sz w:val="26"/>
          <w:szCs w:val="26"/>
        </w:rPr>
        <w:t xml:space="preserve"> </w:t>
      </w:r>
      <w:r>
        <w:rPr>
          <w:rFonts w:ascii="Calibri" w:eastAsiaTheme="majorEastAsia" w:hAnsi="Calibri" w:cs="Calibri"/>
          <w:b/>
          <w:color w:val="2F5496" w:themeColor="accent1" w:themeShade="BF"/>
          <w:sz w:val="26"/>
          <w:szCs w:val="26"/>
        </w:rPr>
        <w:t>– Conflicts of interest</w:t>
      </w:r>
    </w:p>
    <w:p w14:paraId="76E4598E" w14:textId="77777777" w:rsidR="00C44FAA" w:rsidRPr="00C44FAA" w:rsidRDefault="00C44FAA" w:rsidP="00C44FAA">
      <w:pPr>
        <w:spacing w:after="120"/>
        <w:rPr>
          <w:rFonts w:ascii="Calibri" w:eastAsiaTheme="minorHAnsi" w:hAnsi="Calibri" w:cs="Calibri"/>
          <w:i/>
          <w:iCs/>
          <w:color w:val="4472C4" w:themeColor="accent1"/>
          <w:kern w:val="2"/>
          <w:sz w:val="22"/>
          <w:szCs w:val="22"/>
          <w:lang w:eastAsia="en-US"/>
          <w14:ligatures w14:val="standardContextual"/>
        </w:rPr>
      </w:pPr>
      <w:r w:rsidRPr="00C44FAA">
        <w:rPr>
          <w:rFonts w:ascii="Calibri" w:eastAsiaTheme="minorHAnsi" w:hAnsi="Calibri" w:cs="Calibri"/>
          <w:i/>
          <w:iCs/>
          <w:color w:val="4472C4" w:themeColor="accent1"/>
          <w:kern w:val="2"/>
          <w:sz w:val="22"/>
          <w:szCs w:val="22"/>
          <w:lang w:eastAsia="en-US"/>
          <w14:ligatures w14:val="standardContextual"/>
        </w:rPr>
        <w:t xml:space="preserve">Dr H is an orthopaedic surgeon who specialises in hip surgery. They are the head of orthopaedic surgery at a hospital in a large rural city. Dr H recently established the first bone bank in the city, which will collect bone donations from patients who have part of their hip bone removed during hip replacement surgery. </w:t>
      </w:r>
    </w:p>
    <w:p w14:paraId="314C9A04" w14:textId="77777777" w:rsidR="00C44FAA" w:rsidRPr="00C44FAA" w:rsidRDefault="00C44FAA" w:rsidP="00C44FAA">
      <w:pPr>
        <w:spacing w:after="120"/>
        <w:rPr>
          <w:rFonts w:ascii="Calibri" w:eastAsiaTheme="minorHAnsi" w:hAnsi="Calibri" w:cs="Calibri"/>
          <w:i/>
          <w:iCs/>
          <w:color w:val="4472C4" w:themeColor="accent1"/>
          <w:kern w:val="2"/>
          <w:sz w:val="22"/>
          <w:szCs w:val="22"/>
          <w:lang w:eastAsia="en-US"/>
          <w14:ligatures w14:val="standardContextual"/>
        </w:rPr>
      </w:pPr>
      <w:r w:rsidRPr="00C44FAA">
        <w:rPr>
          <w:rFonts w:ascii="Calibri" w:eastAsiaTheme="minorHAnsi" w:hAnsi="Calibri" w:cs="Calibri"/>
          <w:i/>
          <w:iCs/>
          <w:color w:val="4472C4" w:themeColor="accent1"/>
          <w:kern w:val="2"/>
          <w:sz w:val="22"/>
          <w:szCs w:val="22"/>
          <w:lang w:eastAsia="en-US"/>
          <w14:ligatures w14:val="standardContextual"/>
        </w:rPr>
        <w:t xml:space="preserve">Dr H has been raising awareness of the bank in the community and among staff at the hospital. A nurse from the outpatient surgical clinic has been appointed as a donor coordinator to manage donor recruitment. The donor coordinator provides information to potential donors and obtains written consent for donation from those who wish to donate before they undergo surgery. </w:t>
      </w:r>
    </w:p>
    <w:p w14:paraId="62BD67FD" w14:textId="77777777" w:rsidR="00C44FAA" w:rsidRPr="00C44FAA" w:rsidRDefault="00C44FAA" w:rsidP="00C44FAA">
      <w:pPr>
        <w:spacing w:after="120"/>
        <w:rPr>
          <w:rFonts w:ascii="Calibri" w:eastAsiaTheme="minorHAnsi" w:hAnsi="Calibri" w:cs="Calibri"/>
          <w:i/>
          <w:iCs/>
          <w:color w:val="4472C4" w:themeColor="accent1"/>
          <w:kern w:val="2"/>
          <w:sz w:val="22"/>
          <w:szCs w:val="22"/>
          <w:lang w:eastAsia="en-US"/>
          <w14:ligatures w14:val="standardContextual"/>
        </w:rPr>
      </w:pPr>
      <w:r w:rsidRPr="00C44FAA">
        <w:rPr>
          <w:rFonts w:ascii="Calibri" w:eastAsiaTheme="minorHAnsi" w:hAnsi="Calibri" w:cs="Calibri"/>
          <w:i/>
          <w:iCs/>
          <w:color w:val="4472C4" w:themeColor="accent1"/>
          <w:kern w:val="2"/>
          <w:sz w:val="22"/>
          <w:szCs w:val="22"/>
          <w:lang w:eastAsia="en-US"/>
          <w14:ligatures w14:val="standardContextual"/>
        </w:rPr>
        <w:t>Malcolm is a 67-year-old-man who is admitted to the hospital for an elective hip replacement to be conducted by Dr H. Dr H sees Malcolm outside the operating theatre before surgery and says hello. Dr H then tells Malcolm, “It looks like you didn’t sign a consent form to donate your hip bone to our new bone bank. We’re removing the bone anyway in order to give you a new hip. If you don’t donate it, we’ll just be throwing the bone away. It would be really great if you’d let me send it to the bank instead, where we can transform it into something useful to help other patients.”</w:t>
      </w:r>
    </w:p>
    <w:p w14:paraId="174B3B44" w14:textId="77777777" w:rsidR="00C44FAA" w:rsidRPr="00C44FAA" w:rsidRDefault="00C44FAA" w:rsidP="00C44FAA">
      <w:pPr>
        <w:spacing w:after="120"/>
        <w:rPr>
          <w:rFonts w:ascii="Calibri" w:eastAsiaTheme="minorHAnsi" w:hAnsi="Calibri" w:cs="Calibri"/>
          <w:i/>
          <w:iCs/>
          <w:color w:val="4472C4" w:themeColor="accent1"/>
          <w:kern w:val="2"/>
          <w:sz w:val="22"/>
          <w:szCs w:val="22"/>
          <w:lang w:eastAsia="en-US"/>
          <w14:ligatures w14:val="standardContextual"/>
        </w:rPr>
      </w:pPr>
      <w:r w:rsidRPr="00C44FAA">
        <w:rPr>
          <w:rFonts w:ascii="Calibri" w:eastAsiaTheme="minorHAnsi" w:hAnsi="Calibri" w:cs="Calibri"/>
          <w:i/>
          <w:iCs/>
          <w:color w:val="4472C4" w:themeColor="accent1"/>
          <w:kern w:val="2"/>
          <w:sz w:val="22"/>
          <w:szCs w:val="22"/>
          <w:lang w:eastAsia="en-US"/>
          <w14:ligatures w14:val="standardContextual"/>
        </w:rPr>
        <w:t>Malcolm replies, “I have a few questions about the bone bank I’d like answered, but I’m probably happy to donate.”</w:t>
      </w:r>
    </w:p>
    <w:p w14:paraId="3C2D57D3" w14:textId="77777777" w:rsidR="00C44FAA" w:rsidRPr="00C44FAA" w:rsidRDefault="00C44FAA" w:rsidP="00C44FAA">
      <w:pPr>
        <w:spacing w:after="120"/>
        <w:rPr>
          <w:rFonts w:ascii="Calibri" w:eastAsiaTheme="minorHAnsi" w:hAnsi="Calibri" w:cs="Calibri"/>
          <w:i/>
          <w:iCs/>
          <w:color w:val="4472C4" w:themeColor="accent1"/>
          <w:kern w:val="2"/>
          <w:sz w:val="22"/>
          <w:szCs w:val="22"/>
          <w:lang w:eastAsia="en-US"/>
          <w14:ligatures w14:val="standardContextual"/>
        </w:rPr>
      </w:pPr>
      <w:r w:rsidRPr="00C44FAA">
        <w:rPr>
          <w:rFonts w:ascii="Calibri" w:eastAsiaTheme="minorHAnsi" w:hAnsi="Calibri" w:cs="Calibri"/>
          <w:i/>
          <w:iCs/>
          <w:color w:val="4472C4" w:themeColor="accent1"/>
          <w:kern w:val="2"/>
          <w:sz w:val="22"/>
          <w:szCs w:val="22"/>
          <w:lang w:eastAsia="en-US"/>
          <w14:ligatures w14:val="standardContextual"/>
        </w:rPr>
        <w:t>“Well, we don’t want to hold everyone up and delay your operation,” says Dr H. “Let’s do the paperwork now and I’ll be happy to answer your questions when I see you on the ward tomorrow.” They help Malcolm sign the consent form for donation.</w:t>
      </w:r>
    </w:p>
    <w:p w14:paraId="328F155E" w14:textId="77777777" w:rsidR="00C44FAA" w:rsidRPr="00C44FAA" w:rsidRDefault="00C44FAA" w:rsidP="00C44FAA">
      <w:pPr>
        <w:spacing w:after="120"/>
        <w:rPr>
          <w:rFonts w:ascii="Calibri" w:eastAsiaTheme="minorHAnsi" w:hAnsi="Calibri" w:cs="Calibri"/>
          <w:kern w:val="2"/>
          <w:sz w:val="22"/>
          <w:szCs w:val="22"/>
          <w:lang w:eastAsia="en-US"/>
          <w14:ligatures w14:val="standardContextual"/>
        </w:rPr>
      </w:pPr>
    </w:p>
    <w:p w14:paraId="36337737" w14:textId="77777777" w:rsidR="00C44FAA" w:rsidRPr="00C44FAA" w:rsidRDefault="00C44FAA" w:rsidP="00C44FAA">
      <w:pPr>
        <w:spacing w:after="120"/>
        <w:rPr>
          <w:rFonts w:ascii="Calibri" w:eastAsiaTheme="minorHAnsi" w:hAnsi="Calibri" w:cs="Calibri"/>
          <w:kern w:val="2"/>
          <w:sz w:val="22"/>
          <w:szCs w:val="22"/>
          <w:lang w:eastAsia="en-US"/>
          <w14:ligatures w14:val="standardContextual"/>
        </w:rPr>
      </w:pPr>
      <w:r w:rsidRPr="00C44FAA">
        <w:rPr>
          <w:rFonts w:ascii="Calibri" w:eastAsiaTheme="minorHAnsi" w:hAnsi="Calibri" w:cs="Calibri"/>
          <w:kern w:val="2"/>
          <w:sz w:val="22"/>
          <w:szCs w:val="22"/>
          <w:lang w:eastAsia="en-US"/>
          <w14:ligatures w14:val="standardContextual"/>
        </w:rPr>
        <w:t>Points to consider:</w:t>
      </w:r>
    </w:p>
    <w:p w14:paraId="6F713811" w14:textId="6032DE43" w:rsidR="00C44FAA" w:rsidRPr="00C44FAA" w:rsidRDefault="00C44FAA" w:rsidP="00C44FAA">
      <w:pPr>
        <w:numPr>
          <w:ilvl w:val="0"/>
          <w:numId w:val="11"/>
        </w:numPr>
        <w:spacing w:after="120"/>
        <w:rPr>
          <w:rFonts w:asciiTheme="minorHAnsi" w:eastAsiaTheme="minorHAnsi" w:hAnsiTheme="minorHAns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t xml:space="preserve">This case demonstrates the potential impact of a conflict of interest on decision-making about donation (see </w:t>
      </w:r>
      <w:r w:rsidRPr="00C44FAA">
        <w:rPr>
          <w:rFonts w:asciiTheme="minorHAnsi" w:eastAsiaTheme="minorHAnsi" w:hAnsiTheme="minorHAnsi" w:cs="Calibri"/>
          <w:i/>
          <w:iCs/>
          <w:kern w:val="2"/>
          <w:sz w:val="22"/>
          <w:szCs w:val="22"/>
          <w:lang w:eastAsia="en-US"/>
          <w14:ligatures w14:val="standardContextual"/>
        </w:rPr>
        <w:t xml:space="preserve"> </w:t>
      </w:r>
      <w:hyperlink w:anchor="_Management_of_conflicts" w:history="1">
        <w:r w:rsidRPr="00612AB9">
          <w:rPr>
            <w:rStyle w:val="Hyperlink"/>
            <w:rFonts w:asciiTheme="minorHAnsi" w:eastAsiaTheme="minorHAnsi" w:hAnsiTheme="minorHAnsi" w:cs="Calibri"/>
            <w:i/>
            <w:iCs/>
            <w:kern w:val="2"/>
            <w:sz w:val="22"/>
            <w:szCs w:val="22"/>
            <w:lang w:eastAsia="en-US"/>
            <w14:ligatures w14:val="standardContextual"/>
          </w:rPr>
          <w:t>Chapter 3.8</w:t>
        </w:r>
        <w:r w:rsidRPr="00612AB9">
          <w:rPr>
            <w:rStyle w:val="Hyperlink"/>
            <w:rFonts w:asciiTheme="minorHAnsi" w:eastAsiaTheme="minorHAnsi" w:hAnsiTheme="minorHAnsi" w:cs="Calibri"/>
            <w:kern w:val="2"/>
            <w:sz w:val="22"/>
            <w:szCs w:val="22"/>
            <w:lang w:eastAsia="en-US"/>
            <w14:ligatures w14:val="standardContextual"/>
          </w:rPr>
          <w:t>).</w:t>
        </w:r>
      </w:hyperlink>
    </w:p>
    <w:p w14:paraId="6580E221" w14:textId="77777777" w:rsidR="00C44FAA" w:rsidRPr="00C44FAA" w:rsidRDefault="00C44FAA" w:rsidP="00C44FAA">
      <w:pPr>
        <w:numPr>
          <w:ilvl w:val="0"/>
          <w:numId w:val="11"/>
        </w:numPr>
        <w:spacing w:after="120"/>
        <w:rPr>
          <w:rFonts w:ascii="Calibri" w:eastAsiaTheme="minorHAnsi" w:hAnsi="Calibri" w:cs="Calibri"/>
          <w:sz w:val="22"/>
          <w:szCs w:val="22"/>
          <w:u w:color="0000FF"/>
          <w:lang w:val="en-GB" w:eastAsia="en-US"/>
          <w14:ligatures w14:val="standardContextual"/>
        </w:rPr>
      </w:pPr>
      <w:r w:rsidRPr="00C44FAA">
        <w:rPr>
          <w:rFonts w:ascii="Calibri" w:eastAsiaTheme="minorHAnsi" w:hAnsi="Calibri" w:cs="Calibri"/>
          <w:sz w:val="22"/>
          <w:szCs w:val="22"/>
          <w:u w:color="0000FF"/>
          <w:lang w:val="en-GB" w:eastAsia="en-US"/>
          <w14:ligatures w14:val="standardContextual"/>
        </w:rPr>
        <w:t>The following principles may be especially relevant to this case:</w:t>
      </w:r>
    </w:p>
    <w:p w14:paraId="1C6FF2DE" w14:textId="77777777" w:rsidR="00C44FAA" w:rsidRPr="00C44FAA" w:rsidRDefault="00C44FAA" w:rsidP="00C44FAA">
      <w:pPr>
        <w:numPr>
          <w:ilvl w:val="1"/>
          <w:numId w:val="11"/>
        </w:numPr>
        <w:spacing w:after="120"/>
        <w:rPr>
          <w:rFonts w:ascii="Calibri" w:eastAsiaTheme="minorHAnsi" w:hAnsi="Calibri" w:cs="Calibri"/>
          <w:sz w:val="22"/>
          <w:szCs w:val="22"/>
          <w:u w:color="0000FF"/>
          <w:lang w:val="en-GB" w:eastAsia="en-US"/>
          <w14:ligatures w14:val="standardContextual"/>
        </w:rPr>
      </w:pPr>
      <w:r w:rsidRPr="00C44FAA">
        <w:rPr>
          <w:rFonts w:ascii="Calibri" w:eastAsiaTheme="minorHAnsi" w:hAnsi="Calibri" w:cs="Calibri"/>
          <w:b/>
          <w:bCs/>
          <w:sz w:val="22"/>
          <w:szCs w:val="22"/>
          <w:u w:color="0000FF"/>
          <w:lang w:val="en-GB" w:eastAsia="en-US"/>
          <w14:ligatures w14:val="standardContextual"/>
        </w:rPr>
        <w:t>Principle 4</w:t>
      </w:r>
      <w:r w:rsidRPr="00C44FAA">
        <w:rPr>
          <w:rFonts w:ascii="Calibri" w:eastAsiaTheme="minorHAnsi" w:hAnsi="Calibri" w:cs="Calibri"/>
          <w:sz w:val="22"/>
          <w:szCs w:val="22"/>
          <w:u w:color="0000FF"/>
          <w:lang w:val="en-GB" w:eastAsia="en-US"/>
          <w14:ligatures w14:val="standardContextual"/>
        </w:rPr>
        <w:t xml:space="preserve"> In donation and transplantation activities, potential conflicts of interest should be avoided and where unavoidable, should be appropriately managed.</w:t>
      </w:r>
    </w:p>
    <w:p w14:paraId="0DC4F130" w14:textId="77777777" w:rsidR="00C44FAA" w:rsidRPr="00C44FAA" w:rsidRDefault="00C44FAA" w:rsidP="00C44FAA">
      <w:pPr>
        <w:numPr>
          <w:ilvl w:val="1"/>
          <w:numId w:val="11"/>
        </w:numPr>
        <w:spacing w:after="120"/>
        <w:rPr>
          <w:rFonts w:ascii="Calibri" w:eastAsiaTheme="minorHAnsi" w:hAnsi="Calibri" w:cs="Calibri"/>
          <w:sz w:val="22"/>
          <w:szCs w:val="22"/>
          <w:u w:color="0000FF"/>
          <w:lang w:val="en-GB" w:eastAsia="en-US"/>
          <w14:ligatures w14:val="standardContextual"/>
        </w:rPr>
      </w:pPr>
      <w:r w:rsidRPr="00C44FAA">
        <w:rPr>
          <w:rFonts w:ascii="Calibri" w:eastAsiaTheme="minorHAnsi" w:hAnsi="Calibri" w:cs="Calibri"/>
          <w:b/>
          <w:bCs/>
          <w:kern w:val="2"/>
          <w:sz w:val="22"/>
          <w:szCs w:val="22"/>
          <w:lang w:eastAsia="en-US"/>
          <w14:ligatures w14:val="standardContextual"/>
        </w:rPr>
        <w:t>Principle 11</w:t>
      </w:r>
      <w:r w:rsidRPr="00C44FAA">
        <w:rPr>
          <w:rFonts w:ascii="Calibri" w:eastAsiaTheme="minorHAnsi" w:hAnsi="Calibri" w:cs="Calibri"/>
          <w:kern w:val="2"/>
          <w:sz w:val="22"/>
          <w:szCs w:val="22"/>
          <w:lang w:eastAsia="en-US"/>
          <w14:ligatures w14:val="standardContextual"/>
        </w:rPr>
        <w:t xml:space="preserve"> </w:t>
      </w:r>
      <w:r w:rsidRPr="00C44FAA">
        <w:rPr>
          <w:rFonts w:ascii="Calibri" w:eastAsiaTheme="minorHAnsi" w:hAnsi="Calibri" w:cs="Calibri"/>
          <w:sz w:val="22"/>
          <w:szCs w:val="22"/>
          <w:u w:color="0000FF"/>
          <w:lang w:val="en-GB" w:eastAsia="en-US"/>
          <w14:ligatures w14:val="standardContextual"/>
        </w:rPr>
        <w:t xml:space="preserve">Decision-making about donation and transplantation should be free from coercion, exploitation or financial incentives; this should not preclude coverage of costs associated with donation or transplantation. </w:t>
      </w:r>
    </w:p>
    <w:p w14:paraId="57657D4D" w14:textId="77777777" w:rsidR="00C44FAA" w:rsidRPr="00C44FAA" w:rsidRDefault="00C44FAA" w:rsidP="00C44FAA">
      <w:pPr>
        <w:numPr>
          <w:ilvl w:val="0"/>
          <w:numId w:val="11"/>
        </w:numPr>
        <w:spacing w:after="120"/>
        <w:rPr>
          <w:rFonts w:asciiTheme="minorHAnsi" w:eastAsiaTheme="minorHAnsi" w:hAnsiTheme="minorHAns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t>In this scenario Dr H has a conflict of interest because they have an interest in providing care for their patient, which involves performing the hip replacement surgery, and they also have an interest in increasing donations to the new bone bank.</w:t>
      </w:r>
    </w:p>
    <w:p w14:paraId="6B84DC05" w14:textId="77777777" w:rsidR="00C44FAA" w:rsidRPr="00C44FAA" w:rsidRDefault="00C44FAA" w:rsidP="00C44FAA">
      <w:pPr>
        <w:numPr>
          <w:ilvl w:val="0"/>
          <w:numId w:val="11"/>
        </w:numPr>
        <w:spacing w:after="120"/>
        <w:rPr>
          <w:rFonts w:asciiTheme="minorHAnsi" w:eastAsiaTheme="minorHAnsi" w:hAnsiTheme="minorHAns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lastRenderedPageBreak/>
        <w:t>These interests both reflect ethically important professional goals that are appropriate for Dr H to hold. However, in this situation the interests may conflict, and Dr H’s desire to make the bone bank a success could negatively impact their ability to fulfill their primary duty of care towards Malcolm. Rather than focusing on Malcolm as a patient about to undergo a significant operation, Dr H appears to be focusing more on obtaining his consent for donation.</w:t>
      </w:r>
    </w:p>
    <w:p w14:paraId="62F99EFB" w14:textId="50BFF7E6" w:rsidR="00C44FAA" w:rsidRPr="00C44FAA" w:rsidRDefault="00C44FAA" w:rsidP="00C44FAA">
      <w:pPr>
        <w:numPr>
          <w:ilvl w:val="0"/>
          <w:numId w:val="11"/>
        </w:numPr>
        <w:spacing w:after="120"/>
        <w:rPr>
          <w:rFonts w:asciiTheme="minorHAnsi" w:eastAsiaTheme="minorHAnsi" w:hAnsiTheme="minorHAns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t xml:space="preserve">In a clinical setting, a health professional must always prioritise their duty of care towards patients, rather than other professional or personal interests they may have (see </w:t>
      </w:r>
      <w:r w:rsidRPr="00C44FAA">
        <w:rPr>
          <w:rFonts w:asciiTheme="minorHAnsi" w:eastAsiaTheme="minorHAnsi" w:hAnsiTheme="minorHAnsi" w:cs="Calibri"/>
          <w:i/>
          <w:iCs/>
          <w:kern w:val="2"/>
          <w:sz w:val="22"/>
          <w:szCs w:val="22"/>
          <w:lang w:eastAsia="en-US"/>
          <w14:ligatures w14:val="standardContextual"/>
        </w:rPr>
        <w:t xml:space="preserve"> Chapter 3.3.4.1</w:t>
      </w:r>
      <w:r w:rsidRPr="00C44FAA">
        <w:rPr>
          <w:rFonts w:asciiTheme="minorHAnsi" w:eastAsiaTheme="minorHAnsi" w:hAnsiTheme="minorHAnsi" w:cs="Calibri"/>
          <w:kern w:val="2"/>
          <w:sz w:val="22"/>
          <w:szCs w:val="22"/>
          <w:lang w:eastAsia="en-US"/>
          <w14:ligatures w14:val="standardContextual"/>
        </w:rPr>
        <w:t>).</w:t>
      </w:r>
    </w:p>
    <w:p w14:paraId="1D54E411" w14:textId="08F65596" w:rsidR="00C44FAA" w:rsidRPr="00C44FAA" w:rsidRDefault="00C44FAA" w:rsidP="00C44FAA">
      <w:pPr>
        <w:numPr>
          <w:ilvl w:val="0"/>
          <w:numId w:val="11"/>
        </w:numPr>
        <w:spacing w:after="120"/>
        <w:rPr>
          <w:rFonts w:asciiTheme="minorHAnsi" w:eastAsiaTheme="minorHAnsi" w:hAnsiTheme="minorHAns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t xml:space="preserve">Dr H’s interests in the bone bank may cause them to provide information about donation that is biased. A balanced assessment of potential benefits and risks of donation is essential for donation decision-making, especially in the case of other types of living donation where there may be substantial risks associated with donation (see </w:t>
      </w:r>
      <w:hyperlink w:anchor="_Risk_acceptance_in" w:history="1">
        <w:r w:rsidR="008636E7">
          <w:rPr>
            <w:rFonts w:asciiTheme="minorHAnsi" w:eastAsiaTheme="minorHAnsi" w:hAnsiTheme="minorHAnsi" w:cs="Calibri"/>
            <w:color w:val="0563C1" w:themeColor="hyperlink"/>
            <w:kern w:val="2"/>
            <w:sz w:val="22"/>
            <w:szCs w:val="22"/>
            <w:u w:val="single"/>
            <w:lang w:eastAsia="en-US"/>
            <w14:ligatures w14:val="standardContextual"/>
          </w:rPr>
          <w:t>Chapter</w:t>
        </w:r>
        <w:r w:rsidR="008636E7" w:rsidRPr="00C44FAA">
          <w:rPr>
            <w:rFonts w:asciiTheme="minorHAnsi" w:eastAsiaTheme="minorHAnsi" w:hAnsiTheme="minorHAnsi" w:cs="Calibri"/>
            <w:color w:val="0563C1" w:themeColor="hyperlink"/>
            <w:kern w:val="2"/>
            <w:sz w:val="22"/>
            <w:szCs w:val="22"/>
            <w:u w:val="single"/>
            <w:lang w:eastAsia="en-US"/>
            <w14:ligatures w14:val="standardContextual"/>
          </w:rPr>
          <w:t xml:space="preserve"> 6.3</w:t>
        </w:r>
      </w:hyperlink>
      <w:r w:rsidRPr="00C44FAA">
        <w:rPr>
          <w:rFonts w:asciiTheme="minorHAnsi" w:eastAsiaTheme="minorHAnsi" w:hAnsiTheme="minorHAnsi" w:cs="Calibri"/>
          <w:kern w:val="2"/>
          <w:sz w:val="22"/>
          <w:szCs w:val="22"/>
          <w:lang w:eastAsia="en-US"/>
          <w14:ligatures w14:val="standardContextual"/>
        </w:rPr>
        <w:t xml:space="preserve">). </w:t>
      </w:r>
    </w:p>
    <w:p w14:paraId="5CBE34B2" w14:textId="241700AF" w:rsidR="00C44FAA" w:rsidRPr="00C44FAA" w:rsidRDefault="00C44FAA" w:rsidP="00C44FAA">
      <w:pPr>
        <w:numPr>
          <w:ilvl w:val="0"/>
          <w:numId w:val="11"/>
        </w:numPr>
        <w:spacing w:after="120"/>
        <w:rPr>
          <w:rFonts w:asciiTheme="minorHAnsi" w:eastAsiaTheme="minorHAnsi" w:hAnsiTheme="minorHAns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t>Having a designated person with responsibility for recruitment and gaining consent from potential donors to the bone bank is an important safeguard that should help to avoid situations like this arising. Relying on the donor coordinator, rather than the clinician involved in the patient’s care, also helps to support voluntariness in donation decision-making. Malcolm may find it difficult to decline consent when asked to donate by his surgeon, because he may worry that declining could negatively impact his medical care.</w:t>
      </w:r>
    </w:p>
    <w:p w14:paraId="07F86650" w14:textId="77777777" w:rsidR="00C44FAA" w:rsidRPr="00C44FAA" w:rsidRDefault="00C44FAA" w:rsidP="00C44FAA">
      <w:pPr>
        <w:numPr>
          <w:ilvl w:val="0"/>
          <w:numId w:val="11"/>
        </w:numPr>
        <w:spacing w:after="120"/>
        <w:rPr>
          <w:rFonts w:asciiTheme="minorHAnsi" w:eastAsiaTheme="minorHAnsi" w:hAnsiTheme="minorHAns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t>The timing of donation decision-making is also important in avoiding or managing potential conflicts of interest. In this scenario, pressing Malcolm to make a decision just before surgery takes place is problematic as he is in a vulnerable position and there is little time for discussion or reflection before making his decision.</w:t>
      </w:r>
    </w:p>
    <w:p w14:paraId="5F79AFC7" w14:textId="43BD9499" w:rsidR="00C44FAA" w:rsidRPr="00C44FAA" w:rsidRDefault="00C44FAA" w:rsidP="00C44FAA">
      <w:pPr>
        <w:numPr>
          <w:ilvl w:val="0"/>
          <w:numId w:val="11"/>
        </w:numPr>
        <w:spacing w:after="120"/>
        <w:rPr>
          <w:rFonts w:ascii="Calibri" w:eastAsiaTheme="minorHAnsi" w:hAnsi="Calibr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t>An additional consideration is whether Malcolm has provided valid consent when signing the donation form. As the previous points indicate, it is unclear if Malcolm’s decision was voluntary. It is also unclear if he was adequately informed when making the decision, as he had questions which were not answered. The requirements for consent are outlined in</w:t>
      </w:r>
      <w:r w:rsidRPr="00C44FAA">
        <w:rPr>
          <w:rFonts w:asciiTheme="minorHAnsi" w:eastAsiaTheme="minorHAnsi" w:hAnsiTheme="minorHAnsi" w:cs="Calibri"/>
          <w:i/>
          <w:iCs/>
          <w:kern w:val="2"/>
          <w:sz w:val="22"/>
          <w:szCs w:val="22"/>
          <w:lang w:eastAsia="en-US"/>
          <w14:ligatures w14:val="standardContextual"/>
        </w:rPr>
        <w:t xml:space="preserve"> Chapter 4</w:t>
      </w:r>
      <w:r w:rsidRPr="00C44FAA">
        <w:rPr>
          <w:rFonts w:asciiTheme="minorHAnsi" w:eastAsiaTheme="minorHAnsi" w:hAnsiTheme="minorHAnsi" w:cs="Calibri"/>
          <w:kern w:val="2"/>
          <w:sz w:val="22"/>
          <w:szCs w:val="22"/>
          <w:lang w:eastAsia="en-US"/>
          <w14:ligatures w14:val="standardContextual"/>
        </w:rPr>
        <w:t>).</w:t>
      </w:r>
    </w:p>
    <w:p w14:paraId="5A593F48" w14:textId="77777777" w:rsidR="00C44FAA" w:rsidRPr="00C44FAA" w:rsidRDefault="00C44FAA" w:rsidP="00C44FAA">
      <w:pPr>
        <w:numPr>
          <w:ilvl w:val="0"/>
          <w:numId w:val="11"/>
        </w:numPr>
        <w:spacing w:after="120"/>
        <w:rPr>
          <w:rFonts w:ascii="Calibri" w:eastAsiaTheme="minorHAnsi" w:hAnsi="Calibri" w:cs="Calibri"/>
          <w:kern w:val="2"/>
          <w:sz w:val="22"/>
          <w:szCs w:val="22"/>
          <w:lang w:eastAsia="en-US"/>
          <w14:ligatures w14:val="standardContextual"/>
        </w:rPr>
      </w:pPr>
      <w:r w:rsidRPr="00C44FAA">
        <w:rPr>
          <w:rFonts w:asciiTheme="minorHAnsi" w:eastAsiaTheme="minorHAnsi" w:hAnsiTheme="minorHAnsi" w:cs="Calibri"/>
          <w:kern w:val="2"/>
          <w:sz w:val="22"/>
          <w:szCs w:val="22"/>
          <w:lang w:eastAsia="en-US"/>
          <w14:ligatures w14:val="standardContextual"/>
        </w:rPr>
        <w:t xml:space="preserve">In addition to the ethical advice provided in these guidelines, medical practitioners in Australia should be mindful of relevant ethical guidance outlined in </w:t>
      </w:r>
      <w:r w:rsidRPr="00C44FAA">
        <w:rPr>
          <w:rFonts w:asciiTheme="minorHAnsi" w:eastAsiaTheme="minorHAnsi" w:hAnsiTheme="minorHAnsi" w:cs="Calibri"/>
          <w:i/>
          <w:iCs/>
          <w:kern w:val="2"/>
          <w:sz w:val="22"/>
          <w:szCs w:val="22"/>
          <w:lang w:eastAsia="en-US"/>
          <w14:ligatures w14:val="standardContextual"/>
        </w:rPr>
        <w:t>Good Medical Practice: A code of conduct for doctors in Australia</w:t>
      </w:r>
      <w:r w:rsidRPr="00C44FAA">
        <w:rPr>
          <w:rFonts w:asciiTheme="minorHAnsi" w:eastAsiaTheme="minorHAnsi" w:hAnsiTheme="minorHAnsi" w:cs="Calibri"/>
          <w:kern w:val="2"/>
          <w:sz w:val="22"/>
          <w:szCs w:val="22"/>
          <w:lang w:eastAsia="en-US"/>
          <w14:ligatures w14:val="standardContextual"/>
        </w:rPr>
        <w:t xml:space="preserve">: </w:t>
      </w:r>
      <w:hyperlink r:id="rId52" w:history="1">
        <w:r w:rsidRPr="00C44FAA">
          <w:rPr>
            <w:rFonts w:asciiTheme="minorHAnsi" w:eastAsiaTheme="minorHAnsi" w:hAnsiTheme="minorHAnsi" w:cs="Calibri"/>
            <w:color w:val="0563C1" w:themeColor="hyperlink"/>
            <w:kern w:val="2"/>
            <w:sz w:val="22"/>
            <w:szCs w:val="22"/>
            <w:u w:val="single"/>
            <w:lang w:eastAsia="en-US"/>
            <w14:ligatures w14:val="standardContextual"/>
          </w:rPr>
          <w:t>https://www.medicalboard.gov.au/codes-guidelines-policies/code-of-conduct.aspx</w:t>
        </w:r>
      </w:hyperlink>
      <w:r w:rsidRPr="00C44FAA">
        <w:rPr>
          <w:rFonts w:asciiTheme="minorHAnsi" w:eastAsiaTheme="minorHAnsi" w:hAnsiTheme="minorHAnsi" w:cs="Calibri"/>
          <w:kern w:val="2"/>
          <w:sz w:val="22"/>
          <w:szCs w:val="22"/>
          <w:lang w:eastAsia="en-US"/>
          <w14:ligatures w14:val="standardContextual"/>
        </w:rPr>
        <w:t xml:space="preserve"> </w:t>
      </w:r>
    </w:p>
    <w:p w14:paraId="2CDD8CC4" w14:textId="77777777" w:rsidR="00C44FAA" w:rsidRPr="00C44FAA" w:rsidRDefault="00C44FAA" w:rsidP="00C44FAA">
      <w:pPr>
        <w:rPr>
          <w:rFonts w:asciiTheme="minorHAnsi" w:eastAsiaTheme="minorHAnsi" w:hAnsiTheme="minorHAnsi" w:cstheme="minorBidi"/>
          <w:kern w:val="2"/>
          <w:lang w:eastAsia="en-US"/>
          <w14:ligatures w14:val="standardContextual"/>
        </w:rPr>
      </w:pPr>
    </w:p>
    <w:p w14:paraId="0E7F135F" w14:textId="0E00512D" w:rsidR="0039080B" w:rsidRDefault="0039080B" w:rsidP="00EA22AE">
      <w:pPr>
        <w:spacing w:after="120"/>
        <w:rPr>
          <w:rFonts w:ascii="Calibri" w:hAnsi="Calibri" w:cs="Calibri"/>
          <w:i/>
          <w:iCs/>
          <w:color w:val="4472C4" w:themeColor="accent1"/>
          <w:sz w:val="22"/>
          <w:szCs w:val="22"/>
        </w:rPr>
      </w:pPr>
    </w:p>
    <w:p w14:paraId="55B23D84" w14:textId="77777777" w:rsidR="0039080B" w:rsidRDefault="0039080B" w:rsidP="00EA22AE">
      <w:pPr>
        <w:spacing w:after="120"/>
        <w:rPr>
          <w:rFonts w:ascii="Calibri" w:hAnsi="Calibri" w:cs="Calibri"/>
          <w:i/>
          <w:iCs/>
          <w:color w:val="4472C4" w:themeColor="accent1"/>
          <w:sz w:val="22"/>
          <w:szCs w:val="22"/>
        </w:rPr>
      </w:pPr>
    </w:p>
    <w:p w14:paraId="34CC128B" w14:textId="77777777" w:rsidR="0039080B" w:rsidRDefault="0039080B" w:rsidP="00EA22AE">
      <w:pPr>
        <w:spacing w:after="120"/>
        <w:rPr>
          <w:rFonts w:ascii="Calibri" w:hAnsi="Calibri" w:cs="Calibri"/>
          <w:i/>
          <w:iCs/>
          <w:color w:val="4472C4" w:themeColor="accent1"/>
          <w:sz w:val="22"/>
          <w:szCs w:val="22"/>
        </w:rPr>
      </w:pPr>
    </w:p>
    <w:p w14:paraId="00077FEE" w14:textId="77777777" w:rsidR="0039080B" w:rsidRDefault="0039080B" w:rsidP="00EA22AE">
      <w:pPr>
        <w:spacing w:after="120"/>
        <w:rPr>
          <w:rFonts w:ascii="Calibri" w:hAnsi="Calibri" w:cs="Calibri"/>
          <w:i/>
          <w:iCs/>
          <w:color w:val="4472C4" w:themeColor="accent1"/>
          <w:sz w:val="22"/>
          <w:szCs w:val="22"/>
        </w:rPr>
      </w:pPr>
    </w:p>
    <w:p w14:paraId="77A6F02F" w14:textId="77777777" w:rsidR="00FB520D" w:rsidRDefault="00FB520D" w:rsidP="00EA22AE">
      <w:pPr>
        <w:spacing w:after="120"/>
        <w:rPr>
          <w:rFonts w:ascii="Calibri" w:hAnsi="Calibri" w:cs="Calibri"/>
          <w:sz w:val="22"/>
          <w:szCs w:val="22"/>
        </w:rPr>
      </w:pPr>
    </w:p>
    <w:p w14:paraId="6E5E9A2C" w14:textId="3C6CF671" w:rsidR="006C6EBA" w:rsidRPr="006720E4" w:rsidRDefault="006C6EBA" w:rsidP="00EA22AE">
      <w:pPr>
        <w:spacing w:after="120"/>
        <w:rPr>
          <w:rFonts w:ascii="Calibri" w:hAnsi="Calibri" w:cs="Calibri"/>
          <w:b/>
          <w:bCs/>
          <w:color w:val="4472C4" w:themeColor="accent1"/>
          <w:sz w:val="32"/>
          <w:szCs w:val="32"/>
          <w:u w:val="single"/>
        </w:rPr>
      </w:pPr>
      <w:bookmarkStart w:id="1137" w:name="_Toc63683403"/>
      <w:bookmarkStart w:id="1138" w:name="_Toc70241742"/>
      <w:bookmarkStart w:id="1139" w:name="_Toc70243376"/>
      <w:bookmarkStart w:id="1140" w:name="_Toc70328727"/>
      <w:bookmarkStart w:id="1141" w:name="_Toc70333957"/>
      <w:bookmarkStart w:id="1142" w:name="_Toc70414835"/>
      <w:bookmarkStart w:id="1143" w:name="_Toc70844161"/>
      <w:bookmarkStart w:id="1144" w:name="_Toc70858984"/>
      <w:bookmarkStart w:id="1145" w:name="_Toc70861085"/>
      <w:bookmarkStart w:id="1146" w:name="_Toc70876569"/>
      <w:bookmarkStart w:id="1147" w:name="_Toc72615093"/>
      <w:bookmarkStart w:id="1148" w:name="_Toc73129813"/>
      <w:bookmarkStart w:id="1149" w:name="_Toc73301682"/>
      <w:bookmarkStart w:id="1150" w:name="_Toc73302188"/>
      <w:bookmarkEnd w:id="1128"/>
      <w:bookmarkEnd w:id="1129"/>
      <w:bookmarkEnd w:id="1130"/>
      <w:bookmarkEnd w:id="1131"/>
      <w:bookmarkEnd w:id="1132"/>
      <w:bookmarkEnd w:id="1133"/>
      <w:bookmarkEnd w:id="1134"/>
      <w:bookmarkEnd w:id="1135"/>
      <w:bookmarkEnd w:id="1136"/>
    </w:p>
    <w:p w14:paraId="4D910DDD" w14:textId="77777777" w:rsidR="003C073A" w:rsidRPr="006720E4" w:rsidRDefault="003C073A" w:rsidP="00EA22AE">
      <w:pPr>
        <w:spacing w:after="120"/>
        <w:rPr>
          <w:rFonts w:ascii="Calibri" w:hAnsi="Calibri" w:cs="Calibri"/>
          <w:b/>
          <w:bCs/>
          <w:color w:val="4472C4" w:themeColor="accent1"/>
          <w:sz w:val="32"/>
          <w:szCs w:val="32"/>
          <w:u w:val="single"/>
        </w:rPr>
      </w:pPr>
      <w:bookmarkStart w:id="1151" w:name="_Decision-making_and_consent_1"/>
      <w:bookmarkStart w:id="1152" w:name="_Toc73303321"/>
      <w:bookmarkStart w:id="1153" w:name="_Toc73303568"/>
      <w:bookmarkStart w:id="1154" w:name="_Toc74080685"/>
      <w:bookmarkStart w:id="1155" w:name="_Toc74080993"/>
      <w:bookmarkStart w:id="1156" w:name="_Toc74081223"/>
      <w:bookmarkStart w:id="1157" w:name="_Toc74081466"/>
      <w:bookmarkStart w:id="1158" w:name="_Toc74171054"/>
      <w:bookmarkStart w:id="1159" w:name="_Toc74172243"/>
      <w:bookmarkStart w:id="1160" w:name="_Toc74172779"/>
      <w:bookmarkStart w:id="1161" w:name="_Toc74238728"/>
      <w:bookmarkStart w:id="1162" w:name="_Toc78304760"/>
      <w:bookmarkStart w:id="1163" w:name="_Toc79330847"/>
      <w:bookmarkStart w:id="1164" w:name="_Toc79331227"/>
      <w:bookmarkStart w:id="1165" w:name="_Toc79406342"/>
      <w:bookmarkStart w:id="1166" w:name="_Toc82773516"/>
      <w:bookmarkStart w:id="1167" w:name="_Toc82773869"/>
      <w:bookmarkStart w:id="1168" w:name="_Toc128314196"/>
      <w:bookmarkEnd w:id="1151"/>
      <w:r w:rsidRPr="006720E4">
        <w:rPr>
          <w:rFonts w:ascii="Calibri" w:hAnsi="Calibri" w:cs="Calibri"/>
        </w:rPr>
        <w:br w:type="page"/>
      </w:r>
    </w:p>
    <w:p w14:paraId="3E4D6AA4" w14:textId="3B3724F1" w:rsidR="006C6EBA" w:rsidRPr="006720E4" w:rsidRDefault="006C6EBA" w:rsidP="00EA22AE">
      <w:pPr>
        <w:pStyle w:val="Heading1"/>
      </w:pPr>
      <w:bookmarkStart w:id="1169" w:name="_Decision-making_and_consent_2"/>
      <w:bookmarkStart w:id="1170" w:name="_Decision-making_and_consent"/>
      <w:bookmarkStart w:id="1171" w:name="_Toc135131440"/>
      <w:bookmarkEnd w:id="1169"/>
      <w:bookmarkEnd w:id="1170"/>
      <w:r w:rsidRPr="006720E4">
        <w:lastRenderedPageBreak/>
        <w:t>Decision-making and conse</w:t>
      </w:r>
      <w:bookmarkEnd w:id="1137"/>
      <w:r w:rsidRPr="006720E4">
        <w:t>nt</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71"/>
    </w:p>
    <w:p w14:paraId="3B00FBB5" w14:textId="7777777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Everyone should have the opportunity to consider and decide about donation or transplantation of cells, tissues, or organs when this may be relevant to their interests. </w:t>
      </w:r>
    </w:p>
    <w:p w14:paraId="2FC51856" w14:textId="68B85CD3" w:rsidR="006C6EBA" w:rsidRPr="006720E4" w:rsidRDefault="006C6EBA" w:rsidP="00EA22AE">
      <w:pPr>
        <w:spacing w:after="120"/>
        <w:rPr>
          <w:rFonts w:ascii="Calibri" w:hAnsi="Calibri" w:cs="Calibri"/>
          <w:sz w:val="22"/>
          <w:szCs w:val="22"/>
        </w:rPr>
      </w:pPr>
      <w:bookmarkStart w:id="1172" w:name="_Toc70241743"/>
      <w:bookmarkStart w:id="1173" w:name="_Toc70243377"/>
      <w:bookmarkStart w:id="1174" w:name="_Toc70328728"/>
      <w:bookmarkStart w:id="1175" w:name="_Toc70333958"/>
      <w:r w:rsidRPr="006720E4">
        <w:rPr>
          <w:rFonts w:ascii="Calibri" w:hAnsi="Calibri" w:cs="Calibri"/>
          <w:sz w:val="22"/>
          <w:szCs w:val="22"/>
        </w:rPr>
        <w:t xml:space="preserve">This chapter provides information about key </w:t>
      </w:r>
      <w:r w:rsidR="00357741" w:rsidRPr="006720E4">
        <w:rPr>
          <w:rFonts w:ascii="Calibri" w:hAnsi="Calibri" w:cs="Calibri"/>
          <w:sz w:val="22"/>
          <w:szCs w:val="22"/>
        </w:rPr>
        <w:t xml:space="preserve">ethical </w:t>
      </w:r>
      <w:r w:rsidRPr="006720E4">
        <w:rPr>
          <w:rFonts w:ascii="Calibri" w:hAnsi="Calibri" w:cs="Calibri"/>
          <w:sz w:val="22"/>
          <w:szCs w:val="22"/>
        </w:rPr>
        <w:t>considerations in donation and transplantation decision-making</w:t>
      </w:r>
      <w:bookmarkEnd w:id="1172"/>
      <w:bookmarkEnd w:id="1173"/>
      <w:bookmarkEnd w:id="1174"/>
      <w:bookmarkEnd w:id="1175"/>
      <w:r w:rsidR="00357741" w:rsidRPr="006720E4">
        <w:rPr>
          <w:rFonts w:ascii="Calibri" w:hAnsi="Calibri" w:cs="Calibri"/>
          <w:sz w:val="22"/>
          <w:szCs w:val="22"/>
        </w:rPr>
        <w:t xml:space="preserve">. Many of these are derived from or informed by the core ethical values and principles </w:t>
      </w:r>
      <w:r w:rsidR="00357741" w:rsidRPr="00EA22AE">
        <w:rPr>
          <w:rFonts w:ascii="Calibri" w:hAnsi="Calibri" w:cs="Calibri"/>
          <w:sz w:val="22"/>
          <w:szCs w:val="22"/>
        </w:rPr>
        <w:t>outlined in</w:t>
      </w:r>
      <w:r w:rsidR="00853FC4" w:rsidRPr="00EA22AE">
        <w:rPr>
          <w:rFonts w:ascii="Calibri" w:hAnsi="Calibri" w:cs="Calibri"/>
          <w:sz w:val="22"/>
          <w:szCs w:val="22"/>
        </w:rPr>
        <w:t xml:space="preserve"> </w:t>
      </w:r>
      <w:hyperlink w:anchor="_Ethical_principles_guiding" w:history="1">
        <w:r w:rsidR="00853FC4" w:rsidRPr="00EA22AE">
          <w:rPr>
            <w:rStyle w:val="Hyperlink"/>
            <w:rFonts w:ascii="Calibri" w:hAnsi="Calibri" w:cs="Calibri"/>
            <w:sz w:val="22"/>
            <w:szCs w:val="22"/>
          </w:rPr>
          <w:t>Chapter 3.1</w:t>
        </w:r>
      </w:hyperlink>
      <w:r w:rsidR="00357741" w:rsidRPr="00EA22AE">
        <w:rPr>
          <w:rFonts w:ascii="Calibri" w:hAnsi="Calibri" w:cs="Calibri"/>
          <w:sz w:val="22"/>
          <w:szCs w:val="22"/>
        </w:rPr>
        <w:t>.</w:t>
      </w:r>
    </w:p>
    <w:p w14:paraId="69709DA5" w14:textId="6491027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Including people in decision-making about their own healthcare and the legal requirement to obtain valid consent to treatment before performing clinical interventions generally promotes respect for autonomy in clinical practice. However, merely including people in decision-making is not sufficient to ensure their autonomy is respected. </w:t>
      </w:r>
      <w:r w:rsidRPr="00080A0A">
        <w:rPr>
          <w:rFonts w:ascii="Calibri" w:hAnsi="Calibri" w:cs="Calibri"/>
          <w:sz w:val="22"/>
          <w:szCs w:val="22"/>
        </w:rPr>
        <w:t>Ensuring cultural safety (see</w:t>
      </w:r>
      <w:r w:rsidR="00080A0A" w:rsidRPr="00080A0A">
        <w:rPr>
          <w:rFonts w:ascii="Calibri" w:hAnsi="Calibri" w:cs="Calibri"/>
          <w:sz w:val="22"/>
          <w:szCs w:val="22"/>
        </w:rPr>
        <w:t xml:space="preserve"> </w:t>
      </w:r>
      <w:hyperlink w:anchor="_Cultural_safety" w:history="1">
        <w:r w:rsidR="00080A0A" w:rsidRPr="00080A0A">
          <w:rPr>
            <w:rStyle w:val="Hyperlink"/>
            <w:rFonts w:ascii="Calibri" w:hAnsi="Calibri" w:cs="Calibri"/>
            <w:sz w:val="22"/>
            <w:szCs w:val="22"/>
            <w:lang w:val="en-GB"/>
          </w:rPr>
          <w:t>Chapter 3.4.2</w:t>
        </w:r>
      </w:hyperlink>
      <w:r w:rsidRPr="00080A0A">
        <w:rPr>
          <w:rFonts w:ascii="Calibri" w:hAnsi="Calibri" w:cs="Calibri"/>
          <w:sz w:val="22"/>
          <w:szCs w:val="22"/>
        </w:rPr>
        <w:t>) and attending</w:t>
      </w:r>
      <w:r w:rsidRPr="006720E4">
        <w:rPr>
          <w:rFonts w:ascii="Calibri" w:hAnsi="Calibri" w:cs="Calibri"/>
          <w:sz w:val="22"/>
          <w:szCs w:val="22"/>
        </w:rPr>
        <w:t xml:space="preserve"> to factors that enable active participation in decision-making by all relevant stakeholders is essential. </w:t>
      </w:r>
    </w:p>
    <w:p w14:paraId="205CB56F" w14:textId="16FE5E7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this chapter, the core elements of consent are explained, as well as strategies that are used to promote autonomy and support decision-making in situations where it may not be possible to obtain consent directly from an individual about their involvement in donation or transplantation. Situations are also discussed where decision-making may be complicated or where particular attention should be paid to specific aspects of decision-making or consent, in order to ensure that ethical standards are upheld. Specific aspects of decision-making </w:t>
      </w:r>
      <w:r w:rsidR="00357741" w:rsidRPr="006720E4">
        <w:rPr>
          <w:rFonts w:ascii="Calibri" w:hAnsi="Calibri" w:cs="Calibri"/>
          <w:sz w:val="22"/>
          <w:szCs w:val="22"/>
        </w:rPr>
        <w:t xml:space="preserve">in </w:t>
      </w:r>
      <w:r w:rsidRPr="006720E4">
        <w:rPr>
          <w:rFonts w:ascii="Calibri" w:hAnsi="Calibri" w:cs="Calibri"/>
          <w:sz w:val="22"/>
          <w:szCs w:val="22"/>
        </w:rPr>
        <w:t xml:space="preserve">relation to donation and transplantation in children or adults lacking decision-making capacity are discussed in </w:t>
      </w:r>
      <w:hyperlink w:anchor="_Donation_and_transplantation" w:history="1">
        <w:r w:rsidRPr="006720E4">
          <w:rPr>
            <w:rStyle w:val="Hyperlink"/>
            <w:rFonts w:ascii="Calibri" w:hAnsi="Calibri" w:cs="Calibri"/>
            <w:sz w:val="22"/>
            <w:szCs w:val="22"/>
          </w:rPr>
          <w:t>Chapter</w:t>
        </w:r>
      </w:hyperlink>
      <w:r w:rsidRPr="006720E4">
        <w:rPr>
          <w:rStyle w:val="Hyperlink"/>
          <w:rFonts w:ascii="Calibri" w:hAnsi="Calibri" w:cs="Calibri"/>
          <w:sz w:val="22"/>
          <w:szCs w:val="22"/>
        </w:rPr>
        <w:t xml:space="preserve"> </w:t>
      </w:r>
      <w:r w:rsidR="003358DC" w:rsidRPr="006720E4">
        <w:rPr>
          <w:rStyle w:val="Hyperlink"/>
          <w:rFonts w:ascii="Calibri" w:hAnsi="Calibri" w:cs="Calibri"/>
          <w:sz w:val="22"/>
          <w:szCs w:val="22"/>
        </w:rPr>
        <w:t>5</w:t>
      </w:r>
      <w:r w:rsidRPr="006720E4">
        <w:rPr>
          <w:rFonts w:ascii="Calibri" w:hAnsi="Calibri" w:cs="Calibri"/>
          <w:sz w:val="22"/>
          <w:szCs w:val="22"/>
        </w:rPr>
        <w:t>.</w:t>
      </w:r>
    </w:p>
    <w:p w14:paraId="1FA92BC8" w14:textId="760EAF1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chapter should also be read in conjunction with </w:t>
      </w:r>
      <w:hyperlink w:anchor="_Risks_and_benefits" w:history="1">
        <w:r w:rsidRPr="006720E4">
          <w:rPr>
            <w:rStyle w:val="Hyperlink"/>
            <w:rFonts w:ascii="Calibri" w:hAnsi="Calibri" w:cs="Calibri"/>
            <w:sz w:val="22"/>
            <w:szCs w:val="22"/>
          </w:rPr>
          <w:t>Chapter 6,</w:t>
        </w:r>
      </w:hyperlink>
      <w:r w:rsidRPr="006720E4">
        <w:rPr>
          <w:rFonts w:ascii="Calibri" w:hAnsi="Calibri" w:cs="Calibri"/>
          <w:sz w:val="22"/>
          <w:szCs w:val="22"/>
        </w:rPr>
        <w:t xml:space="preserve"> which examines ethical considerations in evaluating and managing the potential risks and benefits of donation and transplantation. Information about risks and benefits is a key component of ethical decision-making for donation and transplantation, and concerns about risks and benefits can significantly influence the approach to </w:t>
      </w:r>
      <w:r w:rsidRPr="00EA22AE">
        <w:rPr>
          <w:rFonts w:ascii="Calibri" w:hAnsi="Calibri" w:cs="Calibri"/>
          <w:sz w:val="22"/>
          <w:szCs w:val="22"/>
        </w:rPr>
        <w:t xml:space="preserve">decision-making. </w:t>
      </w:r>
      <w:hyperlink w:anchor="_Ethics_of_ethical_1" w:history="1">
        <w:r w:rsidR="00EA22AE" w:rsidRPr="00EA22AE">
          <w:rPr>
            <w:rStyle w:val="Hyperlink"/>
            <w:rFonts w:ascii="Calibri" w:hAnsi="Calibri" w:cs="Calibri"/>
            <w:sz w:val="22"/>
            <w:szCs w:val="22"/>
          </w:rPr>
          <w:t>Chapter 3.6</w:t>
        </w:r>
      </w:hyperlink>
      <w:r w:rsidR="00EA22AE" w:rsidRPr="00EA22AE">
        <w:rPr>
          <w:rFonts w:ascii="Calibri" w:hAnsi="Calibri" w:cs="Calibri"/>
          <w:sz w:val="22"/>
          <w:szCs w:val="22"/>
        </w:rPr>
        <w:t xml:space="preserve"> </w:t>
      </w:r>
      <w:r w:rsidRPr="00EA22AE">
        <w:rPr>
          <w:rFonts w:ascii="Calibri" w:hAnsi="Calibri" w:cs="Calibri"/>
          <w:sz w:val="22"/>
          <w:szCs w:val="22"/>
        </w:rPr>
        <w:t>also provides</w:t>
      </w:r>
      <w:r w:rsidRPr="006720E4">
        <w:rPr>
          <w:rFonts w:ascii="Calibri" w:hAnsi="Calibri" w:cs="Calibri"/>
          <w:sz w:val="22"/>
          <w:szCs w:val="22"/>
        </w:rPr>
        <w:t xml:space="preserve"> advice on ethical decision-making. </w:t>
      </w:r>
    </w:p>
    <w:p w14:paraId="2484E017" w14:textId="26DF7EC3" w:rsidR="00F94CE6"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Of note, many disagreements with regards to decision-making in healthcare are the result of ineffective or inappropriate communication or lack of timely communication, rather than ethical disagreements as such. </w:t>
      </w:r>
      <w:r w:rsidRPr="006720E4">
        <w:rPr>
          <w:rFonts w:ascii="Calibri" w:hAnsi="Calibri" w:cs="Calibri"/>
          <w:color w:val="000000" w:themeColor="text1"/>
          <w:sz w:val="22"/>
          <w:szCs w:val="22"/>
        </w:rPr>
        <w:t>Establishing a culturally safe environment for decision-making also supports quality in decision-making and care</w:t>
      </w:r>
      <w:r w:rsidR="003358DC" w:rsidRPr="006720E4">
        <w:rPr>
          <w:rFonts w:ascii="Calibri" w:hAnsi="Calibri" w:cs="Calibri"/>
          <w:color w:val="000000" w:themeColor="text1"/>
          <w:sz w:val="22"/>
          <w:szCs w:val="22"/>
        </w:rPr>
        <w:t xml:space="preserve"> (see </w:t>
      </w:r>
      <w:hyperlink w:anchor="_Cultural_safety" w:history="1">
        <w:r w:rsidR="00080A0A" w:rsidRPr="00080A0A">
          <w:rPr>
            <w:rStyle w:val="Hyperlink"/>
            <w:rFonts w:ascii="Calibri" w:hAnsi="Calibri" w:cs="Calibri"/>
            <w:sz w:val="22"/>
            <w:szCs w:val="22"/>
            <w:lang w:val="en-GB"/>
          </w:rPr>
          <w:t>Chapter 3.4.2</w:t>
        </w:r>
      </w:hyperlink>
      <w:r w:rsidR="003358DC" w:rsidRPr="006720E4">
        <w:rPr>
          <w:rFonts w:ascii="Calibri" w:hAnsi="Calibri" w:cs="Calibri"/>
          <w:color w:val="000000" w:themeColor="text1"/>
          <w:sz w:val="22"/>
          <w:szCs w:val="22"/>
        </w:rPr>
        <w:t>)</w:t>
      </w:r>
      <w:r w:rsidRPr="006720E4">
        <w:rPr>
          <w:rFonts w:ascii="Calibri" w:hAnsi="Calibri" w:cs="Calibri"/>
          <w:color w:val="000000" w:themeColor="text1"/>
          <w:sz w:val="22"/>
          <w:szCs w:val="22"/>
        </w:rPr>
        <w:t xml:space="preserve">. </w:t>
      </w:r>
      <w:r w:rsidRPr="006720E4">
        <w:rPr>
          <w:rFonts w:ascii="Calibri" w:hAnsi="Calibri" w:cs="Calibri"/>
          <w:sz w:val="22"/>
          <w:szCs w:val="22"/>
        </w:rPr>
        <w:t xml:space="preserve">Readers are encouraged to explore the recommended resources for this chapter in </w:t>
      </w:r>
      <w:hyperlink w:anchor="_Appendix_3_–" w:history="1">
        <w:r w:rsidR="009C2EF0" w:rsidRPr="009C2EF0">
          <w:rPr>
            <w:rStyle w:val="Hyperlink"/>
            <w:rFonts w:ascii="Calibri" w:hAnsi="Calibri" w:cs="Calibri"/>
            <w:sz w:val="22"/>
            <w:szCs w:val="22"/>
          </w:rPr>
          <w:t>Appendix 1</w:t>
        </w:r>
      </w:hyperlink>
      <w:r w:rsidRPr="006720E4">
        <w:rPr>
          <w:rFonts w:ascii="Calibri" w:hAnsi="Calibri" w:cs="Calibri"/>
          <w:sz w:val="22"/>
          <w:szCs w:val="22"/>
        </w:rPr>
        <w:t xml:space="preserve"> which may help to support effective communication and culturally safe decision-making in donation and transplantation. </w:t>
      </w:r>
      <w:bookmarkStart w:id="1176" w:name="_General_considerations_in"/>
      <w:bookmarkStart w:id="1177" w:name="_Toc70241744"/>
      <w:bookmarkStart w:id="1178" w:name="_Toc70243378"/>
      <w:bookmarkStart w:id="1179" w:name="_Toc70328729"/>
      <w:bookmarkStart w:id="1180" w:name="_Toc70333959"/>
      <w:bookmarkStart w:id="1181" w:name="_Toc70414836"/>
      <w:bookmarkStart w:id="1182" w:name="_Toc70844162"/>
      <w:bookmarkStart w:id="1183" w:name="_Toc70858985"/>
      <w:bookmarkStart w:id="1184" w:name="_Toc70861086"/>
      <w:bookmarkStart w:id="1185" w:name="_Toc70876570"/>
      <w:bookmarkStart w:id="1186" w:name="_Toc72615094"/>
      <w:bookmarkStart w:id="1187" w:name="_Toc73129814"/>
      <w:bookmarkStart w:id="1188" w:name="_Toc73301683"/>
      <w:bookmarkStart w:id="1189" w:name="_Toc73302189"/>
      <w:bookmarkStart w:id="1190" w:name="_Toc73303322"/>
      <w:bookmarkStart w:id="1191" w:name="_Toc73303569"/>
      <w:bookmarkStart w:id="1192" w:name="_Toc74080686"/>
      <w:bookmarkStart w:id="1193" w:name="_Toc74080994"/>
      <w:bookmarkStart w:id="1194" w:name="_Toc74081224"/>
      <w:bookmarkStart w:id="1195" w:name="_Toc74081467"/>
      <w:bookmarkStart w:id="1196" w:name="_Toc74171055"/>
      <w:bookmarkStart w:id="1197" w:name="_Toc74172244"/>
      <w:bookmarkStart w:id="1198" w:name="_Toc74172780"/>
      <w:bookmarkStart w:id="1199" w:name="_Toc74238729"/>
      <w:bookmarkStart w:id="1200" w:name="_Toc78304761"/>
      <w:bookmarkStart w:id="1201" w:name="_Toc79330848"/>
      <w:bookmarkStart w:id="1202" w:name="_Toc79331228"/>
      <w:bookmarkStart w:id="1203" w:name="_Toc79406343"/>
      <w:bookmarkStart w:id="1204" w:name="_Toc82773517"/>
      <w:bookmarkStart w:id="1205" w:name="_Toc82773870"/>
      <w:bookmarkStart w:id="1206" w:name="_Toc128314197"/>
      <w:bookmarkStart w:id="1207" w:name="_Toc63683404"/>
      <w:bookmarkEnd w:id="1176"/>
    </w:p>
    <w:p w14:paraId="28639E38" w14:textId="704085AF" w:rsidR="006C6EBA" w:rsidRPr="006720E4" w:rsidRDefault="006C6EBA" w:rsidP="00EA22AE">
      <w:pPr>
        <w:pStyle w:val="Heading2"/>
        <w:spacing w:after="120"/>
      </w:pPr>
      <w:bookmarkStart w:id="1208" w:name="_Toc135131441"/>
      <w:r w:rsidRPr="006720E4">
        <w:t>General considerations in consent</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8"/>
    </w:p>
    <w:p w14:paraId="10B98E62" w14:textId="0CC7ACA5" w:rsidR="006C6EBA" w:rsidRPr="006720E4" w:rsidRDefault="006C6EBA" w:rsidP="00EA22AE">
      <w:pPr>
        <w:spacing w:after="120"/>
        <w:rPr>
          <w:rFonts w:ascii="Calibri" w:hAnsi="Calibri" w:cs="Calibri"/>
          <w:sz w:val="22"/>
          <w:szCs w:val="22"/>
        </w:rPr>
      </w:pPr>
      <w:bookmarkStart w:id="1209" w:name="_Toc70241745"/>
      <w:bookmarkStart w:id="1210" w:name="_Toc70243379"/>
      <w:bookmarkStart w:id="1211" w:name="_Toc70328730"/>
      <w:bookmarkStart w:id="1212" w:name="_Toc70333960"/>
      <w:bookmarkEnd w:id="1207"/>
      <w:r w:rsidRPr="006720E4">
        <w:rPr>
          <w:rFonts w:ascii="Calibri" w:hAnsi="Calibri" w:cs="Calibri"/>
          <w:sz w:val="22"/>
          <w:szCs w:val="22"/>
        </w:rPr>
        <w:t xml:space="preserve">Valid consent for a decision about donating cells, tissues or organs or receiving a transplant requires that the person making the decision is legally authorised to do so. Considerations with regards to legal authority for decision-making in specific donation and transplantation circumstances are discussed in the relevant sections. </w:t>
      </w:r>
    </w:p>
    <w:p w14:paraId="3997F661" w14:textId="77777777" w:rsidR="006C6EBA" w:rsidRPr="006720E4" w:rsidRDefault="006C6EBA" w:rsidP="00EA22AE">
      <w:pPr>
        <w:spacing w:after="120"/>
        <w:rPr>
          <w:rFonts w:ascii="Calibri" w:hAnsi="Calibri" w:cs="Calibri"/>
          <w:b/>
          <w:sz w:val="22"/>
          <w:szCs w:val="22"/>
        </w:rPr>
      </w:pPr>
      <w:r w:rsidRPr="006720E4">
        <w:rPr>
          <w:rFonts w:ascii="Calibri" w:hAnsi="Calibri" w:cs="Calibri"/>
          <w:sz w:val="22"/>
          <w:szCs w:val="22"/>
        </w:rPr>
        <w:t>The decision-maker must also meet the following criteria:</w:t>
      </w:r>
      <w:bookmarkEnd w:id="1209"/>
      <w:bookmarkEnd w:id="1210"/>
      <w:bookmarkEnd w:id="1211"/>
      <w:bookmarkEnd w:id="1212"/>
      <w:r w:rsidRPr="006720E4">
        <w:rPr>
          <w:rFonts w:ascii="Calibri" w:hAnsi="Calibri" w:cs="Calibri"/>
          <w:sz w:val="22"/>
          <w:szCs w:val="22"/>
        </w:rPr>
        <w:t xml:space="preserve"> </w:t>
      </w:r>
    </w:p>
    <w:p w14:paraId="15D3CA99"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Has decision making </w:t>
      </w:r>
      <w:r w:rsidRPr="006720E4">
        <w:rPr>
          <w:rFonts w:cs="Calibri"/>
          <w:b/>
          <w:bCs/>
          <w:szCs w:val="22"/>
        </w:rPr>
        <w:t>capacity,</w:t>
      </w:r>
      <w:r w:rsidRPr="006720E4">
        <w:rPr>
          <w:rFonts w:cs="Calibri"/>
          <w:szCs w:val="22"/>
        </w:rPr>
        <w:t xml:space="preserve"> </w:t>
      </w:r>
    </w:p>
    <w:p w14:paraId="790FFD83"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Is making a </w:t>
      </w:r>
      <w:r w:rsidRPr="006720E4">
        <w:rPr>
          <w:rFonts w:cs="Calibri"/>
          <w:b/>
          <w:bCs/>
          <w:szCs w:val="22"/>
        </w:rPr>
        <w:t>voluntary</w:t>
      </w:r>
      <w:r w:rsidRPr="006720E4">
        <w:rPr>
          <w:rFonts w:cs="Calibri"/>
          <w:szCs w:val="22"/>
        </w:rPr>
        <w:t xml:space="preserve"> decision without undue influence, manipulation, or deceit,</w:t>
      </w:r>
    </w:p>
    <w:p w14:paraId="757D71B0"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Has received and </w:t>
      </w:r>
      <w:r w:rsidRPr="006720E4">
        <w:rPr>
          <w:rFonts w:cs="Calibri"/>
          <w:b/>
          <w:bCs/>
          <w:szCs w:val="22"/>
        </w:rPr>
        <w:t>understood</w:t>
      </w:r>
      <w:r w:rsidRPr="006720E4">
        <w:rPr>
          <w:rFonts w:cs="Calibri"/>
          <w:szCs w:val="22"/>
        </w:rPr>
        <w:t xml:space="preserve"> sufficient </w:t>
      </w:r>
      <w:r w:rsidRPr="006720E4">
        <w:rPr>
          <w:rFonts w:cs="Calibri"/>
          <w:b/>
          <w:bCs/>
          <w:szCs w:val="22"/>
        </w:rPr>
        <w:t>information</w:t>
      </w:r>
      <w:r w:rsidRPr="006720E4">
        <w:rPr>
          <w:rFonts w:cs="Calibri"/>
          <w:szCs w:val="22"/>
        </w:rPr>
        <w:t xml:space="preserve"> that is relevant to the decision, including the risks and benefits of relevant interventions, and available alternatives if relevant, and</w:t>
      </w:r>
    </w:p>
    <w:p w14:paraId="687F6ABD"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Is able to </w:t>
      </w:r>
      <w:r w:rsidRPr="006720E4">
        <w:rPr>
          <w:rFonts w:cs="Calibri"/>
          <w:b/>
          <w:bCs/>
          <w:szCs w:val="22"/>
        </w:rPr>
        <w:t>communicate</w:t>
      </w:r>
      <w:r w:rsidRPr="006720E4">
        <w:rPr>
          <w:rFonts w:cs="Calibri"/>
          <w:szCs w:val="22"/>
        </w:rPr>
        <w:t xml:space="preserve"> their decision.  </w:t>
      </w:r>
    </w:p>
    <w:p w14:paraId="7B2ED3F6" w14:textId="5CAC7A2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conditions that must be met for valid consent to be obtained are explained in more detail below.</w:t>
      </w:r>
    </w:p>
    <w:p w14:paraId="4E867582" w14:textId="5FD631F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Of note, consent is commonly regarded as being </w:t>
      </w:r>
      <w:r w:rsidRPr="006720E4">
        <w:rPr>
          <w:rFonts w:ascii="Calibri" w:hAnsi="Calibri" w:cs="Calibri"/>
          <w:b/>
          <w:bCs/>
          <w:sz w:val="22"/>
          <w:szCs w:val="22"/>
        </w:rPr>
        <w:t>specific</w:t>
      </w:r>
      <w:r w:rsidRPr="006720E4">
        <w:rPr>
          <w:rFonts w:ascii="Calibri" w:hAnsi="Calibri" w:cs="Calibri"/>
          <w:sz w:val="22"/>
          <w:szCs w:val="22"/>
        </w:rPr>
        <w:t xml:space="preserve"> to a particular intervention in particular circumstances. Consent should also be </w:t>
      </w:r>
      <w:r w:rsidRPr="006720E4">
        <w:rPr>
          <w:rFonts w:ascii="Calibri" w:hAnsi="Calibri" w:cs="Calibri"/>
          <w:b/>
          <w:bCs/>
          <w:sz w:val="22"/>
          <w:szCs w:val="22"/>
        </w:rPr>
        <w:t>current</w:t>
      </w:r>
      <w:r w:rsidRPr="006720E4">
        <w:rPr>
          <w:rFonts w:ascii="Calibri" w:hAnsi="Calibri" w:cs="Calibri"/>
          <w:sz w:val="22"/>
          <w:szCs w:val="22"/>
        </w:rPr>
        <w:t xml:space="preserve">; if a preliminary decision is made by a person to undergo transplantation or donation this should be checked to ensure consent remains valid at the time of the actual intervention. </w:t>
      </w:r>
    </w:p>
    <w:p w14:paraId="1756E0DC" w14:textId="6E20C0E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Consent is often a </w:t>
      </w:r>
      <w:r w:rsidRPr="006720E4">
        <w:rPr>
          <w:rFonts w:ascii="Calibri" w:hAnsi="Calibri" w:cs="Calibri"/>
          <w:b/>
          <w:bCs/>
          <w:sz w:val="22"/>
          <w:szCs w:val="22"/>
        </w:rPr>
        <w:t>dynamic</w:t>
      </w:r>
      <w:r w:rsidRPr="006720E4">
        <w:rPr>
          <w:rFonts w:ascii="Calibri" w:hAnsi="Calibri" w:cs="Calibri"/>
          <w:sz w:val="22"/>
          <w:szCs w:val="22"/>
        </w:rPr>
        <w:t xml:space="preserve"> process. For example, a transplant candidate may have consented to a specific transplant procedure when they first joined the organ transplant waiting list or were referred for heart valve transplantation. However, when a suitable donor organ or tissue becomes available for transplantation, it’s important to ensure that the candidate understands the relevant information that may be specific to the particular organ or tissue being offered, and any other information that may have changed during the intervening time. For example, the candidate’s own health status may have changed in ways that mean the expected risks and benefits of the procedure are now different. Similarly, relevant information will likely include information about specific characteristics of the donor organ or tissue.</w:t>
      </w:r>
    </w:p>
    <w:p w14:paraId="7AFD0939" w14:textId="77777777" w:rsidR="006C6EBA" w:rsidRPr="006720E4" w:rsidRDefault="006C6EBA" w:rsidP="00EA22AE">
      <w:pPr>
        <w:pStyle w:val="Heading3"/>
        <w:spacing w:after="120"/>
      </w:pPr>
      <w:bookmarkStart w:id="1213" w:name="_Decision-making_capacity"/>
      <w:bookmarkStart w:id="1214" w:name="_Toc63683405"/>
      <w:bookmarkStart w:id="1215" w:name="_Toc70241746"/>
      <w:bookmarkStart w:id="1216" w:name="_Toc70243380"/>
      <w:bookmarkStart w:id="1217" w:name="_Toc70414837"/>
      <w:bookmarkStart w:id="1218" w:name="_Toc70844163"/>
      <w:bookmarkStart w:id="1219" w:name="_Toc72615095"/>
      <w:bookmarkStart w:id="1220" w:name="_Toc73129815"/>
      <w:bookmarkStart w:id="1221" w:name="_Toc73301684"/>
      <w:bookmarkStart w:id="1222" w:name="_Toc73302190"/>
      <w:bookmarkStart w:id="1223" w:name="_Toc73303323"/>
      <w:bookmarkStart w:id="1224" w:name="_Toc73303570"/>
      <w:bookmarkStart w:id="1225" w:name="_Toc74080687"/>
      <w:bookmarkStart w:id="1226" w:name="_Toc74080995"/>
      <w:bookmarkStart w:id="1227" w:name="_Toc74081225"/>
      <w:bookmarkStart w:id="1228" w:name="_Toc74081468"/>
      <w:bookmarkStart w:id="1229" w:name="_Toc74171056"/>
      <w:bookmarkStart w:id="1230" w:name="_Toc74172245"/>
      <w:bookmarkStart w:id="1231" w:name="_Toc74172781"/>
      <w:bookmarkStart w:id="1232" w:name="_Toc74238730"/>
      <w:bookmarkStart w:id="1233" w:name="_Toc79406344"/>
      <w:bookmarkStart w:id="1234" w:name="_Toc82773518"/>
      <w:bookmarkStart w:id="1235" w:name="_Toc82773871"/>
      <w:bookmarkEnd w:id="1213"/>
      <w:r w:rsidRPr="006720E4">
        <w:t>Decision-making capacity</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14:paraId="5857BD7A" w14:textId="7995B74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a person is tasked with making a decision about donation or transplantation, consideration must be given to their ability (“capacity”) to understand the relevant information and to provide legally valid consent for a decision. In most Australian states and territories, a person over 18 years of age is presumed to have the capacity to make decisions about their own healthcare unless there is evidence to the contrary. Nevertheless, it is important to check that individuals have decision-making capacity and to support them in their decision-making.</w:t>
      </w:r>
    </w:p>
    <w:p w14:paraId="390CCF35" w14:textId="7FA5431B"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sz w:val="22"/>
          <w:szCs w:val="22"/>
        </w:rPr>
        <w:t>Individuals are considered to have capacity to give consent to donation or transplantation when they can:</w:t>
      </w:r>
    </w:p>
    <w:p w14:paraId="3B75EE95"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understand the information involved in making the decision, </w:t>
      </w:r>
    </w:p>
    <w:p w14:paraId="364EAB29" w14:textId="77777777" w:rsidR="006C6EBA" w:rsidRPr="006720E4" w:rsidRDefault="006C6EBA" w:rsidP="00EA22AE">
      <w:pPr>
        <w:pStyle w:val="BulletList"/>
        <w:spacing w:after="120"/>
        <w:contextualSpacing w:val="0"/>
        <w:rPr>
          <w:rFonts w:cs="Calibri"/>
          <w:szCs w:val="22"/>
        </w:rPr>
      </w:pPr>
      <w:r w:rsidRPr="006720E4">
        <w:rPr>
          <w:rFonts w:cs="Calibri"/>
          <w:szCs w:val="22"/>
        </w:rPr>
        <w:t>understand the possible choices,</w:t>
      </w:r>
    </w:p>
    <w:p w14:paraId="0309265B"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weigh up the consequences of the choices, </w:t>
      </w:r>
    </w:p>
    <w:p w14:paraId="11111819" w14:textId="77777777" w:rsidR="006C6EBA" w:rsidRPr="006720E4" w:rsidRDefault="006C6EBA" w:rsidP="00EA22AE">
      <w:pPr>
        <w:pStyle w:val="BulletList"/>
        <w:spacing w:after="120"/>
        <w:contextualSpacing w:val="0"/>
        <w:rPr>
          <w:rFonts w:cs="Calibri"/>
          <w:szCs w:val="22"/>
        </w:rPr>
      </w:pPr>
      <w:r w:rsidRPr="006720E4">
        <w:rPr>
          <w:rFonts w:cs="Calibri"/>
          <w:szCs w:val="22"/>
        </w:rPr>
        <w:t>understand how the consequences may affect them, and</w:t>
      </w:r>
    </w:p>
    <w:p w14:paraId="57D642E9"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communicate their decision. </w:t>
      </w:r>
    </w:p>
    <w:p w14:paraId="51D1CE9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Capacity is </w:t>
      </w:r>
      <w:r w:rsidRPr="006720E4">
        <w:rPr>
          <w:rFonts w:ascii="Calibri" w:hAnsi="Calibri" w:cs="Calibri"/>
          <w:b/>
          <w:bCs/>
          <w:sz w:val="22"/>
          <w:szCs w:val="22"/>
        </w:rPr>
        <w:t>specific</w:t>
      </w:r>
      <w:r w:rsidRPr="006720E4">
        <w:rPr>
          <w:rFonts w:ascii="Calibri" w:hAnsi="Calibri" w:cs="Calibri"/>
          <w:sz w:val="22"/>
          <w:szCs w:val="22"/>
        </w:rPr>
        <w:t xml:space="preserve"> to the decision being made. This means that a person may have capacity to make a decision about some aspects of their treatment, but not others. A person’s decision-making capacity may also fluctuate over time. </w:t>
      </w:r>
    </w:p>
    <w:p w14:paraId="78EF70E9" w14:textId="77777777" w:rsidR="006C6EBA" w:rsidRPr="006720E4" w:rsidRDefault="006C6EBA" w:rsidP="00EA22AE">
      <w:pPr>
        <w:pStyle w:val="Heading4"/>
        <w:spacing w:after="120"/>
      </w:pPr>
      <w:bookmarkStart w:id="1236" w:name="_Toc70414838"/>
      <w:bookmarkStart w:id="1237" w:name="_Toc70844164"/>
      <w:bookmarkStart w:id="1238" w:name="_Toc72615096"/>
      <w:bookmarkStart w:id="1239" w:name="_Toc73129816"/>
      <w:bookmarkStart w:id="1240" w:name="_Toc73301685"/>
      <w:bookmarkStart w:id="1241" w:name="_Toc73302191"/>
      <w:bookmarkStart w:id="1242" w:name="_Toc73303324"/>
      <w:bookmarkStart w:id="1243" w:name="_Toc74081469"/>
      <w:bookmarkStart w:id="1244" w:name="_Toc74172246"/>
      <w:bookmarkStart w:id="1245" w:name="_Toc74172782"/>
      <w:bookmarkStart w:id="1246" w:name="_Toc82773519"/>
      <w:bookmarkStart w:id="1247" w:name="_Toc82773872"/>
      <w:r w:rsidRPr="006720E4">
        <w:t>Decision-making when capacity may be impaired</w:t>
      </w:r>
      <w:bookmarkEnd w:id="1236"/>
      <w:bookmarkEnd w:id="1237"/>
      <w:bookmarkEnd w:id="1238"/>
      <w:bookmarkEnd w:id="1239"/>
      <w:bookmarkEnd w:id="1240"/>
      <w:bookmarkEnd w:id="1241"/>
      <w:bookmarkEnd w:id="1242"/>
      <w:bookmarkEnd w:id="1243"/>
      <w:bookmarkEnd w:id="1244"/>
      <w:bookmarkEnd w:id="1245"/>
      <w:bookmarkEnd w:id="1246"/>
      <w:bookmarkEnd w:id="1247"/>
    </w:p>
    <w:p w14:paraId="14CB96BB" w14:textId="2D4D11C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People less than 18 years of age may have the capacity to consent in some circumstances which are outlined </w:t>
      </w:r>
      <w:r w:rsidRPr="004F318F">
        <w:rPr>
          <w:rFonts w:ascii="Calibri" w:hAnsi="Calibri" w:cs="Calibri"/>
          <w:sz w:val="22"/>
          <w:szCs w:val="22"/>
        </w:rPr>
        <w:t xml:space="preserve">in </w:t>
      </w:r>
      <w:hyperlink w:anchor="_Children_who_may" w:history="1">
        <w:r w:rsidRPr="004F318F">
          <w:rPr>
            <w:rStyle w:val="Hyperlink"/>
            <w:rFonts w:ascii="Calibri" w:hAnsi="Calibri" w:cs="Calibri"/>
            <w:sz w:val="22"/>
            <w:szCs w:val="22"/>
          </w:rPr>
          <w:t xml:space="preserve">Chapter </w:t>
        </w:r>
        <w:r w:rsidR="003358DC" w:rsidRPr="004F318F">
          <w:rPr>
            <w:rStyle w:val="Hyperlink"/>
            <w:rFonts w:ascii="Calibri" w:hAnsi="Calibri" w:cs="Calibri"/>
            <w:sz w:val="22"/>
            <w:szCs w:val="22"/>
          </w:rPr>
          <w:t>5</w:t>
        </w:r>
        <w:r w:rsidRPr="004F318F">
          <w:rPr>
            <w:rStyle w:val="Hyperlink"/>
            <w:rFonts w:ascii="Calibri" w:hAnsi="Calibri" w:cs="Calibri"/>
            <w:sz w:val="22"/>
            <w:szCs w:val="22"/>
          </w:rPr>
          <w:t>.1.2</w:t>
        </w:r>
      </w:hyperlink>
      <w:r w:rsidRPr="004F318F">
        <w:rPr>
          <w:rFonts w:ascii="Calibri" w:hAnsi="Calibri" w:cs="Calibri"/>
          <w:sz w:val="22"/>
          <w:szCs w:val="22"/>
        </w:rPr>
        <w:t>. When a person of any age lacks decision-making capacity to consent to a particular medical decision, others (a ‘</w:t>
      </w:r>
      <w:hyperlink w:anchor="_Glossary_2" w:history="1">
        <w:r w:rsidRPr="004F318F">
          <w:rPr>
            <w:rStyle w:val="Hyperlink"/>
            <w:rFonts w:ascii="Calibri" w:hAnsi="Calibri" w:cs="Calibri"/>
            <w:sz w:val="22"/>
            <w:szCs w:val="22"/>
          </w:rPr>
          <w:t>substitute decision-maker’</w:t>
        </w:r>
      </w:hyperlink>
      <w:r w:rsidRPr="004F318F">
        <w:rPr>
          <w:rFonts w:ascii="Calibri" w:hAnsi="Calibri" w:cs="Calibri"/>
          <w:sz w:val="22"/>
          <w:szCs w:val="22"/>
        </w:rPr>
        <w:t xml:space="preserve">) may be required to provide consent on their behalf. Considerations when decisions are being made by or on behalf of people who may lack capacity to consent are outlined in </w:t>
      </w:r>
      <w:hyperlink w:anchor="_Approaches_to_substitute" w:history="1">
        <w:r w:rsidRPr="004F318F">
          <w:rPr>
            <w:rStyle w:val="Hyperlink"/>
            <w:rFonts w:ascii="Calibri" w:hAnsi="Calibri" w:cs="Calibri"/>
            <w:sz w:val="22"/>
            <w:szCs w:val="22"/>
          </w:rPr>
          <w:t xml:space="preserve">Chapter </w:t>
        </w:r>
        <w:r w:rsidR="003358DC" w:rsidRPr="004F318F">
          <w:rPr>
            <w:rStyle w:val="Hyperlink"/>
            <w:rFonts w:ascii="Calibri" w:hAnsi="Calibri" w:cs="Calibri"/>
            <w:sz w:val="22"/>
            <w:szCs w:val="22"/>
          </w:rPr>
          <w:t>5</w:t>
        </w:r>
        <w:r w:rsidRPr="004F318F">
          <w:rPr>
            <w:rStyle w:val="Hyperlink"/>
            <w:rFonts w:ascii="Calibri" w:hAnsi="Calibri" w:cs="Calibri"/>
            <w:sz w:val="22"/>
            <w:szCs w:val="22"/>
          </w:rPr>
          <w:t>.3.</w:t>
        </w:r>
      </w:hyperlink>
    </w:p>
    <w:p w14:paraId="61622F9D" w14:textId="1C58D6E6" w:rsidR="006C6EBA" w:rsidRPr="004F318F" w:rsidRDefault="006C6EBA" w:rsidP="00EA22AE">
      <w:pPr>
        <w:spacing w:after="120"/>
        <w:rPr>
          <w:rFonts w:ascii="Calibri" w:hAnsi="Calibri" w:cs="Calibri"/>
          <w:sz w:val="22"/>
          <w:szCs w:val="22"/>
        </w:rPr>
      </w:pPr>
      <w:r w:rsidRPr="004F318F">
        <w:rPr>
          <w:rFonts w:ascii="Calibri" w:hAnsi="Calibri" w:cs="Calibri"/>
          <w:sz w:val="22"/>
          <w:szCs w:val="22"/>
        </w:rPr>
        <w:t>When a person lacks decision-making capacity it is still important to include them in decision-making to the maximum extent possible. Some people with impaired capacity may still be able to make a decision if they are given sufficient assistance to do so. The concept of “</w:t>
      </w:r>
      <w:hyperlink w:anchor="_Glossary_2" w:history="1">
        <w:r w:rsidRPr="004F318F">
          <w:rPr>
            <w:rStyle w:val="Hyperlink"/>
            <w:rFonts w:ascii="Calibri" w:hAnsi="Calibri" w:cs="Calibri"/>
            <w:sz w:val="22"/>
            <w:szCs w:val="22"/>
          </w:rPr>
          <w:t>supported decision-making</w:t>
        </w:r>
      </w:hyperlink>
      <w:r w:rsidRPr="004F318F">
        <w:rPr>
          <w:rFonts w:ascii="Calibri" w:hAnsi="Calibri" w:cs="Calibri"/>
          <w:sz w:val="22"/>
          <w:szCs w:val="22"/>
        </w:rPr>
        <w:t xml:space="preserve">” is outlined in </w:t>
      </w:r>
      <w:hyperlink w:anchor="_Supported_decision-making" w:history="1">
        <w:r w:rsidRPr="004F318F">
          <w:rPr>
            <w:rStyle w:val="Hyperlink"/>
            <w:rFonts w:ascii="Calibri" w:hAnsi="Calibri" w:cs="Calibri"/>
            <w:sz w:val="22"/>
            <w:szCs w:val="22"/>
          </w:rPr>
          <w:t xml:space="preserve">Chapter </w:t>
        </w:r>
        <w:r w:rsidR="003358DC" w:rsidRPr="004F318F">
          <w:rPr>
            <w:rStyle w:val="Hyperlink"/>
            <w:rFonts w:ascii="Calibri" w:hAnsi="Calibri" w:cs="Calibri"/>
            <w:sz w:val="22"/>
            <w:szCs w:val="22"/>
          </w:rPr>
          <w:t>5</w:t>
        </w:r>
        <w:r w:rsidRPr="004F318F">
          <w:rPr>
            <w:rStyle w:val="Hyperlink"/>
            <w:rFonts w:ascii="Calibri" w:hAnsi="Calibri" w:cs="Calibri"/>
            <w:sz w:val="22"/>
            <w:szCs w:val="22"/>
          </w:rPr>
          <w:t>.1.3.1</w:t>
        </w:r>
      </w:hyperlink>
      <w:r w:rsidRPr="004F318F">
        <w:rPr>
          <w:rFonts w:ascii="Calibri" w:hAnsi="Calibri" w:cs="Calibri"/>
          <w:sz w:val="22"/>
          <w:szCs w:val="22"/>
        </w:rPr>
        <w:t xml:space="preserve">. </w:t>
      </w:r>
    </w:p>
    <w:p w14:paraId="0EC99645" w14:textId="3410B25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circumstances, such as when a person unexpectedly requires a time-critical life-saving transplant, potential donors, transplant recipients, or their substitute decision-makers may lack the time and emotional calm to gather, process, discuss and reflect on information when making a decision. Some people in such circumstances, and even in non-time critical circumstances claim that their decision to donate or accept a transplant was automatic, and that no further time or </w:t>
      </w:r>
      <w:r w:rsidRPr="006720E4">
        <w:rPr>
          <w:rFonts w:ascii="Calibri" w:hAnsi="Calibri" w:cs="Calibri"/>
          <w:sz w:val="22"/>
          <w:szCs w:val="22"/>
        </w:rPr>
        <w:lastRenderedPageBreak/>
        <w:t>information would change their decision. This can raise concerns about their ability to provide valid consent (or refusal) for donation or transplantation, however it should not be assumed that such “impulsive” decisions are invalid or that people in these circumstances are unable to make an enduring decision about donation or transplantation. Careful assessment and additional supports for decision-making may be required to help ensure valid consent is obtained and to reduce the risk of regret later occurring regarding the decision made (see discussion of ‘</w:t>
      </w:r>
      <w:hyperlink w:anchor="_Glossary_2" w:history="1">
        <w:r w:rsidRPr="006720E4">
          <w:rPr>
            <w:rStyle w:val="Hyperlink"/>
            <w:rFonts w:ascii="Calibri" w:hAnsi="Calibri" w:cs="Calibri"/>
            <w:sz w:val="22"/>
            <w:szCs w:val="22"/>
          </w:rPr>
          <w:t>shared decision-making’</w:t>
        </w:r>
      </w:hyperlink>
      <w:r w:rsidRPr="006720E4">
        <w:rPr>
          <w:rFonts w:ascii="Calibri" w:hAnsi="Calibri" w:cs="Calibri"/>
          <w:sz w:val="22"/>
          <w:szCs w:val="22"/>
        </w:rPr>
        <w:t xml:space="preserve"> in </w:t>
      </w:r>
      <w:hyperlink w:anchor="_Shared_decision-making" w:history="1">
        <w:r w:rsidRPr="004F318F">
          <w:rPr>
            <w:rStyle w:val="Hyperlink"/>
            <w:rFonts w:ascii="Calibri" w:hAnsi="Calibri" w:cs="Calibri"/>
            <w:sz w:val="22"/>
            <w:szCs w:val="22"/>
          </w:rPr>
          <w:t xml:space="preserve">Chapter </w:t>
        </w:r>
        <w:r w:rsidR="003358DC" w:rsidRPr="004F318F">
          <w:rPr>
            <w:rStyle w:val="Hyperlink"/>
            <w:rFonts w:ascii="Calibri" w:hAnsi="Calibri" w:cs="Calibri"/>
            <w:sz w:val="22"/>
            <w:szCs w:val="22"/>
          </w:rPr>
          <w:t>4</w:t>
        </w:r>
        <w:r w:rsidRPr="004F318F">
          <w:rPr>
            <w:rStyle w:val="Hyperlink"/>
            <w:rFonts w:ascii="Calibri" w:hAnsi="Calibri" w:cs="Calibri"/>
            <w:sz w:val="22"/>
            <w:szCs w:val="22"/>
          </w:rPr>
          <w:t>.1.2.1</w:t>
        </w:r>
      </w:hyperlink>
      <w:r w:rsidRPr="004F318F">
        <w:rPr>
          <w:rFonts w:ascii="Calibri" w:hAnsi="Calibri" w:cs="Calibri"/>
          <w:sz w:val="22"/>
          <w:szCs w:val="22"/>
        </w:rPr>
        <w:t>.)</w:t>
      </w:r>
      <w:r w:rsidRPr="006720E4">
        <w:rPr>
          <w:rFonts w:ascii="Calibri" w:hAnsi="Calibri" w:cs="Calibri"/>
          <w:sz w:val="22"/>
          <w:szCs w:val="22"/>
        </w:rPr>
        <w:t xml:space="preserve"> </w:t>
      </w:r>
    </w:p>
    <w:p w14:paraId="66968EAF" w14:textId="77777777" w:rsidR="006C6EBA" w:rsidRPr="006720E4" w:rsidRDefault="006C6EBA" w:rsidP="00EA22AE">
      <w:pPr>
        <w:pStyle w:val="Heading3"/>
        <w:spacing w:after="120"/>
      </w:pPr>
      <w:bookmarkStart w:id="1248" w:name="_Voluntariness"/>
      <w:bookmarkStart w:id="1249" w:name="_Toc63683406"/>
      <w:bookmarkStart w:id="1250" w:name="_Toc70241747"/>
      <w:bookmarkStart w:id="1251" w:name="_Toc70243381"/>
      <w:bookmarkStart w:id="1252" w:name="_Toc70414839"/>
      <w:bookmarkStart w:id="1253" w:name="_Toc70844165"/>
      <w:bookmarkStart w:id="1254" w:name="_Toc72615097"/>
      <w:bookmarkStart w:id="1255" w:name="_Toc73129817"/>
      <w:bookmarkStart w:id="1256" w:name="_Toc73301686"/>
      <w:bookmarkStart w:id="1257" w:name="_Toc73302192"/>
      <w:bookmarkStart w:id="1258" w:name="_Toc73303325"/>
      <w:bookmarkStart w:id="1259" w:name="_Toc73303571"/>
      <w:bookmarkStart w:id="1260" w:name="_Toc74080688"/>
      <w:bookmarkStart w:id="1261" w:name="_Toc74080996"/>
      <w:bookmarkStart w:id="1262" w:name="_Toc74081226"/>
      <w:bookmarkStart w:id="1263" w:name="_Toc74081470"/>
      <w:bookmarkStart w:id="1264" w:name="_Toc74171057"/>
      <w:bookmarkStart w:id="1265" w:name="_Toc74172247"/>
      <w:bookmarkStart w:id="1266" w:name="_Toc74172783"/>
      <w:bookmarkStart w:id="1267" w:name="_Toc74238731"/>
      <w:bookmarkStart w:id="1268" w:name="_Toc79406345"/>
      <w:bookmarkStart w:id="1269" w:name="_Toc82773520"/>
      <w:bookmarkStart w:id="1270" w:name="_Toc82773873"/>
      <w:bookmarkEnd w:id="1248"/>
      <w:r w:rsidRPr="006720E4">
        <w:t>Voluntariness</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38ECC390" w14:textId="418EF77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important that people make decisions about donation and transplantation voluntarily, meaning freely, without being forced, deceived, or otherwise manipulated. Ensuring that a decision is made voluntarily doesn’t mean that a person must make a decision on </w:t>
      </w:r>
      <w:r w:rsidRPr="004F318F">
        <w:rPr>
          <w:rFonts w:ascii="Calibri" w:hAnsi="Calibri" w:cs="Calibri"/>
          <w:sz w:val="22"/>
          <w:szCs w:val="22"/>
        </w:rPr>
        <w:t xml:space="preserve">their own (see </w:t>
      </w:r>
      <w:hyperlink w:anchor="_Shared_decision-making" w:history="1">
        <w:r w:rsidRPr="004F318F">
          <w:rPr>
            <w:rStyle w:val="Hyperlink"/>
            <w:rFonts w:ascii="Calibri" w:hAnsi="Calibri" w:cs="Calibri"/>
            <w:sz w:val="22"/>
            <w:szCs w:val="22"/>
          </w:rPr>
          <w:t xml:space="preserve">Chapter </w:t>
        </w:r>
        <w:r w:rsidR="00535A1B" w:rsidRPr="004F318F">
          <w:rPr>
            <w:rStyle w:val="Hyperlink"/>
            <w:rFonts w:ascii="Calibri" w:hAnsi="Calibri" w:cs="Calibri"/>
            <w:sz w:val="22"/>
            <w:szCs w:val="22"/>
          </w:rPr>
          <w:t>4</w:t>
        </w:r>
        <w:r w:rsidRPr="004F318F">
          <w:rPr>
            <w:rStyle w:val="Hyperlink"/>
            <w:rFonts w:ascii="Calibri" w:hAnsi="Calibri" w:cs="Calibri"/>
            <w:sz w:val="22"/>
            <w:szCs w:val="22"/>
          </w:rPr>
          <w:t>.1.2.1</w:t>
        </w:r>
      </w:hyperlink>
      <w:r w:rsidRPr="004F318F">
        <w:rPr>
          <w:rFonts w:ascii="Calibri" w:hAnsi="Calibri" w:cs="Calibri"/>
          <w:sz w:val="22"/>
          <w:szCs w:val="22"/>
        </w:rPr>
        <w:t>).</w:t>
      </w:r>
    </w:p>
    <w:p w14:paraId="6E174C0B" w14:textId="79A39B3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There are several factors that may raise concerns about whether a person is making a genuinely voluntary decision to become a donor or a transplant recipient. Some of these factors are common to any healthcare decision, such as the involvement of health professionals and a person’s relatives or friends who may be influential in decision-making. Other factors may be more specific to decision-making about donation and transplantation, particularly in the context of living directed donation in which decision-making may be complicated by relationships between potential donors and transplant </w:t>
      </w:r>
      <w:r w:rsidRPr="004F318F">
        <w:rPr>
          <w:rFonts w:ascii="Calibri" w:hAnsi="Calibri" w:cs="Calibri"/>
          <w:sz w:val="22"/>
          <w:szCs w:val="22"/>
        </w:rPr>
        <w:t xml:space="preserve">recipients (see </w:t>
      </w:r>
      <w:hyperlink w:anchor="_Voluntariness_of_consent" w:history="1">
        <w:r w:rsidRPr="004F318F">
          <w:rPr>
            <w:rStyle w:val="Hyperlink"/>
            <w:rFonts w:ascii="Calibri" w:hAnsi="Calibri" w:cs="Calibri"/>
            <w:sz w:val="22"/>
            <w:szCs w:val="22"/>
          </w:rPr>
          <w:t xml:space="preserve">Chapter </w:t>
        </w:r>
        <w:r w:rsidR="00535A1B" w:rsidRPr="004F318F">
          <w:rPr>
            <w:rStyle w:val="Hyperlink"/>
            <w:rFonts w:ascii="Calibri" w:hAnsi="Calibri" w:cs="Calibri"/>
            <w:sz w:val="22"/>
            <w:szCs w:val="22"/>
          </w:rPr>
          <w:t>4</w:t>
        </w:r>
        <w:r w:rsidRPr="004F318F">
          <w:rPr>
            <w:rStyle w:val="Hyperlink"/>
            <w:rFonts w:ascii="Calibri" w:hAnsi="Calibri" w:cs="Calibri"/>
            <w:sz w:val="22"/>
            <w:szCs w:val="22"/>
          </w:rPr>
          <w:t>.3.3.1</w:t>
        </w:r>
      </w:hyperlink>
      <w:r w:rsidRPr="004F318F">
        <w:rPr>
          <w:rFonts w:ascii="Calibri" w:hAnsi="Calibri" w:cs="Calibri"/>
          <w:sz w:val="22"/>
          <w:szCs w:val="22"/>
        </w:rPr>
        <w:t>).</w:t>
      </w:r>
      <w:r w:rsidRPr="006720E4">
        <w:rPr>
          <w:rFonts w:ascii="Calibri" w:hAnsi="Calibri" w:cs="Calibri"/>
          <w:sz w:val="22"/>
          <w:szCs w:val="22"/>
        </w:rPr>
        <w:t xml:space="preserve"> </w:t>
      </w:r>
    </w:p>
    <w:p w14:paraId="0ECD2EF2" w14:textId="4DD1C0D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Specific strategies may be used to safeguard voluntariness in donation and transplantation decision-making, such as the use of independent advocates for decision-</w:t>
      </w:r>
      <w:r w:rsidRPr="00CB5556">
        <w:rPr>
          <w:rFonts w:ascii="Calibri" w:hAnsi="Calibri" w:cs="Calibri"/>
          <w:sz w:val="22"/>
          <w:szCs w:val="22"/>
        </w:rPr>
        <w:t xml:space="preserve">makers (see </w:t>
      </w:r>
      <w:hyperlink w:anchor="_The_role_of" w:history="1">
        <w:r w:rsidRPr="00CB5556">
          <w:rPr>
            <w:rStyle w:val="Hyperlink"/>
            <w:rFonts w:ascii="Calibri" w:hAnsi="Calibri" w:cs="Calibri"/>
            <w:sz w:val="22"/>
            <w:szCs w:val="22"/>
          </w:rPr>
          <w:t xml:space="preserve">Chapter </w:t>
        </w:r>
        <w:r w:rsidR="00535A1B" w:rsidRPr="00CB5556">
          <w:rPr>
            <w:rStyle w:val="Hyperlink"/>
            <w:rFonts w:ascii="Calibri" w:hAnsi="Calibri" w:cs="Calibri"/>
            <w:sz w:val="22"/>
            <w:szCs w:val="22"/>
          </w:rPr>
          <w:t>3</w:t>
        </w:r>
        <w:r w:rsidRPr="00CB5556">
          <w:rPr>
            <w:rStyle w:val="Hyperlink"/>
            <w:rFonts w:ascii="Calibri" w:hAnsi="Calibri" w:cs="Calibri"/>
            <w:sz w:val="22"/>
            <w:szCs w:val="22"/>
          </w:rPr>
          <w:t>.</w:t>
        </w:r>
        <w:r w:rsidR="00CB5556" w:rsidRPr="00CB5556">
          <w:rPr>
            <w:rStyle w:val="Hyperlink"/>
            <w:rFonts w:ascii="Calibri" w:hAnsi="Calibri" w:cs="Calibri"/>
            <w:sz w:val="22"/>
            <w:szCs w:val="22"/>
          </w:rPr>
          <w:t>4</w:t>
        </w:r>
        <w:r w:rsidRPr="00CB5556">
          <w:rPr>
            <w:rStyle w:val="Hyperlink"/>
            <w:rFonts w:ascii="Calibri" w:hAnsi="Calibri" w:cs="Calibri"/>
            <w:sz w:val="22"/>
            <w:szCs w:val="22"/>
          </w:rPr>
          <w:t>.5</w:t>
        </w:r>
      </w:hyperlink>
      <w:r w:rsidRPr="00CB5556">
        <w:rPr>
          <w:rFonts w:ascii="Calibri" w:hAnsi="Calibri" w:cs="Calibri"/>
          <w:sz w:val="22"/>
          <w:szCs w:val="22"/>
        </w:rPr>
        <w:t>) and the</w:t>
      </w:r>
      <w:r w:rsidRPr="006720E4">
        <w:rPr>
          <w:rFonts w:ascii="Calibri" w:hAnsi="Calibri" w:cs="Calibri"/>
          <w:sz w:val="22"/>
          <w:szCs w:val="22"/>
        </w:rPr>
        <w:t xml:space="preserve"> separation of some decisions, decision-makers, and clinical teams to assist in managing potential conflicts of interest that could unduly influence decision-making (see </w:t>
      </w:r>
      <w:r w:rsidR="00CB5556" w:rsidRPr="00CB5556">
        <w:rPr>
          <w:rFonts w:ascii="Calibri" w:hAnsi="Calibri" w:cs="Calibri"/>
          <w:sz w:val="22"/>
          <w:szCs w:val="22"/>
        </w:rPr>
        <w:t xml:space="preserve">in </w:t>
      </w:r>
      <w:hyperlink w:anchor="_Legislation" w:history="1">
        <w:r w:rsidR="00CB5556" w:rsidRPr="00CB5556">
          <w:rPr>
            <w:rStyle w:val="Hyperlink"/>
            <w:rFonts w:ascii="Calibri" w:hAnsi="Calibri" w:cs="Calibri"/>
            <w:sz w:val="22"/>
            <w:szCs w:val="22"/>
          </w:rPr>
          <w:t>Chapter</w:t>
        </w:r>
      </w:hyperlink>
      <w:r w:rsidR="00CB5556" w:rsidRPr="00CB5556">
        <w:rPr>
          <w:rStyle w:val="Hyperlink"/>
          <w:rFonts w:ascii="Calibri" w:hAnsi="Calibri" w:cs="Calibri"/>
          <w:sz w:val="22"/>
          <w:szCs w:val="22"/>
        </w:rPr>
        <w:t xml:space="preserve"> 3.8</w:t>
      </w:r>
      <w:r w:rsidRPr="00CB5556">
        <w:rPr>
          <w:rFonts w:ascii="Calibri" w:hAnsi="Calibri" w:cs="Calibri"/>
          <w:sz w:val="22"/>
          <w:szCs w:val="22"/>
        </w:rPr>
        <w:t>).</w:t>
      </w:r>
    </w:p>
    <w:p w14:paraId="708EB195" w14:textId="77777777" w:rsidR="006C6EBA" w:rsidRPr="006720E4" w:rsidRDefault="006C6EBA" w:rsidP="00EA22AE">
      <w:pPr>
        <w:pStyle w:val="Heading4"/>
        <w:spacing w:after="120"/>
      </w:pPr>
      <w:bookmarkStart w:id="1271" w:name="_Shared_decision-making"/>
      <w:bookmarkEnd w:id="1271"/>
      <w:r w:rsidRPr="006720E4">
        <w:t xml:space="preserve"> </w:t>
      </w:r>
      <w:bookmarkStart w:id="1272" w:name="_Toc82773521"/>
      <w:bookmarkStart w:id="1273" w:name="_Toc82773874"/>
      <w:r w:rsidRPr="006720E4">
        <w:t>Shared decision-making</w:t>
      </w:r>
      <w:bookmarkEnd w:id="1272"/>
      <w:bookmarkEnd w:id="1273"/>
    </w:p>
    <w:p w14:paraId="2D3F9FC2" w14:textId="652CE01F" w:rsidR="006C6EBA" w:rsidRPr="006720E4" w:rsidRDefault="006C6EBA" w:rsidP="00EA22AE">
      <w:pPr>
        <w:spacing w:after="120"/>
        <w:rPr>
          <w:rFonts w:ascii="Calibri" w:hAnsi="Calibri" w:cs="Calibri"/>
          <w:sz w:val="22"/>
          <w:szCs w:val="22"/>
        </w:rPr>
      </w:pPr>
      <w:r w:rsidRPr="006720E4">
        <w:rPr>
          <w:rFonts w:ascii="Calibri" w:hAnsi="Calibri" w:cs="Calibri"/>
          <w:i/>
          <w:iCs/>
          <w:sz w:val="22"/>
          <w:szCs w:val="22"/>
        </w:rPr>
        <w:t>Shared decision-making</w:t>
      </w:r>
      <w:r w:rsidRPr="006720E4">
        <w:rPr>
          <w:rFonts w:ascii="Calibri" w:hAnsi="Calibri" w:cs="Calibri"/>
          <w:sz w:val="22"/>
          <w:szCs w:val="22"/>
        </w:rPr>
        <w:t xml:space="preserve"> is the term used to describe a collaborative approach to healthcare decision-making that is now considered best practice. It involves discussion between the person making the decision, such as the person providing consent to donation or transplantation, and other people who may have relevant expertise, skills or perspectives that will help the decision-maker to determine and reflect on their own values and preferences as they relate to the decision. </w:t>
      </w:r>
    </w:p>
    <w:p w14:paraId="7CE0AE6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cases, a prospective donor or recipient’s partner, family members or carers may be closely involved in decision-making. For example, family members may also be impacted by the decision being made or may be involved in providing ongoing support to the person following donation or transplantation. </w:t>
      </w:r>
    </w:p>
    <w:p w14:paraId="529009A6" w14:textId="059EE34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Shared decision-making is especially important when providing care to some Indigenous people and others for whom inclusion of extended kinship or family networks in decision-making may be essential. Shared decision-making can help to promote cultural safety, and a layered approach to decision-making may help to support engagement of relevant individuals or groups while ensuring that the autonomy of primary decision-maker(s) is respected.</w:t>
      </w:r>
    </w:p>
    <w:p w14:paraId="7ACF09EE" w14:textId="565E65B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collaborative nature of shared decision-making means that the role of health professionals is not simply to provide information to the person making the decision, but to support them in making the decision. Health professionals may also ask the decision-maker questions, in order to develop a better understanding of their values, beliefs and preferences. By finding out what might be considered important by the decision-maker, health professionals may be better able to identify information that the person may value when making </w:t>
      </w:r>
      <w:r w:rsidRPr="00B22196">
        <w:rPr>
          <w:rFonts w:ascii="Calibri" w:hAnsi="Calibri" w:cs="Calibri"/>
          <w:sz w:val="22"/>
          <w:szCs w:val="22"/>
        </w:rPr>
        <w:t xml:space="preserve">their decision (see </w:t>
      </w:r>
      <w:hyperlink w:anchor="_Information_and_understanding" w:history="1">
        <w:r w:rsidRPr="00B22196">
          <w:rPr>
            <w:rStyle w:val="Hyperlink"/>
            <w:rFonts w:ascii="Calibri" w:hAnsi="Calibri" w:cs="Calibri"/>
            <w:sz w:val="22"/>
            <w:szCs w:val="22"/>
          </w:rPr>
          <w:t xml:space="preserve">Chapter </w:t>
        </w:r>
        <w:r w:rsidR="00535A1B" w:rsidRPr="00B22196">
          <w:rPr>
            <w:rStyle w:val="Hyperlink"/>
            <w:rFonts w:ascii="Calibri" w:hAnsi="Calibri" w:cs="Calibri"/>
            <w:sz w:val="22"/>
            <w:szCs w:val="22"/>
          </w:rPr>
          <w:t>4</w:t>
        </w:r>
        <w:r w:rsidRPr="00B22196">
          <w:rPr>
            <w:rStyle w:val="Hyperlink"/>
            <w:rFonts w:ascii="Calibri" w:hAnsi="Calibri" w:cs="Calibri"/>
            <w:sz w:val="22"/>
            <w:szCs w:val="22"/>
          </w:rPr>
          <w:t>.1.3</w:t>
        </w:r>
      </w:hyperlink>
      <w:r w:rsidRPr="00B22196">
        <w:rPr>
          <w:rFonts w:ascii="Calibri" w:hAnsi="Calibri" w:cs="Calibri"/>
          <w:sz w:val="22"/>
          <w:szCs w:val="22"/>
        </w:rPr>
        <w:t>).</w:t>
      </w:r>
      <w:r w:rsidRPr="006720E4">
        <w:rPr>
          <w:rFonts w:ascii="Calibri" w:hAnsi="Calibri" w:cs="Calibri"/>
          <w:sz w:val="22"/>
          <w:szCs w:val="22"/>
        </w:rPr>
        <w:t xml:space="preserve"> </w:t>
      </w:r>
    </w:p>
    <w:p w14:paraId="73BCED7D" w14:textId="77777777" w:rsidR="006C6EBA" w:rsidRPr="006720E4" w:rsidRDefault="006C6EBA" w:rsidP="00EA22AE">
      <w:pPr>
        <w:pStyle w:val="Heading3"/>
        <w:spacing w:after="120"/>
      </w:pPr>
      <w:bookmarkStart w:id="1274" w:name="_Information_and_understanding"/>
      <w:bookmarkStart w:id="1275" w:name="_Toc63683407"/>
      <w:bookmarkStart w:id="1276" w:name="_Toc70241748"/>
      <w:bookmarkStart w:id="1277" w:name="_Toc70243382"/>
      <w:bookmarkStart w:id="1278" w:name="_Toc70414840"/>
      <w:bookmarkStart w:id="1279" w:name="_Toc70844166"/>
      <w:bookmarkStart w:id="1280" w:name="_Toc72615098"/>
      <w:bookmarkStart w:id="1281" w:name="_Toc73129818"/>
      <w:bookmarkStart w:id="1282" w:name="_Toc73301687"/>
      <w:bookmarkStart w:id="1283" w:name="_Toc73302193"/>
      <w:bookmarkStart w:id="1284" w:name="_Toc73303326"/>
      <w:bookmarkStart w:id="1285" w:name="_Toc73303572"/>
      <w:bookmarkStart w:id="1286" w:name="_Toc74080689"/>
      <w:bookmarkStart w:id="1287" w:name="_Toc74080997"/>
      <w:bookmarkStart w:id="1288" w:name="_Toc74081227"/>
      <w:bookmarkStart w:id="1289" w:name="_Toc74081471"/>
      <w:bookmarkStart w:id="1290" w:name="_Toc74171058"/>
      <w:bookmarkStart w:id="1291" w:name="_Toc74172248"/>
      <w:bookmarkStart w:id="1292" w:name="_Toc74172784"/>
      <w:bookmarkStart w:id="1293" w:name="_Toc74238732"/>
      <w:bookmarkStart w:id="1294" w:name="_Toc79406346"/>
      <w:bookmarkStart w:id="1295" w:name="_Toc82773522"/>
      <w:bookmarkStart w:id="1296" w:name="_Toc82773875"/>
      <w:bookmarkEnd w:id="1274"/>
      <w:r w:rsidRPr="006720E4">
        <w:t>Information and understanding</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31EFC255" w14:textId="2015142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Information should be provided to people making decisions about donation and transplantation in a manner that is likely to be understood by the relevant decision-makers, appropriate to their </w:t>
      </w:r>
      <w:r w:rsidRPr="006720E4">
        <w:rPr>
          <w:rFonts w:ascii="Calibri" w:hAnsi="Calibri" w:cs="Calibri"/>
          <w:sz w:val="22"/>
          <w:szCs w:val="22"/>
        </w:rPr>
        <w:lastRenderedPageBreak/>
        <w:t>individual needs and situations, and sensitive to linguistic, cultural, and spiritual considerations that may affect their understanding and decision-making. People may have different preferences regarding the amount and type of information that they receive when making a decision, but it’s important to ensure they have the opportunity to receive and understand the key information that a person would reasonably be expected to need and want in order to make a particular decision. Adequate time, information, privacy, and support should be made available so that decision-makers make an informed and enduring decision about donation or transplantation. Decision-makers should have the opportunity to ask questions and be assisted to make use of additional sources of information or advice where relevant.</w:t>
      </w:r>
    </w:p>
    <w:p w14:paraId="294BF6D9" w14:textId="77777777" w:rsidR="00174C70" w:rsidRDefault="006C6EBA" w:rsidP="00EA22AE">
      <w:pPr>
        <w:spacing w:after="120"/>
        <w:rPr>
          <w:rFonts w:ascii="Calibri" w:hAnsi="Calibri" w:cs="Calibri"/>
          <w:sz w:val="22"/>
          <w:szCs w:val="22"/>
        </w:rPr>
      </w:pPr>
      <w:r w:rsidRPr="006720E4">
        <w:rPr>
          <w:rFonts w:ascii="Calibri" w:hAnsi="Calibri" w:cs="Calibri"/>
          <w:sz w:val="22"/>
          <w:szCs w:val="22"/>
        </w:rPr>
        <w:t>One of the biggest ethical challenges with regards to provision of information when obtaining consent for donation or transplantation is determining what information it is necessary to communicate. Legally, there is an expectation that health professionals will provide information to prospective donors, recipients or their substitute decision-makers about the proposed clinical interventions, including information about any proposed intervention and alternatives, and the consequences and risks of different options. Risks that should be discussed with the person include those that a reasonable person would want to know and also risks to which individuals may attach significance, due to their personal circumstances.</w:t>
      </w:r>
      <w:r w:rsidR="00174C70">
        <w:rPr>
          <w:rFonts w:ascii="Calibri" w:hAnsi="Calibri" w:cs="Calibri"/>
          <w:sz w:val="22"/>
          <w:szCs w:val="22"/>
        </w:rPr>
        <w:t xml:space="preserve"> </w:t>
      </w:r>
    </w:p>
    <w:p w14:paraId="55FEFC56" w14:textId="57940215" w:rsidR="006C6EBA" w:rsidRPr="00174C70" w:rsidRDefault="00000000" w:rsidP="00EA22AE">
      <w:pPr>
        <w:spacing w:after="120"/>
        <w:rPr>
          <w:rFonts w:ascii="Calibri" w:hAnsi="Calibri" w:cs="Calibri"/>
          <w:color w:val="0563C1" w:themeColor="hyperlink"/>
          <w:sz w:val="22"/>
          <w:szCs w:val="22"/>
          <w:u w:val="single"/>
        </w:rPr>
      </w:pPr>
      <w:hyperlink w:anchor="_Risks_and_benefits_1" w:history="1">
        <w:r w:rsidR="00174C70" w:rsidRPr="009B495F">
          <w:rPr>
            <w:rStyle w:val="Hyperlink"/>
            <w:rFonts w:ascii="Calibri" w:hAnsi="Calibri" w:cs="Calibri"/>
            <w:sz w:val="22"/>
            <w:szCs w:val="22"/>
          </w:rPr>
          <w:t>Chapter 6</w:t>
        </w:r>
      </w:hyperlink>
      <w:r w:rsidR="00174C70">
        <w:rPr>
          <w:rFonts w:ascii="Calibri" w:hAnsi="Calibri" w:cs="Calibri"/>
          <w:sz w:val="22"/>
          <w:szCs w:val="22"/>
        </w:rPr>
        <w:t xml:space="preserve"> explores the complexities involved in assessing risks and potential benefits of donation and transplantation which may determine which information is relevant in the context of specific decisions. </w:t>
      </w:r>
    </w:p>
    <w:p w14:paraId="322357B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general, information should be provided about </w:t>
      </w:r>
    </w:p>
    <w:p w14:paraId="10E80316"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the intervention that is proposed, such as the surgical or medical procedures that may be necessary for donation and transplantation, </w:t>
      </w:r>
    </w:p>
    <w:p w14:paraId="2FCB180B"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the purpose of the intervention(s) and who will be involved in the process, </w:t>
      </w:r>
    </w:p>
    <w:p w14:paraId="1D66288D" w14:textId="77777777" w:rsidR="006C6EBA" w:rsidRPr="006720E4" w:rsidRDefault="006C6EBA" w:rsidP="00EA22AE">
      <w:pPr>
        <w:pStyle w:val="BulletList"/>
        <w:spacing w:after="120"/>
        <w:contextualSpacing w:val="0"/>
        <w:rPr>
          <w:rFonts w:cs="Calibri"/>
          <w:szCs w:val="22"/>
        </w:rPr>
      </w:pPr>
      <w:r w:rsidRPr="006720E4">
        <w:rPr>
          <w:rFonts w:cs="Calibri"/>
          <w:szCs w:val="22"/>
        </w:rPr>
        <w:t>the expected outcomes of the intervention and its likely risks and benefits,</w:t>
      </w:r>
    </w:p>
    <w:p w14:paraId="732E78CB" w14:textId="77777777" w:rsidR="006C6EBA" w:rsidRPr="006720E4" w:rsidRDefault="006C6EBA" w:rsidP="00EA22AE">
      <w:pPr>
        <w:pStyle w:val="BulletList"/>
        <w:spacing w:after="120"/>
        <w:contextualSpacing w:val="0"/>
        <w:rPr>
          <w:rFonts w:cs="Calibri"/>
          <w:szCs w:val="22"/>
        </w:rPr>
      </w:pPr>
      <w:r w:rsidRPr="006720E4">
        <w:rPr>
          <w:rFonts w:cs="Calibri"/>
          <w:szCs w:val="22"/>
        </w:rPr>
        <w:t>alternatives to the intervention including the option of doing nothing,</w:t>
      </w:r>
    </w:p>
    <w:p w14:paraId="58DD0033"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any limitations on the information provided such as uncertainty regarding potential outcomes, </w:t>
      </w:r>
    </w:p>
    <w:p w14:paraId="315D997E" w14:textId="6E18BB83" w:rsidR="006C6EBA" w:rsidRPr="00CB5556" w:rsidRDefault="006C6EBA" w:rsidP="00EA22AE">
      <w:pPr>
        <w:pStyle w:val="BulletList"/>
        <w:spacing w:after="120"/>
        <w:contextualSpacing w:val="0"/>
        <w:rPr>
          <w:rFonts w:cs="Calibri"/>
          <w:szCs w:val="22"/>
        </w:rPr>
      </w:pPr>
      <w:r w:rsidRPr="006720E4">
        <w:rPr>
          <w:rFonts w:cs="Calibri"/>
          <w:szCs w:val="22"/>
        </w:rPr>
        <w:t xml:space="preserve">potential conflicts of interest or other factors that may </w:t>
      </w:r>
      <w:r w:rsidRPr="00CB5556">
        <w:rPr>
          <w:rFonts w:cs="Calibri"/>
          <w:szCs w:val="22"/>
        </w:rPr>
        <w:t xml:space="preserve">lead to bias (see </w:t>
      </w:r>
      <w:hyperlink w:anchor="_Legislation" w:history="1">
        <w:r w:rsidR="00AF4CC3" w:rsidRPr="00CB5556">
          <w:rPr>
            <w:rStyle w:val="Hyperlink"/>
            <w:rFonts w:cs="Calibri"/>
            <w:szCs w:val="22"/>
          </w:rPr>
          <w:t>Chapter</w:t>
        </w:r>
      </w:hyperlink>
      <w:r w:rsidR="00AF4CC3" w:rsidRPr="00CB5556">
        <w:rPr>
          <w:rStyle w:val="Hyperlink"/>
          <w:rFonts w:cs="Calibri"/>
          <w:szCs w:val="22"/>
        </w:rPr>
        <w:t xml:space="preserve"> 3.8</w:t>
      </w:r>
      <w:r w:rsidRPr="00CB5556">
        <w:rPr>
          <w:rFonts w:cs="Calibri"/>
          <w:szCs w:val="22"/>
        </w:rPr>
        <w:t>),</w:t>
      </w:r>
    </w:p>
    <w:p w14:paraId="6ED63F00" w14:textId="081ECBE4" w:rsidR="006C6EBA" w:rsidRPr="006720E4" w:rsidRDefault="006C6EBA" w:rsidP="00EA22AE">
      <w:pPr>
        <w:pStyle w:val="BulletList"/>
        <w:spacing w:after="120"/>
        <w:contextualSpacing w:val="0"/>
        <w:rPr>
          <w:rFonts w:cs="Calibri"/>
          <w:szCs w:val="22"/>
        </w:rPr>
      </w:pPr>
      <w:r w:rsidRPr="006720E4">
        <w:rPr>
          <w:rFonts w:cs="Calibri"/>
          <w:szCs w:val="22"/>
        </w:rPr>
        <w:t xml:space="preserve">any limitations of privacy that may be relevant such as the requirement to disclose some clinical information about donors to transplant </w:t>
      </w:r>
      <w:r w:rsidRPr="0028232A">
        <w:rPr>
          <w:rFonts w:cs="Calibri"/>
          <w:szCs w:val="22"/>
        </w:rPr>
        <w:t xml:space="preserve">recipients (see </w:t>
      </w:r>
      <w:hyperlink w:anchor="_Disclosure_of_clinically" w:history="1">
        <w:r w:rsidR="0028232A" w:rsidRPr="0028232A">
          <w:rPr>
            <w:rStyle w:val="Hyperlink"/>
            <w:rFonts w:cs="Calibri"/>
            <w:szCs w:val="22"/>
          </w:rPr>
          <w:t>Chapter 7.2.1</w:t>
        </w:r>
      </w:hyperlink>
      <w:r w:rsidRPr="0028232A">
        <w:rPr>
          <w:rFonts w:cs="Calibri"/>
          <w:szCs w:val="22"/>
        </w:rPr>
        <w:t>).</w:t>
      </w:r>
    </w:p>
    <w:p w14:paraId="2C3BE71A" w14:textId="61A91460" w:rsidR="006C6EBA" w:rsidRDefault="006C6EBA" w:rsidP="00EA22AE">
      <w:pPr>
        <w:spacing w:after="120"/>
        <w:rPr>
          <w:rStyle w:val="Hyperlink"/>
          <w:rFonts w:ascii="Calibri" w:hAnsi="Calibri" w:cs="Calibri"/>
          <w:sz w:val="22"/>
          <w:szCs w:val="22"/>
        </w:rPr>
      </w:pPr>
      <w:r w:rsidRPr="006720E4">
        <w:rPr>
          <w:rFonts w:ascii="Calibri" w:hAnsi="Calibri" w:cs="Calibri"/>
          <w:b/>
          <w:bCs/>
          <w:sz w:val="22"/>
          <w:szCs w:val="22"/>
        </w:rPr>
        <w:t>Information that is specifically relevant</w:t>
      </w:r>
      <w:r w:rsidRPr="006720E4">
        <w:rPr>
          <w:rFonts w:ascii="Calibri" w:hAnsi="Calibri" w:cs="Calibri"/>
          <w:sz w:val="22"/>
          <w:szCs w:val="22"/>
        </w:rPr>
        <w:t xml:space="preserve"> to the persons involved in decision-making should be provided. For example, the likely risks of removing a kidney in a living donor should be estimated based on the known characteristics of the individual who is considering donating their kidney rather than general population level risks, as these may be different. Some examples of specific information that it may be ethically important to disclose and consider in particular circumstances are provided in the sections below. Key information of potential relevance to non-directed donations is discussed in </w:t>
      </w:r>
      <w:hyperlink w:anchor="_Information_about_potential" w:history="1">
        <w:r w:rsidRPr="00B1753F">
          <w:rPr>
            <w:rStyle w:val="Hyperlink"/>
            <w:rFonts w:ascii="Calibri" w:hAnsi="Calibri" w:cs="Calibri"/>
            <w:sz w:val="22"/>
            <w:szCs w:val="22"/>
          </w:rPr>
          <w:t xml:space="preserve">Chapter </w:t>
        </w:r>
        <w:r w:rsidR="00535A1B" w:rsidRPr="00B1753F">
          <w:rPr>
            <w:rStyle w:val="Hyperlink"/>
            <w:rFonts w:ascii="Calibri" w:hAnsi="Calibri" w:cs="Calibri"/>
            <w:sz w:val="22"/>
            <w:szCs w:val="22"/>
          </w:rPr>
          <w:t>4</w:t>
        </w:r>
        <w:r w:rsidRPr="00B1753F">
          <w:rPr>
            <w:rStyle w:val="Hyperlink"/>
            <w:rFonts w:ascii="Calibri" w:hAnsi="Calibri" w:cs="Calibri"/>
            <w:sz w:val="22"/>
            <w:szCs w:val="22"/>
          </w:rPr>
          <w:t>.1.3.1.</w:t>
        </w:r>
      </w:hyperlink>
    </w:p>
    <w:p w14:paraId="111D8CEA" w14:textId="77777777" w:rsidR="006C6EBA" w:rsidRPr="006720E4" w:rsidRDefault="006C6EBA" w:rsidP="00EA22AE">
      <w:pPr>
        <w:pStyle w:val="Heading4"/>
        <w:spacing w:after="120"/>
      </w:pPr>
      <w:bookmarkStart w:id="1297" w:name="_Information_about_potential"/>
      <w:bookmarkStart w:id="1298" w:name="_Information_of_potential"/>
      <w:bookmarkStart w:id="1299" w:name="_Toc82773523"/>
      <w:bookmarkStart w:id="1300" w:name="_Toc82773876"/>
      <w:bookmarkEnd w:id="1297"/>
      <w:bookmarkEnd w:id="1298"/>
      <w:r w:rsidRPr="006720E4">
        <w:t>Information of potential relevance in non-directed donations</w:t>
      </w:r>
      <w:bookmarkEnd w:id="1299"/>
      <w:bookmarkEnd w:id="1300"/>
      <w:r w:rsidRPr="006720E4">
        <w:t xml:space="preserve"> </w:t>
      </w:r>
    </w:p>
    <w:p w14:paraId="35B3B6E3" w14:textId="3DFD27E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Most Australians may believe that organs and tissues obtained from deceased donors – and tissues obtained from living donors during therapeutic procedures - will be used for transplantation within Australia.</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{"citationItems":[{"id":"ITEM-1","itemData":{"DOI":"10.1371/journal.pone.0246622","ISBN":"1111111111","ISSN":"19326203","PMID":"33606737","abstract":"Background 12.7 million people await a corneal transplant, but 53% are without access to corneal tissue. Sharing corneal tissue across nations can provide some access, however the willingness of export populations, like Australians, to export their donation on death, has never been evaluated. Our research samples the Australian population, determining their willingness to export. Materials and method We conducted e-surveys. N = 1044 Australians participated. The sample represented the Australian population, based on population demographics. Chi-Square and bivariate correlation coefficients examined associations between categorical variables, with a sample size of N = 1044, power of 0.80, and alpha of p = 0.05. Outcome measures were based on population sampling, by exploring willingness export, through the e-survey method. Results 38% (n = 397) of respondents said yes to exportation, 23.8% (n = 248) said no, and 38.2% (n = 399) were undecided. We found no relationship between willingness to export and general demographics, though those registered on the Donatelife Register (p = &lt;.001), and those already willing to donate their eyes (p = &lt;.001) were significantly more willing to export. Discussion More Australians are willing to export their corneas than not, though a significant portion remain undecided. The Donatelife Register, and donation awareness, are key components of respondent decision making. Therefore, the provision of information about exportation prior to, and at the point-of-donation, is essential for assisting Australian's to decide to export or not. Further examination and development of consent-for-export systems are necessary before routine exportation is undertaken.","author":[{"dropping-particle":"","family":"Machin","given":"Heather M.","non-dropping-particle":"","parse-names":false,"suffix":""},{"dropping-particle":"","family":"Buckland","given":"Lisa","non-dropping-particle":"","parse-names":false,"suffix":""},{"dropping-particle":"","family":"Critchley","given":"Christine","non-dropping-particle":"","parse-names":false,"suffix":""},{"dropping-particle":"","family":"Wiffen","given":"Steven","non-dropping-particle":"","parse-names":false,"suffix":""},{"dropping-particle":"","family":"Sutton","given":"Gerard","non-dropping-particle":"","parse-names":false,"suffix":""},{"dropping-particle":"","family":"Baird","given":"Paul N.","non-dropping-particle":"","parse-names":false,"suffix":""}],"container-title":"PLoS ONE","id":"ITEM-1","issue":"2 February 2021","issued":{"date-parts":[["2021"]]},"page":"1-12","title":"Determining the willingness of Australians to export their corneas on death","type":"article-journal","volume":"16"},"uris":["http://www.mendeley.com/documents/?uuid=8adf3ceb-f6ac-4019-b745-1b3fac1343ee"]}],"mendeley":{"formattedCitation":"(47)","plainTextFormattedCitation":"(47)","previouslyFormattedCitation":"(47)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(47)</w:t>
      </w:r>
      <w:r w:rsidRPr="006720E4">
        <w:rPr>
          <w:rFonts w:ascii="Calibri" w:hAnsi="Calibri" w:cs="Calibri"/>
          <w:sz w:val="22"/>
          <w:szCs w:val="22"/>
        </w:rPr>
        <w:fldChar w:fldCharType="end"/>
      </w:r>
      <w:r w:rsidRPr="006720E4">
        <w:rPr>
          <w:rFonts w:ascii="Calibri" w:hAnsi="Calibri" w:cs="Calibri"/>
          <w:sz w:val="22"/>
          <w:szCs w:val="22"/>
        </w:rPr>
        <w:t xml:space="preserve"> Many may not know that there is a possibility that organs or tissues may be exported overseas in some </w:t>
      </w:r>
      <w:r w:rsidRPr="0028232A">
        <w:rPr>
          <w:rFonts w:ascii="Calibri" w:hAnsi="Calibri" w:cs="Calibri"/>
          <w:sz w:val="22"/>
          <w:szCs w:val="22"/>
        </w:rPr>
        <w:t>circumstances (see</w:t>
      </w:r>
      <w:r w:rsidR="00B1753F" w:rsidRPr="0028232A">
        <w:rPr>
          <w:rFonts w:ascii="Calibri" w:hAnsi="Calibri" w:cs="Calibri"/>
          <w:sz w:val="22"/>
          <w:szCs w:val="22"/>
        </w:rPr>
        <w:t xml:space="preserve"> </w:t>
      </w:r>
      <w:hyperlink w:anchor="_Implications_of_import" w:history="1">
        <w:r w:rsidR="00B1753F" w:rsidRPr="0028232A">
          <w:rPr>
            <w:rStyle w:val="Hyperlink"/>
            <w:rFonts w:ascii="Calibri" w:hAnsi="Calibri" w:cs="Calibri"/>
            <w:sz w:val="22"/>
            <w:szCs w:val="22"/>
          </w:rPr>
          <w:t>Chapter 9.3.4</w:t>
        </w:r>
      </w:hyperlink>
      <w:r w:rsidRPr="0028232A">
        <w:rPr>
          <w:rFonts w:ascii="Calibri" w:hAnsi="Calibri" w:cs="Calibri"/>
          <w:sz w:val="22"/>
          <w:szCs w:val="22"/>
        </w:rPr>
        <w:t>). Information about</w:t>
      </w:r>
      <w:r w:rsidRPr="006720E4">
        <w:rPr>
          <w:rFonts w:ascii="Calibri" w:hAnsi="Calibri" w:cs="Calibri"/>
          <w:sz w:val="22"/>
          <w:szCs w:val="22"/>
        </w:rPr>
        <w:t xml:space="preserve"> potential exportation of donations may be particularly relevant if the potential donor is Indigenous, due to the cultural </w:t>
      </w:r>
      <w:r w:rsidRPr="006720E4">
        <w:rPr>
          <w:rFonts w:ascii="Calibri" w:hAnsi="Calibri" w:cs="Calibri"/>
          <w:sz w:val="22"/>
          <w:szCs w:val="22"/>
        </w:rPr>
        <w:lastRenderedPageBreak/>
        <w:t>significance of ‘</w:t>
      </w:r>
      <w:r w:rsidR="00535A1B" w:rsidRPr="006720E4">
        <w:rPr>
          <w:rFonts w:ascii="Calibri" w:hAnsi="Calibri" w:cs="Calibri"/>
          <w:sz w:val="22"/>
          <w:szCs w:val="22"/>
        </w:rPr>
        <w:t>C</w:t>
      </w:r>
      <w:r w:rsidRPr="006720E4">
        <w:rPr>
          <w:rFonts w:ascii="Calibri" w:hAnsi="Calibri" w:cs="Calibri"/>
          <w:sz w:val="22"/>
          <w:szCs w:val="22"/>
        </w:rPr>
        <w:t>ountry’ for Aboriginal and Torres Strait Islander peoples, and connections between individuals</w:t>
      </w:r>
      <w:r w:rsidR="00535A1B" w:rsidRPr="006720E4">
        <w:rPr>
          <w:rFonts w:ascii="Calibri" w:hAnsi="Calibri" w:cs="Calibri"/>
          <w:sz w:val="22"/>
          <w:szCs w:val="22"/>
        </w:rPr>
        <w:t>, their kin and communities,</w:t>
      </w:r>
      <w:r w:rsidRPr="006720E4">
        <w:rPr>
          <w:rFonts w:ascii="Calibri" w:hAnsi="Calibri" w:cs="Calibri"/>
          <w:sz w:val="22"/>
          <w:szCs w:val="22"/>
        </w:rPr>
        <w:t xml:space="preserve"> and their ancestral lands. </w:t>
      </w:r>
    </w:p>
    <w:p w14:paraId="4A7C000D" w14:textId="2401EB7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Information about additional options such as whether donated tissues or organs may be used in research if they are unsuitable for transplantation should also be provid</w:t>
      </w:r>
      <w:r w:rsidRPr="004B64BA">
        <w:rPr>
          <w:rFonts w:ascii="Calibri" w:hAnsi="Calibri" w:cs="Calibri"/>
          <w:sz w:val="22"/>
          <w:szCs w:val="22"/>
        </w:rPr>
        <w:t xml:space="preserve">ed (see </w:t>
      </w:r>
      <w:hyperlink w:anchor="_Intersections_between_donation_2" w:history="1">
        <w:r w:rsidRPr="004B64BA">
          <w:rPr>
            <w:rStyle w:val="Hyperlink"/>
            <w:rFonts w:ascii="Calibri" w:hAnsi="Calibri" w:cs="Calibri"/>
            <w:sz w:val="22"/>
            <w:szCs w:val="22"/>
          </w:rPr>
          <w:t>Chapter 1</w:t>
        </w:r>
        <w:r w:rsidR="00535A1B" w:rsidRPr="004B64BA">
          <w:rPr>
            <w:rStyle w:val="Hyperlink"/>
            <w:rFonts w:ascii="Calibri" w:hAnsi="Calibri" w:cs="Calibri"/>
            <w:sz w:val="22"/>
            <w:szCs w:val="22"/>
          </w:rPr>
          <w:t>2</w:t>
        </w:r>
        <w:r w:rsidRPr="004B64BA">
          <w:rPr>
            <w:rStyle w:val="Hyperlink"/>
            <w:rFonts w:ascii="Calibri" w:hAnsi="Calibri" w:cs="Calibri"/>
            <w:sz w:val="22"/>
            <w:szCs w:val="22"/>
          </w:rPr>
          <w:t>.7)</w:t>
        </w:r>
      </w:hyperlink>
      <w:r w:rsidRPr="004B64BA">
        <w:rPr>
          <w:rFonts w:ascii="Calibri" w:hAnsi="Calibri" w:cs="Calibri"/>
          <w:sz w:val="22"/>
          <w:szCs w:val="22"/>
        </w:rPr>
        <w:t>.</w:t>
      </w:r>
    </w:p>
    <w:p w14:paraId="2865EAA7" w14:textId="1D586929" w:rsidR="006C6EBA" w:rsidRPr="004F318F" w:rsidRDefault="006C6EBA" w:rsidP="00EA22AE">
      <w:pPr>
        <w:spacing w:after="120"/>
        <w:rPr>
          <w:rFonts w:ascii="Calibri" w:hAnsi="Calibri" w:cs="Calibri"/>
        </w:rPr>
      </w:pPr>
      <w:r w:rsidRPr="006720E4">
        <w:rPr>
          <w:rFonts w:ascii="Calibri" w:hAnsi="Calibri" w:cs="Calibri"/>
          <w:sz w:val="22"/>
          <w:szCs w:val="22"/>
        </w:rPr>
        <w:t xml:space="preserve">Finally, anonymity requirements and expectations regarding contact between donors, donor families and transplant </w:t>
      </w:r>
      <w:r w:rsidRPr="004B64BA">
        <w:rPr>
          <w:rFonts w:ascii="Calibri" w:hAnsi="Calibri" w:cs="Calibri"/>
          <w:sz w:val="22"/>
          <w:szCs w:val="22"/>
        </w:rPr>
        <w:t xml:space="preserve">recipients (see </w:t>
      </w:r>
      <w:hyperlink w:anchor="_Anonymity_in_non-directed" w:history="1">
        <w:r w:rsidRPr="004B64BA">
          <w:rPr>
            <w:rStyle w:val="Hyperlink"/>
            <w:rFonts w:ascii="Calibri" w:hAnsi="Calibri" w:cs="Calibri"/>
            <w:sz w:val="22"/>
            <w:szCs w:val="22"/>
          </w:rPr>
          <w:t xml:space="preserve">Chapter </w:t>
        </w:r>
        <w:r w:rsidR="00174C70" w:rsidRPr="004B64BA">
          <w:rPr>
            <w:rStyle w:val="Hyperlink"/>
            <w:rFonts w:ascii="Calibri" w:hAnsi="Calibri" w:cs="Calibri"/>
            <w:sz w:val="22"/>
            <w:szCs w:val="22"/>
          </w:rPr>
          <w:t>7</w:t>
        </w:r>
        <w:r w:rsidRPr="004B64BA">
          <w:rPr>
            <w:rStyle w:val="Hyperlink"/>
            <w:rFonts w:ascii="Calibri" w:hAnsi="Calibri" w:cs="Calibri"/>
            <w:sz w:val="22"/>
            <w:szCs w:val="22"/>
          </w:rPr>
          <w:t>.3)</w:t>
        </w:r>
      </w:hyperlink>
      <w:r w:rsidRPr="004B64BA">
        <w:rPr>
          <w:rFonts w:ascii="Calibri" w:hAnsi="Calibri" w:cs="Calibri"/>
          <w:sz w:val="22"/>
          <w:szCs w:val="22"/>
        </w:rPr>
        <w:t xml:space="preserve"> should also</w:t>
      </w:r>
      <w:r w:rsidRPr="006720E4">
        <w:rPr>
          <w:rFonts w:ascii="Calibri" w:hAnsi="Calibri" w:cs="Calibri"/>
          <w:sz w:val="22"/>
          <w:szCs w:val="22"/>
        </w:rPr>
        <w:t xml:space="preserve"> be discussed.</w:t>
      </w:r>
    </w:p>
    <w:p w14:paraId="68E7C342" w14:textId="26828174" w:rsidR="006C6EBA" w:rsidRPr="006720E4" w:rsidRDefault="006C6EBA" w:rsidP="00EA22AE">
      <w:pPr>
        <w:pStyle w:val="Heading3"/>
        <w:spacing w:after="120"/>
      </w:pPr>
      <w:bookmarkStart w:id="1301" w:name="_Valid_refusal_and"/>
      <w:bookmarkStart w:id="1302" w:name="_Toc63683408"/>
      <w:bookmarkStart w:id="1303" w:name="_Toc70241751"/>
      <w:bookmarkStart w:id="1304" w:name="_Toc70243385"/>
      <w:bookmarkStart w:id="1305" w:name="_Toc70414842"/>
      <w:bookmarkStart w:id="1306" w:name="_Toc70844167"/>
      <w:bookmarkStart w:id="1307" w:name="_Toc72615099"/>
      <w:bookmarkStart w:id="1308" w:name="_Toc73129819"/>
      <w:bookmarkStart w:id="1309" w:name="_Toc73301688"/>
      <w:bookmarkStart w:id="1310" w:name="_Toc73302194"/>
      <w:bookmarkStart w:id="1311" w:name="_Toc73303327"/>
      <w:bookmarkStart w:id="1312" w:name="_Toc73303573"/>
      <w:bookmarkStart w:id="1313" w:name="_Toc74080690"/>
      <w:bookmarkStart w:id="1314" w:name="_Toc74080998"/>
      <w:bookmarkStart w:id="1315" w:name="_Toc74081228"/>
      <w:bookmarkStart w:id="1316" w:name="_Toc74081472"/>
      <w:bookmarkStart w:id="1317" w:name="_Toc74171059"/>
      <w:bookmarkStart w:id="1318" w:name="_Toc74172249"/>
      <w:bookmarkStart w:id="1319" w:name="_Toc74172785"/>
      <w:bookmarkStart w:id="1320" w:name="_Toc74238733"/>
      <w:bookmarkStart w:id="1321" w:name="_Toc79406347"/>
      <w:bookmarkStart w:id="1322" w:name="_Toc82773524"/>
      <w:bookmarkStart w:id="1323" w:name="_Toc82773877"/>
      <w:bookmarkEnd w:id="1301"/>
      <w:r w:rsidRPr="006720E4">
        <w:t>Valid refusal and the right to withdraw consen</w:t>
      </w:r>
      <w:bookmarkEnd w:id="1302"/>
      <w:r w:rsidRPr="006720E4">
        <w:t>t</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1E3ABCD4" w14:textId="77AD1993" w:rsidR="006C6EBA" w:rsidRPr="006720E4" w:rsidRDefault="006C6EBA" w:rsidP="00EA22AE">
      <w:pPr>
        <w:spacing w:after="120"/>
        <w:rPr>
          <w:rFonts w:ascii="Calibri" w:hAnsi="Calibri" w:cs="Calibri"/>
          <w:sz w:val="22"/>
          <w:szCs w:val="22"/>
        </w:rPr>
      </w:pPr>
      <w:bookmarkStart w:id="1324" w:name="_Toc70241752"/>
      <w:bookmarkStart w:id="1325" w:name="_Toc70243386"/>
      <w:bookmarkStart w:id="1326" w:name="_Toc70414843"/>
      <w:r w:rsidRPr="006720E4">
        <w:rPr>
          <w:rFonts w:ascii="Calibri" w:hAnsi="Calibri" w:cs="Calibri"/>
          <w:sz w:val="22"/>
          <w:szCs w:val="22"/>
        </w:rPr>
        <w:t>Just as a person is able to consent to interventions or treatment offered to them, a person is also able to decline or refuse consent to participate as a donor or recipient. It is important to ensure that decision-makers are competent, informed and voluntarily refusing the relevant intervention</w:t>
      </w:r>
      <w:bookmarkEnd w:id="1324"/>
      <w:bookmarkEnd w:id="1325"/>
      <w:bookmarkEnd w:id="1326"/>
      <w:r w:rsidRPr="006720E4">
        <w:rPr>
          <w:rFonts w:ascii="Calibri" w:hAnsi="Calibri" w:cs="Calibri"/>
          <w:sz w:val="22"/>
          <w:szCs w:val="22"/>
        </w:rPr>
        <w:t>, especially in circumstances where withdrawal of consent may have harmful consequences for others as discussed in the following sections.</w:t>
      </w:r>
    </w:p>
    <w:p w14:paraId="4E6AE28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Ensuring that all donation decision-makers are fully informed at the time of making a donation decision and have the opportunity and time to reflect on, discuss and affirm an authentic decision in line with their values and beliefs may increase the probability that a donation decision will be enduring. </w:t>
      </w:r>
    </w:p>
    <w:p w14:paraId="75819395" w14:textId="6946CE8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a person has provided consent for donation or transplantation, they have the right to withdraw their consent until the donation or transplantation procedure takes place. After donation has occurred but before donations have been transplanted, custodians of donated cells, tissues or organs have the right to decide on use of the donations but should strive to do so in accordance with the expectations and preferences of the donation decision-maker at the time of their consent. As </w:t>
      </w:r>
      <w:r w:rsidRPr="00A800B4">
        <w:rPr>
          <w:rFonts w:ascii="Calibri" w:hAnsi="Calibri" w:cs="Calibri"/>
          <w:sz w:val="22"/>
          <w:szCs w:val="22"/>
        </w:rPr>
        <w:t xml:space="preserve">discussed in </w:t>
      </w:r>
      <w:hyperlink w:anchor="_The_nature_of" w:history="1">
        <w:r w:rsidRPr="00A800B4">
          <w:rPr>
            <w:rStyle w:val="Hyperlink"/>
            <w:rFonts w:ascii="Calibri" w:hAnsi="Calibri" w:cs="Calibri"/>
            <w:sz w:val="22"/>
            <w:szCs w:val="22"/>
          </w:rPr>
          <w:t xml:space="preserve">Chapter </w:t>
        </w:r>
        <w:r w:rsidR="002A0795" w:rsidRPr="00A800B4">
          <w:rPr>
            <w:rStyle w:val="Hyperlink"/>
            <w:rFonts w:ascii="Calibri" w:hAnsi="Calibri" w:cs="Calibri"/>
            <w:sz w:val="22"/>
            <w:szCs w:val="22"/>
          </w:rPr>
          <w:t>3</w:t>
        </w:r>
        <w:r w:rsidRPr="00A800B4">
          <w:rPr>
            <w:rStyle w:val="Hyperlink"/>
            <w:rFonts w:ascii="Calibri" w:hAnsi="Calibri" w:cs="Calibri"/>
            <w:sz w:val="22"/>
            <w:szCs w:val="22"/>
          </w:rPr>
          <w:t>.</w:t>
        </w:r>
        <w:r w:rsidR="00A800B4" w:rsidRPr="00A800B4">
          <w:rPr>
            <w:rStyle w:val="Hyperlink"/>
            <w:rFonts w:ascii="Calibri" w:hAnsi="Calibri" w:cs="Calibri"/>
            <w:sz w:val="22"/>
            <w:szCs w:val="22"/>
          </w:rPr>
          <w:t>3.10</w:t>
        </w:r>
        <w:r w:rsidRPr="00A800B4">
          <w:rPr>
            <w:rStyle w:val="Hyperlink"/>
            <w:rFonts w:ascii="Calibri" w:hAnsi="Calibri" w:cs="Calibri"/>
            <w:sz w:val="22"/>
            <w:szCs w:val="22"/>
          </w:rPr>
          <w:t>.1</w:t>
        </w:r>
      </w:hyperlink>
      <w:r w:rsidRPr="00A800B4">
        <w:rPr>
          <w:rFonts w:ascii="Calibri" w:hAnsi="Calibri" w:cs="Calibri"/>
          <w:sz w:val="22"/>
          <w:szCs w:val="22"/>
        </w:rPr>
        <w:t>, once</w:t>
      </w:r>
      <w:r w:rsidRPr="006720E4">
        <w:rPr>
          <w:rFonts w:ascii="Calibri" w:hAnsi="Calibri" w:cs="Calibri"/>
          <w:sz w:val="22"/>
          <w:szCs w:val="22"/>
        </w:rPr>
        <w:t xml:space="preserve"> donated cells, tissues, or organs have been transplanted, it is the recipient who has autonomy to make decisions about further treatment of these materials.</w:t>
      </w:r>
    </w:p>
    <w:p w14:paraId="0707B7F7" w14:textId="0D4E8FD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exceptional circumstances, custodians of donated cells, tissues or organs may be able and willing to alter the treatment of donations to reflect a change in the preferences of the donation decision-maker where this is feasible. For example, a tissue bank might be able to return a stored donor tissue to a family for burial if the tissue </w:t>
      </w:r>
      <w:r w:rsidRPr="00947FB9">
        <w:rPr>
          <w:rFonts w:ascii="Calibri" w:hAnsi="Calibri" w:cs="Calibri"/>
          <w:sz w:val="22"/>
          <w:szCs w:val="22"/>
        </w:rPr>
        <w:t xml:space="preserve">has not yet been processed or transplanted. See also </w:t>
      </w:r>
      <w:hyperlink w:anchor="_Exceptional_access_to" w:history="1">
        <w:r w:rsidRPr="00947FB9">
          <w:rPr>
            <w:rStyle w:val="Hyperlink"/>
            <w:rFonts w:ascii="Calibri" w:hAnsi="Calibri" w:cs="Calibri"/>
            <w:sz w:val="22"/>
            <w:szCs w:val="22"/>
          </w:rPr>
          <w:t>Chapter 1</w:t>
        </w:r>
        <w:r w:rsidR="002A0795" w:rsidRPr="00947FB9">
          <w:rPr>
            <w:rStyle w:val="Hyperlink"/>
            <w:rFonts w:ascii="Calibri" w:hAnsi="Calibri" w:cs="Calibri"/>
            <w:sz w:val="22"/>
            <w:szCs w:val="22"/>
          </w:rPr>
          <w:t>2</w:t>
        </w:r>
        <w:r w:rsidRPr="00947FB9">
          <w:rPr>
            <w:rStyle w:val="Hyperlink"/>
            <w:rFonts w:ascii="Calibri" w:hAnsi="Calibri" w:cs="Calibri"/>
            <w:sz w:val="22"/>
            <w:szCs w:val="22"/>
          </w:rPr>
          <w:t>.4.3</w:t>
        </w:r>
      </w:hyperlink>
      <w:r w:rsidRPr="00947FB9">
        <w:rPr>
          <w:rFonts w:ascii="Calibri" w:hAnsi="Calibri" w:cs="Calibri"/>
          <w:sz w:val="22"/>
          <w:szCs w:val="22"/>
        </w:rPr>
        <w:t xml:space="preserve"> for discussion of exceptional</w:t>
      </w:r>
      <w:r w:rsidRPr="006720E4">
        <w:rPr>
          <w:rFonts w:ascii="Calibri" w:hAnsi="Calibri" w:cs="Calibri"/>
          <w:sz w:val="22"/>
          <w:szCs w:val="22"/>
        </w:rPr>
        <w:t xml:space="preserve"> release of donated umbilical cord blood.</w:t>
      </w:r>
    </w:p>
    <w:p w14:paraId="4E292385" w14:textId="3224BC85" w:rsidR="006C6EBA" w:rsidRPr="006720E4" w:rsidRDefault="006C6EBA" w:rsidP="00EA22AE">
      <w:pPr>
        <w:pStyle w:val="Heading4"/>
        <w:spacing w:after="120"/>
      </w:pPr>
      <w:bookmarkStart w:id="1327" w:name="_Withdrawal_of_consent"/>
      <w:bookmarkStart w:id="1328" w:name="_Toc82773525"/>
      <w:bookmarkStart w:id="1329" w:name="_Toc82773878"/>
      <w:bookmarkStart w:id="1330" w:name="_Toc70414844"/>
      <w:bookmarkStart w:id="1331" w:name="_Toc70844168"/>
      <w:bookmarkStart w:id="1332" w:name="_Toc72615100"/>
      <w:bookmarkStart w:id="1333" w:name="_Toc73129820"/>
      <w:bookmarkStart w:id="1334" w:name="_Toc73301689"/>
      <w:bookmarkStart w:id="1335" w:name="_Toc73302195"/>
      <w:bookmarkStart w:id="1336" w:name="_Toc73303328"/>
      <w:bookmarkStart w:id="1337" w:name="_Toc74081473"/>
      <w:bookmarkStart w:id="1338" w:name="_Toc74172250"/>
      <w:bookmarkStart w:id="1339" w:name="_Toc74172786"/>
      <w:bookmarkEnd w:id="1327"/>
      <w:r w:rsidRPr="006720E4">
        <w:t>Withdrawal of consent for donation of HSCs</w:t>
      </w:r>
      <w:bookmarkEnd w:id="1328"/>
      <w:bookmarkEnd w:id="1329"/>
      <w:r w:rsidRPr="006720E4">
        <w:t xml:space="preserve"> </w:t>
      </w:r>
      <w:bookmarkEnd w:id="1330"/>
      <w:bookmarkEnd w:id="1331"/>
      <w:bookmarkEnd w:id="1332"/>
      <w:bookmarkEnd w:id="1333"/>
      <w:bookmarkEnd w:id="1334"/>
      <w:bookmarkEnd w:id="1335"/>
      <w:bookmarkEnd w:id="1336"/>
      <w:bookmarkEnd w:id="1337"/>
      <w:bookmarkEnd w:id="1338"/>
      <w:bookmarkEnd w:id="1339"/>
    </w:p>
    <w:p w14:paraId="1B448647" w14:textId="09A13B4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case of HSC donation, if the prospective living donor withdraws consent after the intended transplant recipient has begun the clinical process of preparing for transplantation – </w:t>
      </w:r>
      <w:hyperlink w:anchor="_Glossary_1" w:history="1">
        <w:r w:rsidRPr="006720E4">
          <w:rPr>
            <w:rStyle w:val="Hyperlink"/>
            <w:rFonts w:ascii="Calibri" w:hAnsi="Calibri" w:cs="Calibri"/>
            <w:sz w:val="22"/>
            <w:szCs w:val="22"/>
          </w:rPr>
          <w:t>‘conditioning</w:t>
        </w:r>
      </w:hyperlink>
      <w:r w:rsidRPr="006720E4">
        <w:rPr>
          <w:rFonts w:ascii="Calibri" w:hAnsi="Calibri" w:cs="Calibri"/>
          <w:sz w:val="22"/>
          <w:szCs w:val="22"/>
        </w:rPr>
        <w:t>‘- and no alternative donor is available, failure to proceed with donation will likely result in the death of the recipient.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{"citationItems":[{"id":"ITEM-1","itemData":{"DOI":"10.1016/j.transci.2020.102813","ISSN":"18781683","PMID":"32507382","abstract":"Hematopoietic stem cells donation is an essential prerequisite of allogeneic transplantation. Both family donors and matched unrelated donors should have a conscious involvement in every phase of the overall path, from selection to HSC collection. Donors also should be informed about the right to withdraw at any time as well as the extreme risk for recipient's life coming from the decision of interrupting, if the donation is not carried out once the patient's preparative regimen has commenced. We report our challenging experience about a donor who withdraws her consent to HSC donation after 3 days of mobilization with G-CSF. The possibility of withdrawal protects the donor but it also puts at risk both a chance for a transplant and the patient's life if preparative regimen has started. Can the donor really be free to withdraw the consent to HSC donation at any time even when this endangers the life of a recipient? Is this ethical? However, if the donor decides to withdraw, would we really be ready to manage promptly all the consequences coming from the consent revocation? At the moment there is not a well-defined “plan B” in case of impossibility to proceed with the transplant when conditioning has already started or has even been completed. In our opinion, because of this hard balance and such a high risk, it would be necessary to plan every time an alternative strategy which may be different according to different circumstances.","author":[{"dropping-particle":"","family":"Iuliani","given":"O.","non-dropping-particle":"","parse-names":false,"suffix":""},{"dropping-particle":"","family":"Passeri","given":"C.","non-dropping-particle":"","parse-names":false,"suffix":""},{"dropping-particle":"","family":"Papola","given":"F.","non-dropping-particle":"","parse-names":false,"suffix":""},{"dropping-particle":"","family":"Accorsi","given":"P.","non-dropping-particle":"","parse-names":false,"suffix":""}],"container-title":"Transfusion and Apheresis Science","id":"ITEM-1","issue":"4","issued":{"date-parts":[["2020"]]},"page":"17-18","title":"The withdrawal of consent to haematopoietic stem cells (HSC) donation: The complicated balance between donor's rights and patient's protection","type":"article-journal","volume":"59"},"uris":["http://www.mendeley.com/documents/?uuid=9c50b641-0369-4fd9-9d49-185b290989ba"]}],"mendeley":{"formattedCitation":"(48)","plainTextFormattedCitation":"(48)","previouslyFormattedCitation":"(48)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(48)</w:t>
      </w:r>
      <w:r w:rsidRPr="006720E4">
        <w:rPr>
          <w:rFonts w:ascii="Calibri" w:hAnsi="Calibri" w:cs="Calibri"/>
          <w:sz w:val="22"/>
          <w:szCs w:val="22"/>
        </w:rPr>
        <w:fldChar w:fldCharType="end"/>
      </w:r>
      <w:r w:rsidRPr="006720E4">
        <w:rPr>
          <w:rFonts w:ascii="Calibri" w:hAnsi="Calibri" w:cs="Calibri"/>
          <w:sz w:val="22"/>
          <w:szCs w:val="22"/>
        </w:rPr>
        <w:t xml:space="preserve"> Despite this risk, respect for autonomy requires that the prospective donor may still withdraw.</w:t>
      </w:r>
      <w:r w:rsidRPr="006720E4">
        <w:rPr>
          <w:rFonts w:ascii="Calibri" w:hAnsi="Calibri" w:cs="Calibri"/>
          <w:sz w:val="22"/>
          <w:szCs w:val="22"/>
        </w:rPr>
        <w:fldChar w:fldCharType="begin" w:fldLock="1"/>
      </w:r>
      <w:r w:rsidRPr="006720E4">
        <w:rPr>
          <w:rFonts w:ascii="Calibri" w:hAnsi="Calibri" w:cs="Calibri"/>
          <w:sz w:val="22"/>
          <w:szCs w:val="22"/>
        </w:rPr>
        <w:instrText>ADDIN CSL_CITATION {"citationItems":[{"id":"ITEM-1","itemData":{"DOI":"10.1038/sj.bmt.1704323","ISSN":"02683369","PMID":"14628078","abstract":"The article discusses views and recommendations of the norld Marrow Donor Association concerning ethical issues related to the donation of hematopoietic stem cell products with respect to recruitment, evaluation, workup, and follow-up of unrelated donors. Particular emphasis is placed upon commitment of individual donors, in particular with respect to the needs of patients to find HLA-matched donors, who may be asked to donate stem cell and other cell products more than once for given patients.","author":[{"dropping-particle":"","family":"Bakken","given":"R.","non-dropping-particle":"","parse-names":false,"suffix":""},{"dropping-particle":"","family":"Walraven","given":"A. M.","non-dropping-particle":"van","parse-names":false,"suffix":""},{"dropping-particle":"","family":"Egeland","given":"Torstein","non-dropping-particle":"","parse-names":false,"suffix":""}],"container-title":"Bone Marrow Transplantation","id":"ITEM-1","issue":"2","issued":{"date-parts":[["2004"]]},"page":"225-230","title":"Donor commitment and patient needs","type":"article-journal","volume":"33"},"uris":["http://www.mendeley.com/documents/?uuid=c37cb02f-d817-44a1-a307-8b806e0e34e6"]}],"mendeley":{"formattedCitation":"(9)","plainTextFormattedCitation":"(9)","previouslyFormattedCitation":"(9)"},"properties":{"noteIndex":0},"schema":"https://github.com/citation-style-language/schema/raw/master/csl-citation.json"}</w:instrText>
      </w:r>
      <w:r w:rsidRPr="006720E4">
        <w:rPr>
          <w:rFonts w:ascii="Calibri" w:hAnsi="Calibri" w:cs="Calibri"/>
          <w:sz w:val="22"/>
          <w:szCs w:val="22"/>
        </w:rPr>
        <w:fldChar w:fldCharType="separate"/>
      </w:r>
      <w:r w:rsidRPr="006720E4">
        <w:rPr>
          <w:rFonts w:ascii="Calibri" w:hAnsi="Calibri" w:cs="Calibri"/>
          <w:noProof/>
          <w:sz w:val="22"/>
          <w:szCs w:val="22"/>
        </w:rPr>
        <w:t>(9)</w:t>
      </w:r>
      <w:r w:rsidRPr="006720E4">
        <w:rPr>
          <w:rFonts w:ascii="Calibri" w:hAnsi="Calibri" w:cs="Calibri"/>
          <w:sz w:val="22"/>
          <w:szCs w:val="22"/>
        </w:rPr>
        <w:fldChar w:fldCharType="end"/>
      </w:r>
      <w:r w:rsidRPr="006720E4">
        <w:rPr>
          <w:rFonts w:ascii="Calibri" w:hAnsi="Calibri" w:cs="Calibri"/>
          <w:sz w:val="22"/>
          <w:szCs w:val="22"/>
        </w:rPr>
        <w:t xml:space="preserve"> </w:t>
      </w:r>
    </w:p>
    <w:p w14:paraId="2EE006EB" w14:textId="7CCE655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Every effort should be made to ensure that the withdrawal decision is fully informed and voluntary; the prospective donor should also be informed of the potential consequences of their withdrawal decision. This information should also be carefully communicated to prospective donors at the time of their recruitment, and when confirming their initial consent to donation when they are matched with a potential transplant recipient. Use of multiple donation consent points to reaffirm the decision to donate before the intended recipient begins preconditioning for transplantation may also help to reduce the risk of late withdrawals of consent</w:t>
      </w:r>
      <w:r w:rsidR="0004484E" w:rsidRPr="006720E4">
        <w:rPr>
          <w:rFonts w:ascii="Calibri" w:hAnsi="Calibri" w:cs="Calibri"/>
          <w:sz w:val="22"/>
          <w:szCs w:val="22"/>
        </w:rPr>
        <w:t xml:space="preserve"> (see </w:t>
      </w:r>
      <w:hyperlink w:anchor="_Consent_in_unrelated" w:history="1">
        <w:r w:rsidR="0004484E" w:rsidRPr="006720E4">
          <w:rPr>
            <w:rStyle w:val="Hyperlink"/>
            <w:rFonts w:ascii="Calibri" w:hAnsi="Calibri" w:cs="Calibri"/>
            <w:sz w:val="22"/>
            <w:szCs w:val="22"/>
          </w:rPr>
          <w:t>Chapter 4.3.4.2</w:t>
        </w:r>
      </w:hyperlink>
      <w:r w:rsidR="0004484E" w:rsidRPr="006720E4">
        <w:rPr>
          <w:rFonts w:ascii="Calibri" w:hAnsi="Calibri" w:cs="Calibri"/>
          <w:sz w:val="22"/>
          <w:szCs w:val="22"/>
        </w:rPr>
        <w:t>)</w:t>
      </w:r>
      <w:r w:rsidRPr="006720E4">
        <w:rPr>
          <w:rFonts w:ascii="Calibri" w:hAnsi="Calibri" w:cs="Calibri"/>
          <w:sz w:val="22"/>
          <w:szCs w:val="22"/>
        </w:rPr>
        <w:t>.</w:t>
      </w:r>
    </w:p>
    <w:p w14:paraId="637636E4" w14:textId="77EB6F05" w:rsidR="006C6EBA" w:rsidRPr="006720E4" w:rsidRDefault="006C6EBA" w:rsidP="00EA22AE">
      <w:pPr>
        <w:pStyle w:val="Heading4"/>
        <w:spacing w:after="120"/>
      </w:pPr>
      <w:bookmarkStart w:id="1340" w:name="_Toc82773526"/>
      <w:bookmarkStart w:id="1341" w:name="_Toc82773879"/>
      <w:r w:rsidRPr="006720E4">
        <w:t>Withdrawal of consent for kidney donation in a paired exchange</w:t>
      </w:r>
      <w:bookmarkEnd w:id="1340"/>
      <w:bookmarkEnd w:id="1341"/>
    </w:p>
    <w:p w14:paraId="4924BAA5" w14:textId="7D46B9F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case of </w:t>
      </w:r>
      <w:hyperlink w:anchor="_Glossary_1" w:history="1">
        <w:r w:rsidRPr="006720E4">
          <w:rPr>
            <w:rStyle w:val="Hyperlink"/>
            <w:rFonts w:ascii="Calibri" w:hAnsi="Calibri" w:cs="Calibri"/>
            <w:sz w:val="22"/>
            <w:szCs w:val="22"/>
          </w:rPr>
          <w:t>paired kidney donation</w:t>
        </w:r>
      </w:hyperlink>
      <w:r w:rsidRPr="006720E4">
        <w:rPr>
          <w:rFonts w:ascii="Calibri" w:hAnsi="Calibri" w:cs="Calibri"/>
          <w:sz w:val="22"/>
          <w:szCs w:val="22"/>
        </w:rPr>
        <w:t xml:space="preserve"> (see</w:t>
      </w:r>
      <w:r w:rsidR="004F318F">
        <w:rPr>
          <w:rFonts w:ascii="Calibri" w:hAnsi="Calibri" w:cs="Calibri"/>
          <w:sz w:val="22"/>
          <w:szCs w:val="22"/>
        </w:rPr>
        <w:t xml:space="preserve"> </w:t>
      </w:r>
      <w:hyperlink w:anchor="_Paired_kidney_exchange" w:history="1">
        <w:r w:rsidR="004F318F" w:rsidRPr="00513896">
          <w:rPr>
            <w:rStyle w:val="Hyperlink"/>
            <w:rFonts w:ascii="Calibri" w:hAnsi="Calibri" w:cs="Calibri"/>
            <w:sz w:val="22"/>
            <w:szCs w:val="22"/>
          </w:rPr>
          <w:t>Chapter 2.8.1.2</w:t>
        </w:r>
      </w:hyperlink>
      <w:r w:rsidR="002A0795" w:rsidRPr="006720E4">
        <w:rPr>
          <w:rFonts w:ascii="Calibri" w:hAnsi="Calibri" w:cs="Calibri"/>
          <w:sz w:val="22"/>
          <w:szCs w:val="22"/>
        </w:rPr>
        <w:t>),</w:t>
      </w:r>
      <w:r w:rsidRPr="006720E4">
        <w:rPr>
          <w:rFonts w:ascii="Calibri" w:hAnsi="Calibri" w:cs="Calibri"/>
          <w:sz w:val="22"/>
          <w:szCs w:val="22"/>
        </w:rPr>
        <w:t xml:space="preserve"> it is possible that a prospective donor from one pair may choose not to proceed with donation if their own recipient has already received a kidney from the donor in another pair. This would mean that one pair unfairly benefits from transplantation without the burdens of donation. To reduce the risk of this happening, most paired </w:t>
      </w:r>
      <w:r w:rsidRPr="006720E4">
        <w:rPr>
          <w:rFonts w:ascii="Calibri" w:hAnsi="Calibri" w:cs="Calibri"/>
          <w:sz w:val="22"/>
          <w:szCs w:val="22"/>
        </w:rPr>
        <w:lastRenderedPageBreak/>
        <w:t xml:space="preserve">kidney donations occur synchronously, meaning that both donors in a pair undergo donation at the same time. </w:t>
      </w:r>
    </w:p>
    <w:p w14:paraId="21192269" w14:textId="57CDCB0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However, asynchronous paired exchanges are sometimes necessary or valuable, for example when multiple pairs participate in a series of swaps to form a donation chain that enables more swaps – and hence transplants – to occur. When a donation chain is broken because a donor does not donate for any reason, this is called a “bridge” failure. The majority of “swap” or “bridge” failures in paired exchanges, which are estimated to occur in less than 2% of cases,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{"citationItems":[{"id":"ITEM-1","itemData":{"DOI":"10.1111/ajt.14343","ISSN":"16006143","PMID":"28489287","abstract":"Concerns regarding the potential for broken chains and “reneges” within kidney paired donation (KPD) and its effect on chain length have been raised previously. Although these concerns have been tested in simulation studies, real-world data have yet to be evaluated. The purpose of this study was to evaluate the actual rate and causes of broken chains within a large KPD program. All patients undergoing renal transplantation through the National Kidney Registry from 2008 through May 2016 were included for analysis. Broken chains and loops were identified. A total of 344 chains and 78 loops were completed during the study period, yielding a total of 1748 transplants. Twenty broken chains and one broken loop were identified. The mean chain length (number of transplants) within broken chains was 4.8 compared with 4.6 of completed chains (p = 0.78). The most common causes of a broken chain were donor medical issues incurred while acting as a bridge donor (n = 8), donors electing not to proceed (n = 6), and kidneys being declined by the recipient surgeon (n = 4). All recipients involved in a broken chain subsequently received a transplant. Based on the results, broken chains are infrequent, are rarely due to lack of donor motivation, and have no significant impact on chain length.","author":[{"dropping-particle":"","family":"Cowan","given":"N.","non-dropping-particle":"","parse-names":false,"suffix":""},{"dropping-particle":"","family":"Gritsch","given":"H. A.","non-dropping-particle":"","parse-names":false,"suffix":""},{"dropping-particle":"","family":"Nassiri","given":"N.","non-dropping-particle":"","parse-names":false,"suffix":""},{"dropping-particle":"","family":"Sinacore","given":"J.","non-dropping-particle":"","parse-names":false,"suffix":""},{"dropping-particle":"","family":"Veale","given":"J.","non-dropping-particle":"","parse-names":false,"suffix":""}],"container-title":"American Journal of Transplantation","id":"ITEM-1","issue":"9","issued":{"date-parts":[["2017"]]},"page":"2451-2457","title":"Broken Chains and Reneging: A Review of 1748 Kidney Paired Donation Transplants","type":"article-journal","volume":"17"},"uris":["http://www.mendeley.com/documents/?uuid=af95d984-dcbe-4031-a36a-84d2f6f9da67"]}],"mendeley":{"formattedCitation":"(49)","plainTextFormattedCitation":"(49)","previouslyFormattedCitation":"(49)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(49)</w:t>
      </w:r>
      <w:r w:rsidRPr="006720E4">
        <w:rPr>
          <w:rFonts w:ascii="Calibri" w:hAnsi="Calibri" w:cs="Calibri"/>
          <w:sz w:val="22"/>
          <w:szCs w:val="22"/>
        </w:rPr>
        <w:fldChar w:fldCharType="end"/>
      </w:r>
      <w:r w:rsidRPr="006720E4">
        <w:rPr>
          <w:rFonts w:ascii="Calibri" w:hAnsi="Calibri" w:cs="Calibri"/>
          <w:sz w:val="22"/>
          <w:szCs w:val="22"/>
        </w:rPr>
        <w:t xml:space="preserve"> are the result of circumstances which may render the prospective donor (or recipient) no longer suitable. </w:t>
      </w:r>
    </w:p>
    <w:p w14:paraId="53C03790" w14:textId="295F2D47" w:rsidR="00B275A5" w:rsidRDefault="006C6EBA" w:rsidP="00EA22AE">
      <w:pPr>
        <w:spacing w:after="120"/>
        <w:rPr>
          <w:rFonts w:ascii="Calibri" w:hAnsi="Calibri" w:cs="Calibri"/>
          <w:sz w:val="22"/>
          <w:szCs w:val="22"/>
        </w:rPr>
      </w:pPr>
      <w:r w:rsidRPr="006720E4">
        <w:rPr>
          <w:rFonts w:ascii="Calibri" w:hAnsi="Calibri" w:cs="Calibri"/>
          <w:sz w:val="22"/>
          <w:szCs w:val="22"/>
        </w:rPr>
        <w:t>In cases where the prospective kidney donor is clinically suitable but no longer willing to donate after their own pair has received a transplant, this raises significant concerns about fairness. Nevertheless, the right to withdraw consent must still be respected. Efforts are then made to reduce the impact of the withdrawal on the pair which has provided a donor kidney but not yet received a transplant, for example by prioritising the recipient in that pair for access to a non-directed donor kidney.</w:t>
      </w:r>
      <w:bookmarkStart w:id="1342" w:name="_Toc63683409"/>
      <w:bookmarkStart w:id="1343" w:name="_Toc70241753"/>
      <w:bookmarkStart w:id="1344" w:name="_Toc70243387"/>
      <w:bookmarkStart w:id="1345" w:name="_Toc70328731"/>
      <w:bookmarkStart w:id="1346" w:name="_Toc70333961"/>
      <w:bookmarkStart w:id="1347" w:name="_Toc70414845"/>
      <w:bookmarkStart w:id="1348" w:name="_Toc70844169"/>
      <w:bookmarkStart w:id="1349" w:name="_Toc70858986"/>
      <w:bookmarkStart w:id="1350" w:name="_Toc70861087"/>
      <w:bookmarkStart w:id="1351" w:name="_Toc70876571"/>
      <w:bookmarkStart w:id="1352" w:name="_Toc72615101"/>
    </w:p>
    <w:p w14:paraId="00301CF7" w14:textId="77777777" w:rsidR="0028232A" w:rsidRPr="00AF4CC3" w:rsidRDefault="0028232A" w:rsidP="00EA22AE">
      <w:pPr>
        <w:spacing w:after="120"/>
        <w:rPr>
          <w:rFonts w:ascii="Calibri" w:hAnsi="Calibri" w:cs="Calibri"/>
          <w:sz w:val="22"/>
          <w:szCs w:val="22"/>
        </w:rPr>
      </w:pPr>
    </w:p>
    <w:p w14:paraId="48183BB3" w14:textId="5625B892" w:rsidR="00B275A5" w:rsidRPr="00B275A5" w:rsidRDefault="00B275A5" w:rsidP="00EA22AE">
      <w:pPr>
        <w:spacing w:after="120"/>
        <w:rPr>
          <w:rFonts w:ascii="Calibri" w:hAnsi="Calibri" w:cs="Calibri"/>
          <w:b/>
          <w:bCs/>
          <w:sz w:val="22"/>
          <w:szCs w:val="22"/>
        </w:rPr>
      </w:pPr>
      <w:r>
        <w:rPr>
          <w:noProof/>
        </w:rPr>
        <mc:AlternateContent>
          <mc:Choice Requires="wps">
            <w:drawing>
              <wp:anchor distT="0" distB="0" distL="114300" distR="114300" simplePos="0" relativeHeight="251658240" behindDoc="0" locked="0" layoutInCell="1" allowOverlap="1" wp14:anchorId="0026A89D" wp14:editId="4FFC17C9">
                <wp:simplePos x="0" y="0"/>
                <wp:positionH relativeFrom="column">
                  <wp:posOffset>0</wp:posOffset>
                </wp:positionH>
                <wp:positionV relativeFrom="paragraph">
                  <wp:posOffset>0</wp:posOffset>
                </wp:positionV>
                <wp:extent cx="1828800" cy="1828800"/>
                <wp:effectExtent l="12700" t="12700" r="19050" b="12700"/>
                <wp:wrapSquare wrapText="bothSides"/>
                <wp:docPr id="804965550" name="Text Box 804965550" descr="P1180TB1#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462F3626" w14:textId="77777777" w:rsidR="000C15D6" w:rsidRDefault="000C15D6" w:rsidP="000C15D6">
                            <w:pPr>
                              <w:spacing w:after="80"/>
                              <w:rPr>
                                <w:rFonts w:ascii="Calibri" w:hAnsi="Calibri" w:cs="Calibri"/>
                                <w:b/>
                                <w:bCs/>
                                <w:sz w:val="22"/>
                                <w:szCs w:val="22"/>
                              </w:rPr>
                            </w:pPr>
                            <w:r w:rsidRPr="00B275A5">
                              <w:rPr>
                                <w:rFonts w:ascii="Calibri" w:hAnsi="Calibri" w:cs="Calibri"/>
                                <w:b/>
                                <w:bCs/>
                                <w:sz w:val="22"/>
                                <w:szCs w:val="22"/>
                                <w:highlight w:val="yellow"/>
                              </w:rPr>
                              <w:t>Box 4.1</w:t>
                            </w:r>
                            <w:r w:rsidRPr="00B275A5">
                              <w:rPr>
                                <w:rFonts w:ascii="Calibri" w:hAnsi="Calibri" w:cs="Calibri"/>
                                <w:b/>
                                <w:bCs/>
                                <w:sz w:val="22"/>
                                <w:szCs w:val="22"/>
                              </w:rPr>
                              <w:t xml:space="preserve"> Summary of general recommendations for ethical practice in supporting donation and transplantation decision-making</w:t>
                            </w:r>
                          </w:p>
                          <w:p w14:paraId="5F8D2E1F" w14:textId="77777777" w:rsidR="000C15D6" w:rsidRDefault="000C15D6" w:rsidP="0028232A">
                            <w:pPr>
                              <w:spacing w:after="80"/>
                            </w:pPr>
                          </w:p>
                          <w:p w14:paraId="2D32FBD3" w14:textId="77777777" w:rsidR="00B275A5" w:rsidRPr="00B275A5" w:rsidRDefault="00B275A5" w:rsidP="00B275A5">
                            <w:pPr>
                              <w:pStyle w:val="ListParagraph"/>
                              <w:numPr>
                                <w:ilvl w:val="0"/>
                                <w:numId w:val="11"/>
                              </w:numPr>
                              <w:spacing w:after="80"/>
                              <w:contextualSpacing w:val="0"/>
                              <w:rPr>
                                <w:rFonts w:cs="Calibri"/>
                                <w:sz w:val="21"/>
                                <w:szCs w:val="22"/>
                              </w:rPr>
                            </w:pPr>
                            <w:r w:rsidRPr="00B275A5">
                              <w:rPr>
                                <w:rFonts w:cs="Calibri"/>
                                <w:sz w:val="21"/>
                                <w:szCs w:val="21"/>
                              </w:rPr>
                              <w:t>Health professionals have an obligation to obtain valid consent or refusal to donation or transplantation by the appropriate decision-maker(s) by ensuring that decisions are informed and voluntary, and that decision-makers are competent and have the legal authority to make the relevant decision.</w:t>
                            </w:r>
                          </w:p>
                          <w:p w14:paraId="17F39A9B" w14:textId="77777777" w:rsidR="00B275A5" w:rsidRPr="00B275A5" w:rsidRDefault="00B275A5" w:rsidP="00B275A5">
                            <w:pPr>
                              <w:pStyle w:val="ListParagraph"/>
                              <w:numPr>
                                <w:ilvl w:val="1"/>
                                <w:numId w:val="11"/>
                              </w:numPr>
                              <w:spacing w:after="80"/>
                              <w:contextualSpacing w:val="0"/>
                              <w:rPr>
                                <w:rFonts w:cs="Calibri"/>
                                <w:sz w:val="21"/>
                                <w:szCs w:val="22"/>
                              </w:rPr>
                            </w:pPr>
                            <w:r w:rsidRPr="00B275A5">
                              <w:rPr>
                                <w:rFonts w:cs="Calibri"/>
                                <w:b/>
                                <w:bCs/>
                                <w:sz w:val="21"/>
                                <w:szCs w:val="21"/>
                              </w:rPr>
                              <w:t>Information</w:t>
                            </w:r>
                            <w:r w:rsidRPr="00B275A5">
                              <w:rPr>
                                <w:rFonts w:cs="Calibri"/>
                                <w:sz w:val="21"/>
                                <w:szCs w:val="21"/>
                              </w:rPr>
                              <w:t xml:space="preserve"> should be provided to decision-makers that is current and evidence-based, and the limitations of available information should be clearly and impartially communicated including the potential for bias, gaps in knowledge or conflicting evidence.</w:t>
                            </w:r>
                          </w:p>
                          <w:p w14:paraId="777EF4B0" w14:textId="77777777" w:rsidR="00B275A5" w:rsidRPr="00B275A5" w:rsidRDefault="00B275A5" w:rsidP="00B275A5">
                            <w:pPr>
                              <w:pStyle w:val="ListParagraph"/>
                              <w:numPr>
                                <w:ilvl w:val="2"/>
                                <w:numId w:val="11"/>
                              </w:numPr>
                              <w:spacing w:after="80"/>
                              <w:contextualSpacing w:val="0"/>
                              <w:rPr>
                                <w:rFonts w:cs="Calibri"/>
                                <w:sz w:val="21"/>
                                <w:szCs w:val="21"/>
                              </w:rPr>
                            </w:pPr>
                            <w:r w:rsidRPr="00B275A5">
                              <w:rPr>
                                <w:rFonts w:cs="Calibri"/>
                                <w:sz w:val="21"/>
                                <w:szCs w:val="21"/>
                              </w:rPr>
                              <w:t>Information provided should be tailored to the preferences and interests of decision-makers and the circumstances of specific decisions.</w:t>
                            </w:r>
                          </w:p>
                          <w:p w14:paraId="5C7DEF9C" w14:textId="77777777" w:rsidR="00B275A5" w:rsidRPr="00B275A5" w:rsidRDefault="00B275A5" w:rsidP="00B275A5">
                            <w:pPr>
                              <w:pStyle w:val="ListParagraph"/>
                              <w:numPr>
                                <w:ilvl w:val="2"/>
                                <w:numId w:val="11"/>
                              </w:numPr>
                              <w:spacing w:after="80"/>
                              <w:contextualSpacing w:val="0"/>
                              <w:rPr>
                                <w:rFonts w:cs="Calibri"/>
                                <w:sz w:val="21"/>
                                <w:szCs w:val="22"/>
                              </w:rPr>
                            </w:pPr>
                            <w:r w:rsidRPr="00B275A5">
                              <w:rPr>
                                <w:rFonts w:cs="Calibri"/>
                                <w:sz w:val="21"/>
                                <w:szCs w:val="21"/>
                              </w:rPr>
                              <w:t>Decision-makers should be routinely provided with information relating to all available options with respect to donation and/or transplantation, including information about alternative treatments for prospective transplant recipients where relevant.</w:t>
                            </w:r>
                          </w:p>
                          <w:p w14:paraId="665E0E42" w14:textId="77777777" w:rsidR="00B275A5" w:rsidRPr="00B275A5" w:rsidRDefault="00B275A5" w:rsidP="00B275A5">
                            <w:pPr>
                              <w:pStyle w:val="ListParagraph"/>
                              <w:numPr>
                                <w:ilvl w:val="1"/>
                                <w:numId w:val="11"/>
                              </w:numPr>
                              <w:spacing w:after="80"/>
                              <w:contextualSpacing w:val="0"/>
                              <w:rPr>
                                <w:rFonts w:cs="Calibri"/>
                                <w:sz w:val="21"/>
                                <w:szCs w:val="22"/>
                              </w:rPr>
                            </w:pPr>
                            <w:r w:rsidRPr="00B275A5">
                              <w:rPr>
                                <w:rFonts w:cs="Calibri"/>
                                <w:sz w:val="21"/>
                                <w:szCs w:val="21"/>
                              </w:rPr>
                              <w:t xml:space="preserve">Decision-making </w:t>
                            </w:r>
                            <w:r w:rsidRPr="00B275A5">
                              <w:rPr>
                                <w:rFonts w:cs="Calibri"/>
                                <w:b/>
                                <w:bCs/>
                                <w:sz w:val="21"/>
                                <w:szCs w:val="21"/>
                              </w:rPr>
                              <w:t>capacity</w:t>
                            </w:r>
                            <w:r w:rsidRPr="00B275A5">
                              <w:rPr>
                                <w:rFonts w:cs="Calibri"/>
                                <w:sz w:val="21"/>
                                <w:szCs w:val="21"/>
                              </w:rPr>
                              <w:t xml:space="preserve"> or competency should be assessed on a case-by-case basis, noting that adults should be presumed to have capacity unless there is evidence to the contrary.</w:t>
                            </w:r>
                          </w:p>
                          <w:p w14:paraId="13789AD2" w14:textId="77777777" w:rsidR="0028232A" w:rsidRPr="00B275A5" w:rsidRDefault="0028232A" w:rsidP="0028232A">
                            <w:pPr>
                              <w:pStyle w:val="ListParagraph"/>
                              <w:numPr>
                                <w:ilvl w:val="1"/>
                                <w:numId w:val="11"/>
                              </w:numPr>
                              <w:spacing w:after="80"/>
                              <w:contextualSpacing w:val="0"/>
                              <w:rPr>
                                <w:rFonts w:cs="Calibri"/>
                                <w:sz w:val="21"/>
                                <w:szCs w:val="21"/>
                              </w:rPr>
                            </w:pPr>
                            <w:r w:rsidRPr="00B275A5">
                              <w:rPr>
                                <w:rFonts w:cs="Calibri"/>
                                <w:b/>
                                <w:bCs/>
                                <w:sz w:val="21"/>
                                <w:szCs w:val="21"/>
                              </w:rPr>
                              <w:t>Voluntariness</w:t>
                            </w:r>
                            <w:r w:rsidRPr="00B275A5">
                              <w:rPr>
                                <w:rFonts w:cs="Calibri"/>
                                <w:sz w:val="21"/>
                                <w:szCs w:val="21"/>
                              </w:rPr>
                              <w:t xml:space="preserve"> in decision-making should be evaluated and supported through use of specific safeguards where necessary, including</w:t>
                            </w:r>
                          </w:p>
                          <w:p w14:paraId="14D81E98" w14:textId="77777777" w:rsidR="0028232A" w:rsidRPr="00B275A5" w:rsidRDefault="0028232A" w:rsidP="0028232A">
                            <w:pPr>
                              <w:pStyle w:val="ListParagraph"/>
                              <w:numPr>
                                <w:ilvl w:val="2"/>
                                <w:numId w:val="11"/>
                              </w:numPr>
                              <w:spacing w:after="80"/>
                              <w:contextualSpacing w:val="0"/>
                              <w:rPr>
                                <w:rFonts w:cs="Calibri"/>
                                <w:sz w:val="21"/>
                                <w:szCs w:val="21"/>
                              </w:rPr>
                            </w:pPr>
                            <w:r w:rsidRPr="00B275A5">
                              <w:rPr>
                                <w:rFonts w:cs="Calibri"/>
                                <w:sz w:val="21"/>
                                <w:szCs w:val="21"/>
                              </w:rPr>
                              <w:t>Psychosocial evaluation of prospective living donors and recipients to identify, assess and address risk factors for coercion or manipulation;</w:t>
                            </w:r>
                          </w:p>
                          <w:p w14:paraId="421A5874" w14:textId="77777777" w:rsidR="0028232A" w:rsidRPr="00B275A5" w:rsidRDefault="0028232A" w:rsidP="0028232A">
                            <w:pPr>
                              <w:pStyle w:val="ListParagraph"/>
                              <w:numPr>
                                <w:ilvl w:val="2"/>
                                <w:numId w:val="11"/>
                              </w:numPr>
                              <w:spacing w:after="80"/>
                              <w:contextualSpacing w:val="0"/>
                              <w:rPr>
                                <w:rFonts w:cs="Calibri"/>
                                <w:sz w:val="21"/>
                                <w:szCs w:val="21"/>
                              </w:rPr>
                            </w:pPr>
                            <w:r w:rsidRPr="00B275A5">
                              <w:rPr>
                                <w:rFonts w:cs="Calibri"/>
                                <w:sz w:val="21"/>
                                <w:szCs w:val="21"/>
                              </w:rPr>
                              <w:t>Use of independent advocates, counselling and other mechanisms to support individuals in communicating their preferences and to assist in management of potential conflicts of interest;</w:t>
                            </w:r>
                          </w:p>
                          <w:p w14:paraId="2DC6A5A9" w14:textId="6F49B419" w:rsidR="00B275A5" w:rsidRPr="0028232A" w:rsidRDefault="0028232A" w:rsidP="0028232A">
                            <w:pPr>
                              <w:pStyle w:val="ListParagraph"/>
                              <w:numPr>
                                <w:ilvl w:val="2"/>
                                <w:numId w:val="11"/>
                              </w:numPr>
                              <w:spacing w:after="80"/>
                              <w:contextualSpacing w:val="0"/>
                              <w:rPr>
                                <w:rFonts w:cs="Calibri"/>
                                <w:sz w:val="21"/>
                                <w:szCs w:val="21"/>
                              </w:rPr>
                            </w:pPr>
                            <w:r w:rsidRPr="00B275A5">
                              <w:rPr>
                                <w:rFonts w:cs="Calibri"/>
                                <w:sz w:val="21"/>
                                <w:szCs w:val="21"/>
                              </w:rPr>
                              <w:t xml:space="preserve">Where relevant and possible, </w:t>
                            </w:r>
                            <w:r w:rsidRPr="00B275A5">
                              <w:rPr>
                                <w:rFonts w:cs="Calibri"/>
                                <w:sz w:val="20"/>
                                <w:szCs w:val="20"/>
                              </w:rPr>
                              <w:t xml:space="preserve">mandated time periods </w:t>
                            </w:r>
                            <w:r w:rsidRPr="00B275A5">
                              <w:rPr>
                                <w:rFonts w:cs="Calibri"/>
                                <w:sz w:val="21"/>
                                <w:szCs w:val="21"/>
                              </w:rPr>
                              <w:t>required for prospective living donors to reflect on decisions before confirming consent and proceeding with donation.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26A89D" id="_x0000_t202" coordsize="21600,21600" o:spt="202" path="m,l,21600r21600,l21600,xe">
                <v:stroke joinstyle="miter"/>
                <v:path gradientshapeok="t" o:connecttype="rect"/>
              </v:shapetype>
              <v:shape id="Text Box 804965550" o:spid="_x0000_s1026" type="#_x0000_t202" alt="P1180TB1#y1"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" filled="f" strokecolor="black [3213]" strokeweight="1.5pt">
                <v:textbox style="mso-fit-shape-to-text:t">
                  <w:txbxContent>
                    <w:p w14:paraId="462F3626" w14:textId="77777777" w:rsidR="000C15D6" w:rsidRDefault="000C15D6" w:rsidP="000C15D6">
                      <w:pPr>
                        <w:spacing w:after="80"/>
                        <w:rPr>
                          <w:rFonts w:ascii="Calibri" w:hAnsi="Calibri" w:cs="Calibri"/>
                          <w:b/>
                          <w:bCs/>
                          <w:sz w:val="22"/>
                          <w:szCs w:val="22"/>
                        </w:rPr>
                      </w:pPr>
                      <w:r w:rsidRPr="00B275A5">
                        <w:rPr>
                          <w:rFonts w:ascii="Calibri" w:hAnsi="Calibri" w:cs="Calibri"/>
                          <w:b/>
                          <w:bCs/>
                          <w:sz w:val="22"/>
                          <w:szCs w:val="22"/>
                          <w:highlight w:val="yellow"/>
                        </w:rPr>
                        <w:t>Box 4.1</w:t>
                      </w:r>
                      <w:r w:rsidRPr="00B275A5">
                        <w:rPr>
                          <w:rFonts w:ascii="Calibri" w:hAnsi="Calibri" w:cs="Calibri"/>
                          <w:b/>
                          <w:bCs/>
                          <w:sz w:val="22"/>
                          <w:szCs w:val="22"/>
                        </w:rPr>
                        <w:t xml:space="preserve"> Summary of general recommendations for ethical practice in supporting donation and transplantation decision-making</w:t>
                      </w:r>
                    </w:p>
                    <w:p w14:paraId="5F8D2E1F" w14:textId="77777777" w:rsidR="000C15D6" w:rsidRDefault="000C15D6" w:rsidP="0028232A">
                      <w:pPr>
                        <w:spacing w:after="80"/>
                      </w:pPr>
                    </w:p>
                    <w:p w14:paraId="2D32FBD3" w14:textId="77777777" w:rsidR="00B275A5" w:rsidRPr="00B275A5" w:rsidRDefault="00B275A5" w:rsidP="00B275A5">
                      <w:pPr>
                        <w:pStyle w:val="ListParagraph"/>
                        <w:numPr>
                          <w:ilvl w:val="0"/>
                          <w:numId w:val="11"/>
                        </w:numPr>
                        <w:spacing w:after="80"/>
                        <w:contextualSpacing w:val="0"/>
                        <w:rPr>
                          <w:rFonts w:cs="Calibri"/>
                          <w:sz w:val="21"/>
                          <w:szCs w:val="22"/>
                        </w:rPr>
                      </w:pPr>
                      <w:r w:rsidRPr="00B275A5">
                        <w:rPr>
                          <w:rFonts w:cs="Calibri"/>
                          <w:sz w:val="21"/>
                          <w:szCs w:val="21"/>
                        </w:rPr>
                        <w:t>Health professionals have an obligation to obtain valid consent or refusal to donation or transplantation by the appropriate decision-maker(s) by ensuring that decisions are informed and voluntary, and that decision-makers are competent and have the legal authority to make the relevant decision.</w:t>
                      </w:r>
                    </w:p>
                    <w:p w14:paraId="17F39A9B" w14:textId="77777777" w:rsidR="00B275A5" w:rsidRPr="00B275A5" w:rsidRDefault="00B275A5" w:rsidP="00B275A5">
                      <w:pPr>
                        <w:pStyle w:val="ListParagraph"/>
                        <w:numPr>
                          <w:ilvl w:val="1"/>
                          <w:numId w:val="11"/>
                        </w:numPr>
                        <w:spacing w:after="80"/>
                        <w:contextualSpacing w:val="0"/>
                        <w:rPr>
                          <w:rFonts w:cs="Calibri"/>
                          <w:sz w:val="21"/>
                          <w:szCs w:val="22"/>
                        </w:rPr>
                      </w:pPr>
                      <w:r w:rsidRPr="00B275A5">
                        <w:rPr>
                          <w:rFonts w:cs="Calibri"/>
                          <w:b/>
                          <w:bCs/>
                          <w:sz w:val="21"/>
                          <w:szCs w:val="21"/>
                        </w:rPr>
                        <w:t>Information</w:t>
                      </w:r>
                      <w:r w:rsidRPr="00B275A5">
                        <w:rPr>
                          <w:rFonts w:cs="Calibri"/>
                          <w:sz w:val="21"/>
                          <w:szCs w:val="21"/>
                        </w:rPr>
                        <w:t xml:space="preserve"> should be provided to decision-makers that is current and evidence-based, and the limitations of available information should be clearly and impartially communicated including the potential for bias, gaps in knowledge or conflicting evidence.</w:t>
                      </w:r>
                    </w:p>
                    <w:p w14:paraId="777EF4B0" w14:textId="77777777" w:rsidR="00B275A5" w:rsidRPr="00B275A5" w:rsidRDefault="00B275A5" w:rsidP="00B275A5">
                      <w:pPr>
                        <w:pStyle w:val="ListParagraph"/>
                        <w:numPr>
                          <w:ilvl w:val="2"/>
                          <w:numId w:val="11"/>
                        </w:numPr>
                        <w:spacing w:after="80"/>
                        <w:contextualSpacing w:val="0"/>
                        <w:rPr>
                          <w:rFonts w:cs="Calibri"/>
                          <w:sz w:val="21"/>
                          <w:szCs w:val="21"/>
                        </w:rPr>
                      </w:pPr>
                      <w:r w:rsidRPr="00B275A5">
                        <w:rPr>
                          <w:rFonts w:cs="Calibri"/>
                          <w:sz w:val="21"/>
                          <w:szCs w:val="21"/>
                        </w:rPr>
                        <w:t>Information provided should be tailored to the preferences and interests of decision-makers and the circumstances of specific decisions.</w:t>
                      </w:r>
                    </w:p>
                    <w:p w14:paraId="5C7DEF9C" w14:textId="77777777" w:rsidR="00B275A5" w:rsidRPr="00B275A5" w:rsidRDefault="00B275A5" w:rsidP="00B275A5">
                      <w:pPr>
                        <w:pStyle w:val="ListParagraph"/>
                        <w:numPr>
                          <w:ilvl w:val="2"/>
                          <w:numId w:val="11"/>
                        </w:numPr>
                        <w:spacing w:after="80"/>
                        <w:contextualSpacing w:val="0"/>
                        <w:rPr>
                          <w:rFonts w:cs="Calibri"/>
                          <w:sz w:val="21"/>
                          <w:szCs w:val="22"/>
                        </w:rPr>
                      </w:pPr>
                      <w:r w:rsidRPr="00B275A5">
                        <w:rPr>
                          <w:rFonts w:cs="Calibri"/>
                          <w:sz w:val="21"/>
                          <w:szCs w:val="21"/>
                        </w:rPr>
                        <w:t>Decision-makers should be routinely provided with information relating to all available options with respect to donation and/or transplantation, including information about alternative treatments for prospective transplant recipients where relevant.</w:t>
                      </w:r>
                    </w:p>
                    <w:p w14:paraId="665E0E42" w14:textId="77777777" w:rsidR="00B275A5" w:rsidRPr="00B275A5" w:rsidRDefault="00B275A5" w:rsidP="00B275A5">
                      <w:pPr>
                        <w:pStyle w:val="ListParagraph"/>
                        <w:numPr>
                          <w:ilvl w:val="1"/>
                          <w:numId w:val="11"/>
                        </w:numPr>
                        <w:spacing w:after="80"/>
                        <w:contextualSpacing w:val="0"/>
                        <w:rPr>
                          <w:rFonts w:cs="Calibri"/>
                          <w:sz w:val="21"/>
                          <w:szCs w:val="22"/>
                        </w:rPr>
                      </w:pPr>
                      <w:r w:rsidRPr="00B275A5">
                        <w:rPr>
                          <w:rFonts w:cs="Calibri"/>
                          <w:sz w:val="21"/>
                          <w:szCs w:val="21"/>
                        </w:rPr>
                        <w:t xml:space="preserve">Decision-making </w:t>
                      </w:r>
                      <w:r w:rsidRPr="00B275A5">
                        <w:rPr>
                          <w:rFonts w:cs="Calibri"/>
                          <w:b/>
                          <w:bCs/>
                          <w:sz w:val="21"/>
                          <w:szCs w:val="21"/>
                        </w:rPr>
                        <w:t>capacity</w:t>
                      </w:r>
                      <w:r w:rsidRPr="00B275A5">
                        <w:rPr>
                          <w:rFonts w:cs="Calibri"/>
                          <w:sz w:val="21"/>
                          <w:szCs w:val="21"/>
                        </w:rPr>
                        <w:t xml:space="preserve"> or competency should be assessed on a case-by-case basis, noting that adults should be presumed to have capacity unless there is evidence to the contrary.</w:t>
                      </w:r>
                    </w:p>
                    <w:p w14:paraId="13789AD2" w14:textId="77777777" w:rsidR="0028232A" w:rsidRPr="00B275A5" w:rsidRDefault="0028232A" w:rsidP="0028232A">
                      <w:pPr>
                        <w:pStyle w:val="ListParagraph"/>
                        <w:numPr>
                          <w:ilvl w:val="1"/>
                          <w:numId w:val="11"/>
                        </w:numPr>
                        <w:spacing w:after="80"/>
                        <w:contextualSpacing w:val="0"/>
                        <w:rPr>
                          <w:rFonts w:cs="Calibri"/>
                          <w:sz w:val="21"/>
                          <w:szCs w:val="21"/>
                        </w:rPr>
                      </w:pPr>
                      <w:r w:rsidRPr="00B275A5">
                        <w:rPr>
                          <w:rFonts w:cs="Calibri"/>
                          <w:b/>
                          <w:bCs/>
                          <w:sz w:val="21"/>
                          <w:szCs w:val="21"/>
                        </w:rPr>
                        <w:t>Voluntariness</w:t>
                      </w:r>
                      <w:r w:rsidRPr="00B275A5">
                        <w:rPr>
                          <w:rFonts w:cs="Calibri"/>
                          <w:sz w:val="21"/>
                          <w:szCs w:val="21"/>
                        </w:rPr>
                        <w:t xml:space="preserve"> in decision-making should be evaluated and supported through use of specific safeguards where necessary, including</w:t>
                      </w:r>
                    </w:p>
                    <w:p w14:paraId="14D81E98" w14:textId="77777777" w:rsidR="0028232A" w:rsidRPr="00B275A5" w:rsidRDefault="0028232A" w:rsidP="0028232A">
                      <w:pPr>
                        <w:pStyle w:val="ListParagraph"/>
                        <w:numPr>
                          <w:ilvl w:val="2"/>
                          <w:numId w:val="11"/>
                        </w:numPr>
                        <w:spacing w:after="80"/>
                        <w:contextualSpacing w:val="0"/>
                        <w:rPr>
                          <w:rFonts w:cs="Calibri"/>
                          <w:sz w:val="21"/>
                          <w:szCs w:val="21"/>
                        </w:rPr>
                      </w:pPr>
                      <w:r w:rsidRPr="00B275A5">
                        <w:rPr>
                          <w:rFonts w:cs="Calibri"/>
                          <w:sz w:val="21"/>
                          <w:szCs w:val="21"/>
                        </w:rPr>
                        <w:t>Psychosocial evaluation of prospective living donors and recipients to identify, assess and address risk factors for coercion or manipulation;</w:t>
                      </w:r>
                    </w:p>
                    <w:p w14:paraId="421A5874" w14:textId="77777777" w:rsidR="0028232A" w:rsidRPr="00B275A5" w:rsidRDefault="0028232A" w:rsidP="0028232A">
                      <w:pPr>
                        <w:pStyle w:val="ListParagraph"/>
                        <w:numPr>
                          <w:ilvl w:val="2"/>
                          <w:numId w:val="11"/>
                        </w:numPr>
                        <w:spacing w:after="80"/>
                        <w:contextualSpacing w:val="0"/>
                        <w:rPr>
                          <w:rFonts w:cs="Calibri"/>
                          <w:sz w:val="21"/>
                          <w:szCs w:val="21"/>
                        </w:rPr>
                      </w:pPr>
                      <w:r w:rsidRPr="00B275A5">
                        <w:rPr>
                          <w:rFonts w:cs="Calibri"/>
                          <w:sz w:val="21"/>
                          <w:szCs w:val="21"/>
                        </w:rPr>
                        <w:t>Use of independent advocates, counselling and other mechanisms to support individuals in communicating their preferences and to assist in management of potential conflicts of interest;</w:t>
                      </w:r>
                    </w:p>
                    <w:p w14:paraId="2DC6A5A9" w14:textId="6F49B419" w:rsidR="00B275A5" w:rsidRPr="0028232A" w:rsidRDefault="0028232A" w:rsidP="0028232A">
                      <w:pPr>
                        <w:pStyle w:val="ListParagraph"/>
                        <w:numPr>
                          <w:ilvl w:val="2"/>
                          <w:numId w:val="11"/>
                        </w:numPr>
                        <w:spacing w:after="80"/>
                        <w:contextualSpacing w:val="0"/>
                        <w:rPr>
                          <w:rFonts w:cs="Calibri"/>
                          <w:sz w:val="21"/>
                          <w:szCs w:val="21"/>
                        </w:rPr>
                      </w:pPr>
                      <w:r w:rsidRPr="00B275A5">
                        <w:rPr>
                          <w:rFonts w:cs="Calibri"/>
                          <w:sz w:val="21"/>
                          <w:szCs w:val="21"/>
                        </w:rPr>
                        <w:t xml:space="preserve">Where relevant and possible, </w:t>
                      </w:r>
                      <w:r w:rsidRPr="00B275A5">
                        <w:rPr>
                          <w:rFonts w:cs="Calibri"/>
                          <w:sz w:val="20"/>
                          <w:szCs w:val="20"/>
                        </w:rPr>
                        <w:t xml:space="preserve">mandated time periods </w:t>
                      </w:r>
                      <w:r w:rsidRPr="00B275A5">
                        <w:rPr>
                          <w:rFonts w:cs="Calibri"/>
                          <w:sz w:val="21"/>
                          <w:szCs w:val="21"/>
                        </w:rPr>
                        <w:t>required for prospective living donors to reflect on decisions before confirming consent and proceeding with donation.</w:t>
                      </w:r>
                    </w:p>
                  </w:txbxContent>
                </v:textbox>
                <w10:wrap type="square"/>
              </v:shape>
            </w:pict>
          </mc:Fallback>
        </mc:AlternateContent>
      </w:r>
    </w:p>
    <w:p w14:paraId="3283B81B" w14:textId="6847E63D" w:rsidR="00B275A5" w:rsidRPr="006720E4" w:rsidRDefault="00B275A5" w:rsidP="00EA22AE">
      <w:pPr>
        <w:tabs>
          <w:tab w:val="left" w:pos="1220"/>
        </w:tabs>
        <w:spacing w:after="120"/>
        <w:rPr>
          <w:rFonts w:ascii="Calibri" w:hAnsi="Calibri" w:cs="Calibri"/>
          <w:sz w:val="22"/>
          <w:szCs w:val="22"/>
        </w:rPr>
      </w:pPr>
      <w:r>
        <w:rPr>
          <w:noProof/>
        </w:rPr>
        <w:lastRenderedPageBreak/>
        <mc:AlternateContent>
          <mc:Choice Requires="wps">
            <w:drawing>
              <wp:anchor distT="0" distB="0" distL="114300" distR="114300" simplePos="0" relativeHeight="251658241" behindDoc="0" locked="0" layoutInCell="1" allowOverlap="1" wp14:anchorId="2B2956C8" wp14:editId="15295B0E">
                <wp:simplePos x="0" y="0"/>
                <wp:positionH relativeFrom="column">
                  <wp:posOffset>0</wp:posOffset>
                </wp:positionH>
                <wp:positionV relativeFrom="paragraph">
                  <wp:posOffset>84196</wp:posOffset>
                </wp:positionV>
                <wp:extent cx="1828800" cy="1828800"/>
                <wp:effectExtent l="12700" t="12700" r="19050" b="9525"/>
                <wp:wrapSquare wrapText="bothSides"/>
                <wp:docPr id="1187147007" name="Text Box 1187147007" descr="P1181TB2#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5DA956C3" w14:textId="77777777" w:rsidR="0028232A" w:rsidRPr="00B275A5" w:rsidRDefault="0028232A" w:rsidP="0028232A">
                            <w:pPr>
                              <w:pStyle w:val="ListParagraph"/>
                              <w:numPr>
                                <w:ilvl w:val="2"/>
                                <w:numId w:val="11"/>
                              </w:numPr>
                              <w:spacing w:after="80"/>
                              <w:contextualSpacing w:val="0"/>
                              <w:rPr>
                                <w:rFonts w:cs="Calibri"/>
                                <w:sz w:val="21"/>
                                <w:szCs w:val="22"/>
                              </w:rPr>
                            </w:pPr>
                            <w:r w:rsidRPr="00B275A5">
                              <w:rPr>
                                <w:rFonts w:cs="Calibri"/>
                                <w:sz w:val="21"/>
                                <w:szCs w:val="21"/>
                              </w:rPr>
                              <w:t xml:space="preserve">Potential exclusion of prospective living directed donors with regards to whom the intended recipient or related parties may be in a position of relative power or significant social, economic or spiritual </w:t>
                            </w:r>
                            <w:r w:rsidRPr="00B275A5">
                              <w:rPr>
                                <w:rFonts w:cs="Calibri"/>
                                <w:sz w:val="20"/>
                                <w:szCs w:val="20"/>
                              </w:rPr>
                              <w:t>influence</w:t>
                            </w:r>
                            <w:r w:rsidRPr="00B275A5">
                              <w:rPr>
                                <w:rFonts w:cs="Calibri"/>
                                <w:sz w:val="21"/>
                                <w:szCs w:val="21"/>
                              </w:rPr>
                              <w:t xml:space="preserve">. </w:t>
                            </w:r>
                          </w:p>
                          <w:p w14:paraId="6159F13B" w14:textId="77777777" w:rsidR="0028232A" w:rsidRPr="00B275A5" w:rsidRDefault="0028232A" w:rsidP="0028232A">
                            <w:pPr>
                              <w:pStyle w:val="ListParagraph"/>
                              <w:numPr>
                                <w:ilvl w:val="0"/>
                                <w:numId w:val="11"/>
                              </w:numPr>
                              <w:spacing w:after="80"/>
                              <w:contextualSpacing w:val="0"/>
                              <w:rPr>
                                <w:rFonts w:cs="Calibri"/>
                                <w:sz w:val="21"/>
                                <w:szCs w:val="22"/>
                              </w:rPr>
                            </w:pPr>
                            <w:r w:rsidRPr="00B275A5">
                              <w:rPr>
                                <w:rFonts w:cs="Calibri"/>
                                <w:sz w:val="21"/>
                                <w:szCs w:val="21"/>
                              </w:rPr>
                              <w:t>Individuals have the right to withdraw consent for donation or transplantation when this is clinically feasible prior to the removal or transplantation of donor cells, tissues, or organs.</w:t>
                            </w:r>
                          </w:p>
                          <w:p w14:paraId="52885640" w14:textId="77777777" w:rsidR="0028232A" w:rsidRPr="00B275A5" w:rsidRDefault="0028232A" w:rsidP="0028232A">
                            <w:pPr>
                              <w:pStyle w:val="ListParagraph"/>
                              <w:numPr>
                                <w:ilvl w:val="1"/>
                                <w:numId w:val="11"/>
                              </w:numPr>
                              <w:spacing w:after="80"/>
                              <w:contextualSpacing w:val="0"/>
                              <w:rPr>
                                <w:rFonts w:cs="Calibri"/>
                                <w:sz w:val="21"/>
                                <w:szCs w:val="22"/>
                              </w:rPr>
                            </w:pPr>
                            <w:r w:rsidRPr="00B275A5">
                              <w:rPr>
                                <w:rFonts w:cs="Calibri"/>
                                <w:sz w:val="21"/>
                                <w:szCs w:val="21"/>
                              </w:rPr>
                              <w:t>Information about the consequences of withdrawal of consent should be provided at the time of initial consent and reiterated during subsequent decision-making.</w:t>
                            </w:r>
                          </w:p>
                          <w:p w14:paraId="5361ABB7" w14:textId="77777777" w:rsidR="0028232A" w:rsidRPr="002A6B19" w:rsidRDefault="0028232A" w:rsidP="0028232A">
                            <w:pPr>
                              <w:pStyle w:val="ListParagraph"/>
                              <w:numPr>
                                <w:ilvl w:val="0"/>
                                <w:numId w:val="11"/>
                              </w:numPr>
                              <w:spacing w:after="80"/>
                              <w:rPr>
                                <w:rFonts w:cs="Calibri"/>
                                <w:sz w:val="21"/>
                                <w:szCs w:val="21"/>
                              </w:rPr>
                            </w:pPr>
                            <w:r w:rsidRPr="00B275A5">
                              <w:rPr>
                                <w:rFonts w:cs="Calibri"/>
                                <w:sz w:val="21"/>
                                <w:szCs w:val="21"/>
                              </w:rPr>
                              <w:t>Donation and transplantation decisions should be separated, where possible, from decision-making about participation in research.</w:t>
                            </w:r>
                          </w:p>
                          <w:p w14:paraId="3C162303" w14:textId="77777777" w:rsidR="00B275A5" w:rsidRPr="00B275A5" w:rsidRDefault="00B275A5" w:rsidP="00B275A5">
                            <w:pPr>
                              <w:pStyle w:val="ListParagraph"/>
                              <w:numPr>
                                <w:ilvl w:val="0"/>
                                <w:numId w:val="11"/>
                              </w:numPr>
                              <w:spacing w:after="80"/>
                              <w:contextualSpacing w:val="0"/>
                              <w:rPr>
                                <w:rFonts w:cs="Calibri"/>
                                <w:sz w:val="21"/>
                                <w:szCs w:val="21"/>
                              </w:rPr>
                            </w:pPr>
                            <w:r w:rsidRPr="00B275A5">
                              <w:rPr>
                                <w:rFonts w:cs="Calibri"/>
                                <w:sz w:val="21"/>
                                <w:szCs w:val="21"/>
                              </w:rPr>
                              <w:t>Health professionals should address potential barriers to decision-making and any factors that may undermine the quality of decision-making.</w:t>
                            </w:r>
                          </w:p>
                          <w:p w14:paraId="384A0774" w14:textId="77777777"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A collaborative and person-centred approach to shared-decision-making should be used.</w:t>
                            </w:r>
                          </w:p>
                          <w:p w14:paraId="0B0CAD0F" w14:textId="41BA084C"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Decision-aids should be used where helpful in supporting decision-making by individuals and health professionals</w:t>
                            </w:r>
                            <w:r>
                              <w:rPr>
                                <w:rFonts w:cs="Calibri"/>
                                <w:sz w:val="21"/>
                                <w:szCs w:val="21"/>
                              </w:rPr>
                              <w:t>.</w:t>
                            </w:r>
                          </w:p>
                          <w:p w14:paraId="0057C99B" w14:textId="77777777"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Interpreters should routinely be used by health professionals where necessary to ensure they can communicate effectively with patients and their families.</w:t>
                            </w:r>
                          </w:p>
                          <w:p w14:paraId="42DDF8C7" w14:textId="77777777"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A supported decision-making approach is recommended for adults who may have a cognitive impairment affecting their decision-making but who may still be able to make a decision or express a preference with sufficient support.</w:t>
                            </w:r>
                          </w:p>
                          <w:p w14:paraId="589DD058" w14:textId="49F384EE"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Multistep consent processes should be used when appropriate to facilitate complex decision-making, e.g., regarding acceptance of organ transplant offers from ex</w:t>
                            </w:r>
                            <w:r w:rsidR="00D84BE9">
                              <w:rPr>
                                <w:rFonts w:cs="Calibri"/>
                                <w:sz w:val="21"/>
                                <w:szCs w:val="21"/>
                              </w:rPr>
                              <w:t>tende</w:t>
                            </w:r>
                            <w:r w:rsidRPr="00B275A5">
                              <w:rPr>
                                <w:rFonts w:cs="Calibri"/>
                                <w:sz w:val="21"/>
                                <w:szCs w:val="21"/>
                              </w:rPr>
                              <w:t>d criteria donors.</w:t>
                            </w:r>
                          </w:p>
                          <w:p w14:paraId="394EB755" w14:textId="77777777"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Health professionals and policy makers should support impartiality in decision-making about donation and transplantation through:</w:t>
                            </w:r>
                          </w:p>
                          <w:p w14:paraId="1BDBF8EB" w14:textId="77777777" w:rsidR="00B275A5" w:rsidRPr="00B275A5" w:rsidRDefault="00B275A5" w:rsidP="00B275A5">
                            <w:pPr>
                              <w:pStyle w:val="ListParagraph"/>
                              <w:numPr>
                                <w:ilvl w:val="2"/>
                                <w:numId w:val="11"/>
                              </w:numPr>
                              <w:spacing w:after="80"/>
                              <w:contextualSpacing w:val="0"/>
                              <w:rPr>
                                <w:rFonts w:cs="Calibri"/>
                                <w:sz w:val="21"/>
                                <w:szCs w:val="21"/>
                              </w:rPr>
                            </w:pPr>
                            <w:r w:rsidRPr="00B275A5">
                              <w:rPr>
                                <w:rFonts w:cs="Calibri"/>
                                <w:sz w:val="21"/>
                                <w:szCs w:val="21"/>
                              </w:rPr>
                              <w:t>Routine and consistent implementation of up-to-date, evidence-based guidelines for evaluation of prospective transplant recipients and potential living or deceased donors.</w:t>
                            </w:r>
                          </w:p>
                          <w:p w14:paraId="60E91C52" w14:textId="77777777" w:rsidR="00B275A5" w:rsidRPr="00B275A5" w:rsidRDefault="00B275A5" w:rsidP="00B275A5">
                            <w:pPr>
                              <w:pStyle w:val="ListParagraph"/>
                              <w:numPr>
                                <w:ilvl w:val="2"/>
                                <w:numId w:val="11"/>
                              </w:numPr>
                              <w:spacing w:after="80"/>
                              <w:contextualSpacing w:val="0"/>
                              <w:rPr>
                                <w:rFonts w:cs="Calibri"/>
                                <w:sz w:val="21"/>
                                <w:szCs w:val="21"/>
                              </w:rPr>
                            </w:pPr>
                            <w:r w:rsidRPr="00B275A5">
                              <w:rPr>
                                <w:rFonts w:cs="Calibri"/>
                                <w:sz w:val="21"/>
                                <w:szCs w:val="21"/>
                              </w:rPr>
                              <w:t>Strategies to prevent and manage any potential conflicts of interest that may influence decision-making.</w:t>
                            </w:r>
                          </w:p>
                          <w:p w14:paraId="69F06488" w14:textId="77777777" w:rsidR="00B275A5" w:rsidRDefault="00B275A5" w:rsidP="00B275A5">
                            <w:pPr>
                              <w:pStyle w:val="ListParagraph"/>
                              <w:numPr>
                                <w:ilvl w:val="2"/>
                                <w:numId w:val="11"/>
                              </w:numPr>
                              <w:spacing w:after="80"/>
                              <w:rPr>
                                <w:rFonts w:cs="Calibri"/>
                                <w:sz w:val="21"/>
                                <w:szCs w:val="21"/>
                              </w:rPr>
                            </w:pPr>
                            <w:r w:rsidRPr="00B275A5">
                              <w:rPr>
                                <w:rFonts w:cs="Calibri"/>
                                <w:sz w:val="21"/>
                                <w:szCs w:val="21"/>
                              </w:rPr>
                              <w:t>Routine provision of information to patients and substitute decision-makers on how to access independent professional sources of information and advice.</w:t>
                            </w:r>
                          </w:p>
                          <w:p w14:paraId="3DC6F390" w14:textId="7DB5AEB3" w:rsidR="000C15D6" w:rsidRPr="000C15D6" w:rsidRDefault="000C15D6" w:rsidP="000C15D6">
                            <w:pPr>
                              <w:pStyle w:val="ListParagraph"/>
                              <w:numPr>
                                <w:ilvl w:val="0"/>
                                <w:numId w:val="11"/>
                              </w:numPr>
                              <w:spacing w:after="80"/>
                              <w:contextualSpacing w:val="0"/>
                              <w:rPr>
                                <w:rFonts w:cs="Calibri"/>
                                <w:szCs w:val="22"/>
                              </w:rPr>
                            </w:pPr>
                            <w:r w:rsidRPr="006720E4">
                              <w:rPr>
                                <w:rFonts w:cs="Calibri"/>
                                <w:szCs w:val="22"/>
                              </w:rPr>
                              <w:t xml:space="preserve">Custodians of donated cells, tissues or organs should strive to respect the values and preferences of donors or their substitute decision-makers with regards </w:t>
                            </w:r>
                            <w:r w:rsidRPr="006720E4">
                              <w:rPr>
                                <w:rFonts w:cs="Calibri"/>
                                <w:sz w:val="21"/>
                                <w:szCs w:val="21"/>
                              </w:rPr>
                              <w:t xml:space="preserve">to </w:t>
                            </w:r>
                            <w:r w:rsidRPr="006720E4">
                              <w:rPr>
                                <w:rFonts w:cs="Calibri"/>
                                <w:szCs w:val="22"/>
                              </w:rPr>
                              <w:t>the use, treatment or disposition of donations where these values and preferences were expressed and approved as part of the consent process, and/or where preferences may be reasonably presumed.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2956C8" id="Text Box 1187147007" o:spid="_x0000_s1027" type="#_x0000_t202" alt="P1181TB2#y1" style="position:absolute;margin-left:0;margin-top:6.65pt;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" filled="f" strokecolor="black [3213]" strokeweight="1.5pt">
                <v:textbox style="mso-fit-shape-to-text:t">
                  <w:txbxContent>
                    <w:p w14:paraId="5DA956C3" w14:textId="77777777" w:rsidR="0028232A" w:rsidRPr="00B275A5" w:rsidRDefault="0028232A" w:rsidP="0028232A">
                      <w:pPr>
                        <w:pStyle w:val="ListParagraph"/>
                        <w:numPr>
                          <w:ilvl w:val="2"/>
                          <w:numId w:val="11"/>
                        </w:numPr>
                        <w:spacing w:after="80"/>
                        <w:contextualSpacing w:val="0"/>
                        <w:rPr>
                          <w:rFonts w:cs="Calibri"/>
                          <w:sz w:val="21"/>
                          <w:szCs w:val="22"/>
                        </w:rPr>
                      </w:pPr>
                      <w:r w:rsidRPr="00B275A5">
                        <w:rPr>
                          <w:rFonts w:cs="Calibri"/>
                          <w:sz w:val="21"/>
                          <w:szCs w:val="21"/>
                        </w:rPr>
                        <w:t xml:space="preserve">Potential exclusion of prospective living directed donors with regards to whom the intended recipient or related parties may be in a position of relative power or significant social, economic or spiritual </w:t>
                      </w:r>
                      <w:r w:rsidRPr="00B275A5">
                        <w:rPr>
                          <w:rFonts w:cs="Calibri"/>
                          <w:sz w:val="20"/>
                          <w:szCs w:val="20"/>
                        </w:rPr>
                        <w:t>influence</w:t>
                      </w:r>
                      <w:r w:rsidRPr="00B275A5">
                        <w:rPr>
                          <w:rFonts w:cs="Calibri"/>
                          <w:sz w:val="21"/>
                          <w:szCs w:val="21"/>
                        </w:rPr>
                        <w:t xml:space="preserve">. </w:t>
                      </w:r>
                    </w:p>
                    <w:p w14:paraId="6159F13B" w14:textId="77777777" w:rsidR="0028232A" w:rsidRPr="00B275A5" w:rsidRDefault="0028232A" w:rsidP="0028232A">
                      <w:pPr>
                        <w:pStyle w:val="ListParagraph"/>
                        <w:numPr>
                          <w:ilvl w:val="0"/>
                          <w:numId w:val="11"/>
                        </w:numPr>
                        <w:spacing w:after="80"/>
                        <w:contextualSpacing w:val="0"/>
                        <w:rPr>
                          <w:rFonts w:cs="Calibri"/>
                          <w:sz w:val="21"/>
                          <w:szCs w:val="22"/>
                        </w:rPr>
                      </w:pPr>
                      <w:r w:rsidRPr="00B275A5">
                        <w:rPr>
                          <w:rFonts w:cs="Calibri"/>
                          <w:sz w:val="21"/>
                          <w:szCs w:val="21"/>
                        </w:rPr>
                        <w:t>Individuals have the right to withdraw consent for donation or transplantation when this is clinically feasible prior to the removal or transplantation of donor cells, tissues, or organs.</w:t>
                      </w:r>
                    </w:p>
                    <w:p w14:paraId="52885640" w14:textId="77777777" w:rsidR="0028232A" w:rsidRPr="00B275A5" w:rsidRDefault="0028232A" w:rsidP="0028232A">
                      <w:pPr>
                        <w:pStyle w:val="ListParagraph"/>
                        <w:numPr>
                          <w:ilvl w:val="1"/>
                          <w:numId w:val="11"/>
                        </w:numPr>
                        <w:spacing w:after="80"/>
                        <w:contextualSpacing w:val="0"/>
                        <w:rPr>
                          <w:rFonts w:cs="Calibri"/>
                          <w:sz w:val="21"/>
                          <w:szCs w:val="22"/>
                        </w:rPr>
                      </w:pPr>
                      <w:r w:rsidRPr="00B275A5">
                        <w:rPr>
                          <w:rFonts w:cs="Calibri"/>
                          <w:sz w:val="21"/>
                          <w:szCs w:val="21"/>
                        </w:rPr>
                        <w:t>Information about the consequences of withdrawal of consent should be provided at the time of initial consent and reiterated during subsequent decision-making.</w:t>
                      </w:r>
                    </w:p>
                    <w:p w14:paraId="5361ABB7" w14:textId="77777777" w:rsidR="0028232A" w:rsidRPr="002A6B19" w:rsidRDefault="0028232A" w:rsidP="0028232A">
                      <w:pPr>
                        <w:pStyle w:val="ListParagraph"/>
                        <w:numPr>
                          <w:ilvl w:val="0"/>
                          <w:numId w:val="11"/>
                        </w:numPr>
                        <w:spacing w:after="80"/>
                        <w:rPr>
                          <w:rFonts w:cs="Calibri"/>
                          <w:sz w:val="21"/>
                          <w:szCs w:val="21"/>
                        </w:rPr>
                      </w:pPr>
                      <w:r w:rsidRPr="00B275A5">
                        <w:rPr>
                          <w:rFonts w:cs="Calibri"/>
                          <w:sz w:val="21"/>
                          <w:szCs w:val="21"/>
                        </w:rPr>
                        <w:t>Donation and transplantation decisions should be separated, where possible, from decision-making about participation in research.</w:t>
                      </w:r>
                    </w:p>
                    <w:p w14:paraId="3C162303" w14:textId="77777777" w:rsidR="00B275A5" w:rsidRPr="00B275A5" w:rsidRDefault="00B275A5" w:rsidP="00B275A5">
                      <w:pPr>
                        <w:pStyle w:val="ListParagraph"/>
                        <w:numPr>
                          <w:ilvl w:val="0"/>
                          <w:numId w:val="11"/>
                        </w:numPr>
                        <w:spacing w:after="80"/>
                        <w:contextualSpacing w:val="0"/>
                        <w:rPr>
                          <w:rFonts w:cs="Calibri"/>
                          <w:sz w:val="21"/>
                          <w:szCs w:val="21"/>
                        </w:rPr>
                      </w:pPr>
                      <w:r w:rsidRPr="00B275A5">
                        <w:rPr>
                          <w:rFonts w:cs="Calibri"/>
                          <w:sz w:val="21"/>
                          <w:szCs w:val="21"/>
                        </w:rPr>
                        <w:t>Health professionals should address potential barriers to decision-making and any factors that may undermine the quality of decision-making.</w:t>
                      </w:r>
                    </w:p>
                    <w:p w14:paraId="384A0774" w14:textId="77777777"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A collaborative and person-centred approach to shared-decision-making should be used.</w:t>
                      </w:r>
                    </w:p>
                    <w:p w14:paraId="0B0CAD0F" w14:textId="41BA084C"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Decision-aids should be used where helpful in supporting decision-making by individuals and health professionals</w:t>
                      </w:r>
                      <w:r>
                        <w:rPr>
                          <w:rFonts w:cs="Calibri"/>
                          <w:sz w:val="21"/>
                          <w:szCs w:val="21"/>
                        </w:rPr>
                        <w:t>.</w:t>
                      </w:r>
                    </w:p>
                    <w:p w14:paraId="0057C99B" w14:textId="77777777"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Interpreters should routinely be used by health professionals where necessary to ensure they can communicate effectively with patients and their families.</w:t>
                      </w:r>
                    </w:p>
                    <w:p w14:paraId="42DDF8C7" w14:textId="77777777"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A supported decision-making approach is recommended for adults who may have a cognitive impairment affecting their decision-making but who may still be able to make a decision or express a preference with sufficient support.</w:t>
                      </w:r>
                    </w:p>
                    <w:p w14:paraId="589DD058" w14:textId="49F384EE"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Multistep consent processes should be used when appropriate to facilitate complex decision-making, e.g., regarding acceptance of organ transplant offers from ex</w:t>
                      </w:r>
                      <w:r w:rsidR="00D84BE9">
                        <w:rPr>
                          <w:rFonts w:cs="Calibri"/>
                          <w:sz w:val="21"/>
                          <w:szCs w:val="21"/>
                        </w:rPr>
                        <w:t>tende</w:t>
                      </w:r>
                      <w:r w:rsidRPr="00B275A5">
                        <w:rPr>
                          <w:rFonts w:cs="Calibri"/>
                          <w:sz w:val="21"/>
                          <w:szCs w:val="21"/>
                        </w:rPr>
                        <w:t>d criteria donors.</w:t>
                      </w:r>
                    </w:p>
                    <w:p w14:paraId="394EB755" w14:textId="77777777" w:rsidR="00B275A5" w:rsidRPr="00B275A5" w:rsidRDefault="00B275A5" w:rsidP="00B275A5">
                      <w:pPr>
                        <w:pStyle w:val="ListParagraph"/>
                        <w:numPr>
                          <w:ilvl w:val="1"/>
                          <w:numId w:val="11"/>
                        </w:numPr>
                        <w:spacing w:after="80"/>
                        <w:contextualSpacing w:val="0"/>
                        <w:rPr>
                          <w:rFonts w:cs="Calibri"/>
                          <w:sz w:val="21"/>
                          <w:szCs w:val="21"/>
                        </w:rPr>
                      </w:pPr>
                      <w:r w:rsidRPr="00B275A5">
                        <w:rPr>
                          <w:rFonts w:cs="Calibri"/>
                          <w:sz w:val="21"/>
                          <w:szCs w:val="21"/>
                        </w:rPr>
                        <w:t>Health professionals and policy makers should support impartiality in decision-making about donation and transplantation through:</w:t>
                      </w:r>
                    </w:p>
                    <w:p w14:paraId="1BDBF8EB" w14:textId="77777777" w:rsidR="00B275A5" w:rsidRPr="00B275A5" w:rsidRDefault="00B275A5" w:rsidP="00B275A5">
                      <w:pPr>
                        <w:pStyle w:val="ListParagraph"/>
                        <w:numPr>
                          <w:ilvl w:val="2"/>
                          <w:numId w:val="11"/>
                        </w:numPr>
                        <w:spacing w:after="80"/>
                        <w:contextualSpacing w:val="0"/>
                        <w:rPr>
                          <w:rFonts w:cs="Calibri"/>
                          <w:sz w:val="21"/>
                          <w:szCs w:val="21"/>
                        </w:rPr>
                      </w:pPr>
                      <w:r w:rsidRPr="00B275A5">
                        <w:rPr>
                          <w:rFonts w:cs="Calibri"/>
                          <w:sz w:val="21"/>
                          <w:szCs w:val="21"/>
                        </w:rPr>
                        <w:t>Routine and consistent implementation of up-to-date, evidence-based guidelines for evaluation of prospective transplant recipients and potential living or deceased donors.</w:t>
                      </w:r>
                    </w:p>
                    <w:p w14:paraId="60E91C52" w14:textId="77777777" w:rsidR="00B275A5" w:rsidRPr="00B275A5" w:rsidRDefault="00B275A5" w:rsidP="00B275A5">
                      <w:pPr>
                        <w:pStyle w:val="ListParagraph"/>
                        <w:numPr>
                          <w:ilvl w:val="2"/>
                          <w:numId w:val="11"/>
                        </w:numPr>
                        <w:spacing w:after="80"/>
                        <w:contextualSpacing w:val="0"/>
                        <w:rPr>
                          <w:rFonts w:cs="Calibri"/>
                          <w:sz w:val="21"/>
                          <w:szCs w:val="21"/>
                        </w:rPr>
                      </w:pPr>
                      <w:r w:rsidRPr="00B275A5">
                        <w:rPr>
                          <w:rFonts w:cs="Calibri"/>
                          <w:sz w:val="21"/>
                          <w:szCs w:val="21"/>
                        </w:rPr>
                        <w:t>Strategies to prevent and manage any potential conflicts of interest that may influence decision-making.</w:t>
                      </w:r>
                    </w:p>
                    <w:p w14:paraId="69F06488" w14:textId="77777777" w:rsidR="00B275A5" w:rsidRDefault="00B275A5" w:rsidP="00B275A5">
                      <w:pPr>
                        <w:pStyle w:val="ListParagraph"/>
                        <w:numPr>
                          <w:ilvl w:val="2"/>
                          <w:numId w:val="11"/>
                        </w:numPr>
                        <w:spacing w:after="80"/>
                        <w:rPr>
                          <w:rFonts w:cs="Calibri"/>
                          <w:sz w:val="21"/>
                          <w:szCs w:val="21"/>
                        </w:rPr>
                      </w:pPr>
                      <w:r w:rsidRPr="00B275A5">
                        <w:rPr>
                          <w:rFonts w:cs="Calibri"/>
                          <w:sz w:val="21"/>
                          <w:szCs w:val="21"/>
                        </w:rPr>
                        <w:t>Routine provision of information to patients and substitute decision-makers on how to access independent professional sources of information and advice.</w:t>
                      </w:r>
                    </w:p>
                    <w:p w14:paraId="3DC6F390" w14:textId="7DB5AEB3" w:rsidR="000C15D6" w:rsidRPr="000C15D6" w:rsidRDefault="000C15D6" w:rsidP="000C15D6">
                      <w:pPr>
                        <w:pStyle w:val="ListParagraph"/>
                        <w:numPr>
                          <w:ilvl w:val="0"/>
                          <w:numId w:val="11"/>
                        </w:numPr>
                        <w:spacing w:after="80"/>
                        <w:contextualSpacing w:val="0"/>
                        <w:rPr>
                          <w:rFonts w:cs="Calibri"/>
                          <w:szCs w:val="22"/>
                        </w:rPr>
                      </w:pPr>
                      <w:r w:rsidRPr="006720E4">
                        <w:rPr>
                          <w:rFonts w:cs="Calibri"/>
                          <w:szCs w:val="22"/>
                        </w:rPr>
                        <w:t xml:space="preserve">Custodians of donated cells, tissues or organs should strive to respect the values and preferences of donors or their substitute decision-makers with regards </w:t>
                      </w:r>
                      <w:r w:rsidRPr="006720E4">
                        <w:rPr>
                          <w:rFonts w:cs="Calibri"/>
                          <w:sz w:val="21"/>
                          <w:szCs w:val="21"/>
                        </w:rPr>
                        <w:t xml:space="preserve">to </w:t>
                      </w:r>
                      <w:r w:rsidRPr="006720E4">
                        <w:rPr>
                          <w:rFonts w:cs="Calibri"/>
                          <w:szCs w:val="22"/>
                        </w:rPr>
                        <w:t>the use, treatment or disposition of donations where these values and preferences were expressed and approved as part of the consent process, and/or where preferences may be reasonably presumed.</w:t>
                      </w:r>
                    </w:p>
                  </w:txbxContent>
                </v:textbox>
                <w10:wrap type="square"/>
              </v:shape>
            </w:pict>
          </mc:Fallback>
        </mc:AlternateContent>
      </w:r>
    </w:p>
    <w:p w14:paraId="194F41D4" w14:textId="77777777" w:rsidR="006C6EBA" w:rsidRPr="006720E4" w:rsidRDefault="006C6EBA" w:rsidP="00EA22AE">
      <w:pPr>
        <w:pStyle w:val="Heading2"/>
        <w:spacing w:after="120"/>
      </w:pPr>
      <w:bookmarkStart w:id="1353" w:name="_Consent_for_transplantation"/>
      <w:bookmarkStart w:id="1354" w:name="_Toc82773527"/>
      <w:bookmarkStart w:id="1355" w:name="_Toc82773880"/>
      <w:bookmarkStart w:id="1356" w:name="_Toc128314198"/>
      <w:bookmarkStart w:id="1357" w:name="_Toc135131442"/>
      <w:bookmarkStart w:id="1358" w:name="_Toc73129821"/>
      <w:bookmarkStart w:id="1359" w:name="_Toc73301690"/>
      <w:bookmarkStart w:id="1360" w:name="_Toc73302196"/>
      <w:bookmarkStart w:id="1361" w:name="_Toc73303329"/>
      <w:bookmarkStart w:id="1362" w:name="_Toc73303574"/>
      <w:bookmarkStart w:id="1363" w:name="_Toc74080691"/>
      <w:bookmarkStart w:id="1364" w:name="_Toc74080999"/>
      <w:bookmarkStart w:id="1365" w:name="_Toc74081229"/>
      <w:bookmarkStart w:id="1366" w:name="_Toc74081474"/>
      <w:bookmarkStart w:id="1367" w:name="_Toc74171060"/>
      <w:bookmarkStart w:id="1368" w:name="_Toc74172251"/>
      <w:bookmarkStart w:id="1369" w:name="_Toc74172787"/>
      <w:bookmarkStart w:id="1370" w:name="_Toc74238734"/>
      <w:bookmarkStart w:id="1371" w:name="_Toc78304762"/>
      <w:bookmarkStart w:id="1372" w:name="_Toc79330849"/>
      <w:bookmarkStart w:id="1373" w:name="_Toc79331229"/>
      <w:bookmarkStart w:id="1374" w:name="_Toc79406348"/>
      <w:bookmarkEnd w:id="1353"/>
      <w:r w:rsidRPr="006720E4">
        <w:t>Consent for transplantation</w:t>
      </w:r>
      <w:bookmarkEnd w:id="1354"/>
      <w:bookmarkEnd w:id="1355"/>
      <w:bookmarkEnd w:id="1356"/>
      <w:bookmarkEnd w:id="1357"/>
    </w:p>
    <w:bookmarkEnd w:id="1342"/>
    <w:bookmarkEnd w:id="1343"/>
    <w:bookmarkEnd w:id="1344"/>
    <w:bookmarkEnd w:id="1345"/>
    <w:bookmarkEnd w:id="1346"/>
    <w:bookmarkEnd w:id="1347"/>
    <w:bookmarkEnd w:id="1348"/>
    <w:bookmarkEnd w:id="1349"/>
    <w:bookmarkEnd w:id="1350"/>
    <w:bookmarkEnd w:id="1351"/>
    <w:bookmarkEnd w:id="1352"/>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14:paraId="109D1F63" w14:textId="6D6309E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general considerations in consent outlined in </w:t>
      </w:r>
      <w:hyperlink w:anchor="_General_considerations_in" w:history="1">
        <w:r w:rsidRPr="006720E4">
          <w:rPr>
            <w:rStyle w:val="Hyperlink"/>
            <w:rFonts w:ascii="Calibri" w:hAnsi="Calibri" w:cs="Calibri"/>
            <w:sz w:val="22"/>
            <w:szCs w:val="22"/>
          </w:rPr>
          <w:t xml:space="preserve">Chapter </w:t>
        </w:r>
        <w:r w:rsidR="002A0795" w:rsidRPr="006720E4">
          <w:rPr>
            <w:rStyle w:val="Hyperlink"/>
            <w:rFonts w:ascii="Calibri" w:hAnsi="Calibri" w:cs="Calibri"/>
            <w:sz w:val="22"/>
            <w:szCs w:val="22"/>
          </w:rPr>
          <w:t>4</w:t>
        </w:r>
        <w:r w:rsidRPr="006720E4">
          <w:rPr>
            <w:rStyle w:val="Hyperlink"/>
            <w:rFonts w:ascii="Calibri" w:hAnsi="Calibri" w:cs="Calibri"/>
            <w:sz w:val="22"/>
            <w:szCs w:val="22"/>
          </w:rPr>
          <w:t>.1</w:t>
        </w:r>
      </w:hyperlink>
      <w:r w:rsidRPr="006720E4">
        <w:rPr>
          <w:rFonts w:ascii="Calibri" w:hAnsi="Calibri" w:cs="Calibri"/>
          <w:sz w:val="22"/>
          <w:szCs w:val="22"/>
        </w:rPr>
        <w:t xml:space="preserve"> should all be applied during the process of decision-making about transplantation by potential transplant recipients and/or their substitute decision-maker (as </w:t>
      </w:r>
      <w:r w:rsidRPr="00B1753F">
        <w:rPr>
          <w:rFonts w:ascii="Calibri" w:hAnsi="Calibri" w:cs="Calibri"/>
          <w:sz w:val="22"/>
          <w:szCs w:val="22"/>
        </w:rPr>
        <w:t xml:space="preserve">discussed in </w:t>
      </w:r>
      <w:hyperlink w:anchor="_Transplantation_of_children" w:history="1">
        <w:r w:rsidRPr="00B1753F">
          <w:rPr>
            <w:rStyle w:val="Hyperlink"/>
            <w:rFonts w:ascii="Calibri" w:hAnsi="Calibri" w:cs="Calibri"/>
            <w:sz w:val="22"/>
            <w:szCs w:val="22"/>
          </w:rPr>
          <w:t xml:space="preserve">Chapter </w:t>
        </w:r>
        <w:r w:rsidR="002A0795" w:rsidRPr="00B1753F">
          <w:rPr>
            <w:rStyle w:val="Hyperlink"/>
            <w:rFonts w:ascii="Calibri" w:hAnsi="Calibri" w:cs="Calibri"/>
            <w:sz w:val="22"/>
            <w:szCs w:val="22"/>
          </w:rPr>
          <w:t>5</w:t>
        </w:r>
        <w:r w:rsidRPr="00B1753F">
          <w:rPr>
            <w:rStyle w:val="Hyperlink"/>
            <w:rFonts w:ascii="Calibri" w:hAnsi="Calibri" w:cs="Calibri"/>
            <w:sz w:val="22"/>
            <w:szCs w:val="22"/>
          </w:rPr>
          <w:t>.4</w:t>
        </w:r>
      </w:hyperlink>
      <w:r w:rsidRPr="00B1753F">
        <w:rPr>
          <w:rFonts w:ascii="Calibri" w:hAnsi="Calibri" w:cs="Calibri"/>
          <w:sz w:val="22"/>
          <w:szCs w:val="22"/>
        </w:rPr>
        <w:t>). Some key considerations</w:t>
      </w:r>
      <w:r w:rsidRPr="006720E4">
        <w:rPr>
          <w:rFonts w:ascii="Calibri" w:hAnsi="Calibri" w:cs="Calibri"/>
          <w:sz w:val="22"/>
          <w:szCs w:val="22"/>
        </w:rPr>
        <w:t xml:space="preserve"> in consent for transplantation are outlined below.</w:t>
      </w:r>
    </w:p>
    <w:p w14:paraId="76C9C35F" w14:textId="77777777"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 xml:space="preserve">Voluntariness: </w:t>
      </w:r>
      <w:r w:rsidRPr="006720E4">
        <w:rPr>
          <w:rFonts w:ascii="Calibri" w:hAnsi="Calibri" w:cs="Calibri"/>
          <w:sz w:val="22"/>
          <w:szCs w:val="22"/>
        </w:rPr>
        <w:t>Decision-makers may feel they have limited freedom to decline transplantation if there are no alternative treatment options. They may also be subject to emotional pressure, e.g., from carers or family members, if transplantation represents a life-saving treatment.</w:t>
      </w:r>
    </w:p>
    <w:p w14:paraId="35590C5F" w14:textId="77777777"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lastRenderedPageBreak/>
        <w:t xml:space="preserve">Decision-making capacity: </w:t>
      </w:r>
      <w:r w:rsidRPr="006720E4">
        <w:rPr>
          <w:rFonts w:ascii="Calibri" w:hAnsi="Calibri" w:cs="Calibri"/>
          <w:sz w:val="22"/>
          <w:szCs w:val="22"/>
        </w:rPr>
        <w:t>Some transplant candidates may be acutely unwell or otherwise at risk of impaired decision-making capacity due to illness.</w:t>
      </w:r>
    </w:p>
    <w:p w14:paraId="343C71E7" w14:textId="77777777"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 xml:space="preserve">Information: </w:t>
      </w:r>
      <w:r w:rsidRPr="006720E4">
        <w:rPr>
          <w:rFonts w:ascii="Calibri" w:hAnsi="Calibri" w:cs="Calibri"/>
          <w:sz w:val="22"/>
          <w:szCs w:val="22"/>
        </w:rPr>
        <w:t>Information about treatment options available, including, where relevant,</w:t>
      </w:r>
    </w:p>
    <w:p w14:paraId="0DEA7926" w14:textId="6D07BC63" w:rsidR="006C6EBA" w:rsidRPr="006720E4" w:rsidRDefault="006C6EBA" w:rsidP="00EA22AE">
      <w:pPr>
        <w:pStyle w:val="ListParagraph"/>
        <w:numPr>
          <w:ilvl w:val="0"/>
          <w:numId w:val="11"/>
        </w:numPr>
        <w:spacing w:after="120"/>
        <w:contextualSpacing w:val="0"/>
        <w:rPr>
          <w:rFonts w:cs="Calibri"/>
          <w:szCs w:val="22"/>
        </w:rPr>
      </w:pPr>
      <w:r w:rsidRPr="006720E4">
        <w:rPr>
          <w:rFonts w:cs="Calibri"/>
          <w:szCs w:val="22"/>
        </w:rPr>
        <w:t>living as well as deceased donor organ transplantation options, chemotherapy, and autologous transplantation or haploidentical transplantation of HSCs options, tissue graft options including option of non-human animal grafts;</w:t>
      </w:r>
    </w:p>
    <w:p w14:paraId="77364C31" w14:textId="77777777" w:rsidR="006C6EBA" w:rsidRPr="006720E4" w:rsidRDefault="006C6EBA" w:rsidP="00EA22AE">
      <w:pPr>
        <w:pStyle w:val="ListParagraph"/>
        <w:numPr>
          <w:ilvl w:val="0"/>
          <w:numId w:val="11"/>
        </w:numPr>
        <w:spacing w:after="120"/>
        <w:contextualSpacing w:val="0"/>
        <w:rPr>
          <w:rFonts w:cs="Calibri"/>
          <w:szCs w:val="22"/>
        </w:rPr>
      </w:pPr>
      <w:r w:rsidRPr="006720E4">
        <w:rPr>
          <w:rFonts w:cs="Calibri"/>
          <w:szCs w:val="22"/>
        </w:rPr>
        <w:t>non-transplant related options including conservative or supportive care.</w:t>
      </w:r>
    </w:p>
    <w:p w14:paraId="7915E623" w14:textId="503BC36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should include information </w:t>
      </w:r>
      <w:r w:rsidRPr="007538E7">
        <w:rPr>
          <w:rFonts w:ascii="Calibri" w:hAnsi="Calibri" w:cs="Calibri"/>
          <w:sz w:val="22"/>
          <w:szCs w:val="22"/>
        </w:rPr>
        <w:t>about the risks and potential benefits of each option (see</w:t>
      </w:r>
      <w:r w:rsidR="002A0795" w:rsidRPr="007538E7">
        <w:rPr>
          <w:rFonts w:ascii="Calibri" w:hAnsi="Calibri" w:cs="Calibri"/>
          <w:sz w:val="22"/>
          <w:szCs w:val="22"/>
        </w:rPr>
        <w:t xml:space="preserve"> </w:t>
      </w:r>
      <w:hyperlink w:anchor="_Risks_and_benefits_1" w:history="1">
        <w:r w:rsidR="002A0795" w:rsidRPr="007538E7">
          <w:rPr>
            <w:rStyle w:val="Hyperlink"/>
            <w:rFonts w:ascii="Calibri" w:hAnsi="Calibri" w:cs="Calibri"/>
            <w:sz w:val="22"/>
            <w:szCs w:val="22"/>
          </w:rPr>
          <w:t>Chapter</w:t>
        </w:r>
        <w:r w:rsidRPr="007538E7">
          <w:rPr>
            <w:rStyle w:val="Hyperlink"/>
            <w:rFonts w:ascii="Calibri" w:hAnsi="Calibri" w:cs="Calibri"/>
            <w:sz w:val="22"/>
            <w:szCs w:val="22"/>
          </w:rPr>
          <w:t xml:space="preserve"> </w:t>
        </w:r>
        <w:r w:rsidR="002A0795" w:rsidRPr="007538E7">
          <w:rPr>
            <w:rStyle w:val="Hyperlink"/>
            <w:rFonts w:ascii="Calibri" w:hAnsi="Calibri" w:cs="Calibri"/>
            <w:sz w:val="22"/>
            <w:szCs w:val="22"/>
          </w:rPr>
          <w:t>6</w:t>
        </w:r>
      </w:hyperlink>
      <w:r w:rsidRPr="007538E7">
        <w:rPr>
          <w:rFonts w:ascii="Calibri" w:hAnsi="Calibri" w:cs="Calibri"/>
          <w:sz w:val="22"/>
          <w:szCs w:val="22"/>
        </w:rPr>
        <w:t>). The risks and benefits must be carefully evaluated in the context of the individual transplant candidate and their own values and preferences</w:t>
      </w:r>
      <w:r w:rsidRPr="006720E4">
        <w:rPr>
          <w:rFonts w:ascii="Calibri" w:hAnsi="Calibri" w:cs="Calibri"/>
          <w:sz w:val="22"/>
          <w:szCs w:val="22"/>
        </w:rPr>
        <w:t>, as well as in the context of the characteristics of the donated cells, tissues or organs that are available at the time of transplantation.</w:t>
      </w:r>
    </w:p>
    <w:p w14:paraId="582AD41C" w14:textId="77777777" w:rsidR="006C6EBA" w:rsidRDefault="006C6EBA" w:rsidP="00EA22AE">
      <w:pPr>
        <w:spacing w:after="120"/>
        <w:rPr>
          <w:rFonts w:ascii="Calibri" w:hAnsi="Calibri" w:cs="Calibri"/>
          <w:sz w:val="22"/>
          <w:szCs w:val="22"/>
        </w:rPr>
      </w:pPr>
      <w:r w:rsidRPr="006720E4">
        <w:rPr>
          <w:rFonts w:ascii="Calibri" w:hAnsi="Calibri" w:cs="Calibri"/>
          <w:sz w:val="22"/>
          <w:szCs w:val="22"/>
        </w:rPr>
        <w:t>It is important to ensure that all transplant candidates are informed of the human origin of donated materials that will be used in their transplant.</w:t>
      </w:r>
      <w:bookmarkStart w:id="1375" w:name="_Toc70241754"/>
      <w:bookmarkStart w:id="1376" w:name="_Toc70243388"/>
      <w:bookmarkStart w:id="1377" w:name="_Toc70328732"/>
      <w:bookmarkStart w:id="1378" w:name="_Toc70333962"/>
      <w:bookmarkStart w:id="1379" w:name="_Toc70414846"/>
      <w:bookmarkStart w:id="1380" w:name="_Toc70844170"/>
      <w:bookmarkStart w:id="1381" w:name="_Toc70858987"/>
      <w:bookmarkStart w:id="1382" w:name="_Toc70861088"/>
      <w:bookmarkStart w:id="1383" w:name="_Toc70876572"/>
      <w:bookmarkStart w:id="1384" w:name="_Toc72615102"/>
      <w:bookmarkStart w:id="1385" w:name="_Toc73129822"/>
      <w:bookmarkStart w:id="1386" w:name="_Toc63683410"/>
    </w:p>
    <w:p w14:paraId="2EFD316F" w14:textId="2D9670C4" w:rsidR="00382A41" w:rsidRPr="006720E4" w:rsidRDefault="00382A41" w:rsidP="00EA22AE">
      <w:pPr>
        <w:spacing w:after="120"/>
        <w:rPr>
          <w:rFonts w:ascii="Calibri" w:hAnsi="Calibri" w:cs="Calibri"/>
          <w:sz w:val="22"/>
          <w:szCs w:val="22"/>
        </w:rPr>
      </w:pPr>
      <w:r w:rsidRPr="00382A41">
        <w:rPr>
          <w:rFonts w:ascii="Calibri" w:hAnsi="Calibri" w:cs="Calibri"/>
          <w:sz w:val="22"/>
          <w:szCs w:val="22"/>
        </w:rPr>
        <w:t>In living directed donation and transplantation, separation of clinical roles and teams should also occur where possible to avoid professional conflicts of interest in decision-making about donation and transplantation; where this is not possible, independent advocates or a review body should be used to protect the interests of prospective donors and transplant recipients in decision-making</w:t>
      </w:r>
      <w:r>
        <w:rPr>
          <w:rFonts w:ascii="Calibri" w:hAnsi="Calibri" w:cs="Calibri"/>
          <w:sz w:val="22"/>
          <w:szCs w:val="22"/>
        </w:rPr>
        <w:t xml:space="preserve"> (see </w:t>
      </w:r>
      <w:hyperlink w:anchor="_Voluntariness_of_consent" w:history="1">
        <w:r w:rsidRPr="004F318F">
          <w:rPr>
            <w:rStyle w:val="Hyperlink"/>
            <w:rFonts w:ascii="Calibri" w:hAnsi="Calibri" w:cs="Calibri"/>
            <w:sz w:val="22"/>
            <w:szCs w:val="22"/>
          </w:rPr>
          <w:t>Chapter 4.3.3.1</w:t>
        </w:r>
      </w:hyperlink>
      <w:r w:rsidRPr="004F318F">
        <w:rPr>
          <w:rStyle w:val="Hyperlink"/>
          <w:rFonts w:ascii="Calibri" w:hAnsi="Calibri" w:cs="Calibri"/>
          <w:sz w:val="22"/>
          <w:szCs w:val="22"/>
        </w:rPr>
        <w:t>)</w:t>
      </w:r>
      <w:r w:rsidRPr="004F318F">
        <w:rPr>
          <w:rFonts w:ascii="Calibri" w:hAnsi="Calibri" w:cs="Calibri"/>
          <w:sz w:val="22"/>
          <w:szCs w:val="22"/>
        </w:rPr>
        <w:t>.</w:t>
      </w:r>
    </w:p>
    <w:p w14:paraId="7E1818B3" w14:textId="77777777" w:rsidR="006C6EBA" w:rsidRPr="006720E4" w:rsidRDefault="006C6EBA" w:rsidP="00EA22AE">
      <w:pPr>
        <w:pStyle w:val="Heading2"/>
        <w:spacing w:after="120"/>
      </w:pPr>
      <w:bookmarkStart w:id="1387" w:name="_Toc73301691"/>
      <w:bookmarkStart w:id="1388" w:name="_Toc73302197"/>
      <w:bookmarkStart w:id="1389" w:name="_Toc73303330"/>
      <w:bookmarkStart w:id="1390" w:name="_Toc73303575"/>
      <w:bookmarkStart w:id="1391" w:name="_Toc74080692"/>
      <w:bookmarkStart w:id="1392" w:name="_Toc74081000"/>
      <w:bookmarkStart w:id="1393" w:name="_Toc74081230"/>
      <w:bookmarkStart w:id="1394" w:name="_Toc74081475"/>
      <w:bookmarkStart w:id="1395" w:name="_Toc74171061"/>
      <w:bookmarkStart w:id="1396" w:name="_Toc74172252"/>
      <w:bookmarkStart w:id="1397" w:name="_Toc74172788"/>
      <w:bookmarkStart w:id="1398" w:name="_Toc74238735"/>
      <w:bookmarkStart w:id="1399" w:name="_Toc78304763"/>
      <w:bookmarkStart w:id="1400" w:name="_Toc79330850"/>
      <w:bookmarkStart w:id="1401" w:name="_Toc79331230"/>
      <w:bookmarkStart w:id="1402" w:name="_Toc79406349"/>
      <w:bookmarkStart w:id="1403" w:name="_Toc82773528"/>
      <w:bookmarkStart w:id="1404" w:name="_Toc82773881"/>
      <w:bookmarkStart w:id="1405" w:name="_Toc128314199"/>
      <w:bookmarkStart w:id="1406" w:name="_Toc135131443"/>
      <w:r w:rsidRPr="006720E4">
        <w:t>Consent for living donatio</w:t>
      </w:r>
      <w:bookmarkEnd w:id="1375"/>
      <w:bookmarkEnd w:id="1376"/>
      <w:bookmarkEnd w:id="1377"/>
      <w:bookmarkEnd w:id="1378"/>
      <w:bookmarkEnd w:id="1379"/>
      <w:bookmarkEnd w:id="1380"/>
      <w:bookmarkEnd w:id="1381"/>
      <w:bookmarkEnd w:id="1382"/>
      <w:bookmarkEnd w:id="1383"/>
      <w:bookmarkEnd w:id="1384"/>
      <w:bookmarkEnd w:id="1385"/>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Pr="006720E4">
        <w:t>n</w:t>
      </w:r>
      <w:bookmarkEnd w:id="1400"/>
      <w:bookmarkEnd w:id="1401"/>
      <w:bookmarkEnd w:id="1402"/>
      <w:bookmarkEnd w:id="1403"/>
      <w:bookmarkEnd w:id="1404"/>
      <w:bookmarkEnd w:id="1405"/>
      <w:bookmarkEnd w:id="1406"/>
    </w:p>
    <w:p w14:paraId="7D7885C2" w14:textId="27D04007" w:rsidR="006C6EBA" w:rsidRPr="006720E4" w:rsidRDefault="006C6EBA" w:rsidP="00EA22AE">
      <w:pPr>
        <w:spacing w:after="120"/>
        <w:rPr>
          <w:rFonts w:ascii="Calibri" w:hAnsi="Calibri" w:cs="Calibri"/>
          <w:sz w:val="22"/>
          <w:szCs w:val="22"/>
        </w:rPr>
      </w:pPr>
      <w:bookmarkStart w:id="1407" w:name="_Toc70241755"/>
      <w:bookmarkStart w:id="1408" w:name="_Toc70243389"/>
      <w:bookmarkStart w:id="1409" w:name="_Toc70414847"/>
      <w:bookmarkEnd w:id="1386"/>
      <w:r w:rsidRPr="006720E4">
        <w:rPr>
          <w:rFonts w:ascii="Calibri" w:hAnsi="Calibri" w:cs="Calibri"/>
          <w:sz w:val="22"/>
          <w:szCs w:val="22"/>
        </w:rPr>
        <w:t>Ensuring the validity of consent for living donation is a particular concern in the context of living organ donation and some types of HSC donation, which may require medical interventions and surgical procedures that cause significant inconvenience, discomfort, and potentially serious risks of harm without offering any physically therapeutic benefits to donors. Living tissue donation more commonly occurs in contexts in which a person undergoes a surgical procedure that is beneficial to their own health, such as when a person donates the head of their femoral bone when this is removed as part of hip replacement surgery. Consent is equally important in these situations as a person has the right to choose whether or not to donate their tissues for transplantation.</w:t>
      </w:r>
      <w:bookmarkStart w:id="1410" w:name="_Toc63683411"/>
      <w:bookmarkEnd w:id="1407"/>
      <w:bookmarkEnd w:id="1408"/>
      <w:bookmarkEnd w:id="1409"/>
      <w:r w:rsidRPr="006720E4">
        <w:rPr>
          <w:rFonts w:ascii="Calibri" w:hAnsi="Calibri" w:cs="Calibri"/>
          <w:sz w:val="22"/>
          <w:szCs w:val="22"/>
        </w:rPr>
        <w:t xml:space="preserve"> </w:t>
      </w:r>
    </w:p>
    <w:p w14:paraId="13B051B3" w14:textId="1F61AB6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general considerations in consent outlined in</w:t>
      </w:r>
      <w:r w:rsidRPr="006720E4">
        <w:rPr>
          <w:rFonts w:ascii="Calibri" w:hAnsi="Calibri" w:cs="Calibri"/>
        </w:rPr>
        <w:t xml:space="preserve"> </w:t>
      </w:r>
      <w:hyperlink w:anchor="_General_considerations_in" w:history="1">
        <w:r w:rsidRPr="006720E4">
          <w:rPr>
            <w:rStyle w:val="Hyperlink"/>
            <w:rFonts w:ascii="Calibri" w:hAnsi="Calibri" w:cs="Calibri"/>
            <w:sz w:val="22"/>
            <w:szCs w:val="22"/>
          </w:rPr>
          <w:t xml:space="preserve">Chapter </w:t>
        </w:r>
        <w:r w:rsidR="002A0795" w:rsidRPr="006720E4">
          <w:rPr>
            <w:rStyle w:val="Hyperlink"/>
            <w:rFonts w:ascii="Calibri" w:hAnsi="Calibri" w:cs="Calibri"/>
            <w:sz w:val="22"/>
            <w:szCs w:val="22"/>
          </w:rPr>
          <w:t>4</w:t>
        </w:r>
        <w:r w:rsidRPr="006720E4">
          <w:rPr>
            <w:rStyle w:val="Hyperlink"/>
            <w:rFonts w:ascii="Calibri" w:hAnsi="Calibri" w:cs="Calibri"/>
            <w:sz w:val="22"/>
            <w:szCs w:val="22"/>
          </w:rPr>
          <w:t>.1</w:t>
        </w:r>
      </w:hyperlink>
      <w:r w:rsidRPr="006720E4">
        <w:rPr>
          <w:rFonts w:ascii="Calibri" w:hAnsi="Calibri" w:cs="Calibri"/>
          <w:sz w:val="22"/>
          <w:szCs w:val="22"/>
        </w:rPr>
        <w:t xml:space="preserve"> should be applied to all forms of living donation. Specific considerations and information that may be especially relevant to living donors in particular contexts are discussed in the following sections. </w:t>
      </w:r>
    </w:p>
    <w:p w14:paraId="6E3AFAFE" w14:textId="017BF79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General concerns about voluntariness of consent in living directed donation are discussed below in </w:t>
      </w:r>
      <w:hyperlink w:anchor="_Voluntariness_of_consent" w:history="1">
        <w:r w:rsidRPr="004F318F">
          <w:rPr>
            <w:rStyle w:val="Hyperlink"/>
            <w:rFonts w:ascii="Calibri" w:hAnsi="Calibri" w:cs="Calibri"/>
            <w:sz w:val="22"/>
            <w:szCs w:val="22"/>
          </w:rPr>
          <w:t xml:space="preserve">Chapter </w:t>
        </w:r>
        <w:r w:rsidR="002A0795" w:rsidRPr="004F318F">
          <w:rPr>
            <w:rStyle w:val="Hyperlink"/>
            <w:rFonts w:ascii="Calibri" w:hAnsi="Calibri" w:cs="Calibri"/>
            <w:sz w:val="22"/>
            <w:szCs w:val="22"/>
          </w:rPr>
          <w:t>4</w:t>
        </w:r>
        <w:r w:rsidRPr="004F318F">
          <w:rPr>
            <w:rStyle w:val="Hyperlink"/>
            <w:rFonts w:ascii="Calibri" w:hAnsi="Calibri" w:cs="Calibri"/>
            <w:sz w:val="22"/>
            <w:szCs w:val="22"/>
          </w:rPr>
          <w:t>.3.3.1</w:t>
        </w:r>
      </w:hyperlink>
      <w:r w:rsidRPr="004F318F">
        <w:rPr>
          <w:rFonts w:ascii="Calibri" w:hAnsi="Calibri" w:cs="Calibri"/>
          <w:sz w:val="22"/>
          <w:szCs w:val="22"/>
        </w:rPr>
        <w:t>. Some individuals or</w:t>
      </w:r>
      <w:r w:rsidRPr="006720E4">
        <w:rPr>
          <w:rFonts w:ascii="Calibri" w:hAnsi="Calibri" w:cs="Calibri"/>
          <w:sz w:val="22"/>
          <w:szCs w:val="22"/>
        </w:rPr>
        <w:t xml:space="preserve"> groups may also be considered at higher risk of coercion or undue influence when making a decision about living donation as a result of their personal circumstances. These include potential donors who are incarcerat</w:t>
      </w:r>
      <w:r w:rsidRPr="004F318F">
        <w:rPr>
          <w:rFonts w:ascii="Calibri" w:hAnsi="Calibri" w:cs="Calibri"/>
          <w:sz w:val="22"/>
          <w:szCs w:val="22"/>
        </w:rPr>
        <w:t xml:space="preserve">ed (see </w:t>
      </w:r>
      <w:hyperlink w:anchor="_Consent_for_living_1" w:history="1">
        <w:r w:rsidRPr="004F318F">
          <w:rPr>
            <w:rStyle w:val="Hyperlink"/>
            <w:rFonts w:ascii="Calibri" w:hAnsi="Calibri" w:cs="Calibri"/>
            <w:sz w:val="22"/>
            <w:szCs w:val="22"/>
          </w:rPr>
          <w:t xml:space="preserve">Chapter </w:t>
        </w:r>
        <w:r w:rsidR="002A0795" w:rsidRPr="004F318F">
          <w:rPr>
            <w:rStyle w:val="Hyperlink"/>
            <w:rFonts w:ascii="Calibri" w:hAnsi="Calibri" w:cs="Calibri"/>
            <w:sz w:val="22"/>
            <w:szCs w:val="22"/>
          </w:rPr>
          <w:t>4</w:t>
        </w:r>
        <w:r w:rsidRPr="004F318F">
          <w:rPr>
            <w:rStyle w:val="Hyperlink"/>
            <w:rFonts w:ascii="Calibri" w:hAnsi="Calibri" w:cs="Calibri"/>
            <w:sz w:val="22"/>
            <w:szCs w:val="22"/>
          </w:rPr>
          <w:t>.3.2</w:t>
        </w:r>
      </w:hyperlink>
      <w:r w:rsidRPr="004F318F">
        <w:rPr>
          <w:rFonts w:ascii="Calibri" w:hAnsi="Calibri" w:cs="Calibri"/>
          <w:sz w:val="22"/>
          <w:szCs w:val="22"/>
        </w:rPr>
        <w:t>), those</w:t>
      </w:r>
      <w:r w:rsidRPr="006720E4">
        <w:rPr>
          <w:rFonts w:ascii="Calibri" w:hAnsi="Calibri" w:cs="Calibri"/>
          <w:sz w:val="22"/>
          <w:szCs w:val="22"/>
        </w:rPr>
        <w:t xml:space="preserve"> who may be at risk of human </w:t>
      </w:r>
      <w:r w:rsidRPr="0028232A">
        <w:rPr>
          <w:rFonts w:ascii="Calibri" w:hAnsi="Calibri" w:cs="Calibri"/>
          <w:sz w:val="22"/>
          <w:szCs w:val="22"/>
        </w:rPr>
        <w:t xml:space="preserve">trafficking  (see </w:t>
      </w:r>
      <w:hyperlink w:anchor="_Prevention_of_organ" w:history="1">
        <w:r w:rsidR="0028232A" w:rsidRPr="0028232A">
          <w:rPr>
            <w:rStyle w:val="Hyperlink"/>
            <w:rFonts w:ascii="Calibri" w:hAnsi="Calibri" w:cs="Calibri"/>
            <w:sz w:val="22"/>
            <w:szCs w:val="22"/>
          </w:rPr>
          <w:t>Chapter 10.6.1.1</w:t>
        </w:r>
      </w:hyperlink>
      <w:r w:rsidR="0028232A" w:rsidRPr="0028232A">
        <w:rPr>
          <w:rFonts w:ascii="Calibri" w:hAnsi="Calibri" w:cs="Calibri"/>
          <w:sz w:val="22"/>
          <w:szCs w:val="22"/>
        </w:rPr>
        <w:t>)</w:t>
      </w:r>
      <w:r w:rsidRPr="0028232A">
        <w:rPr>
          <w:rFonts w:ascii="Calibri" w:hAnsi="Calibri" w:cs="Calibri"/>
          <w:sz w:val="22"/>
          <w:szCs w:val="22"/>
        </w:rPr>
        <w:t>, and children</w:t>
      </w:r>
      <w:r w:rsidRPr="006720E4">
        <w:rPr>
          <w:rFonts w:ascii="Calibri" w:hAnsi="Calibri" w:cs="Calibri"/>
          <w:sz w:val="22"/>
          <w:szCs w:val="22"/>
        </w:rPr>
        <w:t xml:space="preserve"> or adults lacking decision-making capacity (</w:t>
      </w:r>
      <w:r w:rsidRPr="000E6095">
        <w:rPr>
          <w:rFonts w:ascii="Calibri" w:hAnsi="Calibri" w:cs="Calibri"/>
          <w:sz w:val="22"/>
          <w:szCs w:val="22"/>
        </w:rPr>
        <w:t xml:space="preserve">see </w:t>
      </w:r>
      <w:hyperlink w:anchor="_Living_donation_by" w:history="1">
        <w:r w:rsidRPr="000E6095">
          <w:rPr>
            <w:rStyle w:val="Hyperlink"/>
            <w:rFonts w:ascii="Calibri" w:hAnsi="Calibri" w:cs="Calibri"/>
            <w:sz w:val="22"/>
            <w:szCs w:val="22"/>
          </w:rPr>
          <w:t xml:space="preserve">Chapter </w:t>
        </w:r>
        <w:r w:rsidR="002A0795" w:rsidRPr="000E6095">
          <w:rPr>
            <w:rStyle w:val="Hyperlink"/>
            <w:rFonts w:ascii="Calibri" w:hAnsi="Calibri" w:cs="Calibri"/>
            <w:sz w:val="22"/>
            <w:szCs w:val="22"/>
          </w:rPr>
          <w:t>5</w:t>
        </w:r>
        <w:r w:rsidRPr="000E6095">
          <w:rPr>
            <w:rStyle w:val="Hyperlink"/>
            <w:rFonts w:ascii="Calibri" w:hAnsi="Calibri" w:cs="Calibri"/>
            <w:sz w:val="22"/>
            <w:szCs w:val="22"/>
          </w:rPr>
          <w:t>.5</w:t>
        </w:r>
      </w:hyperlink>
      <w:r w:rsidRPr="000E6095">
        <w:rPr>
          <w:rFonts w:ascii="Calibri" w:hAnsi="Calibri" w:cs="Calibri"/>
          <w:sz w:val="22"/>
          <w:szCs w:val="22"/>
        </w:rPr>
        <w:t>).</w:t>
      </w:r>
    </w:p>
    <w:p w14:paraId="67BBE09A" w14:textId="513D5A3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Consent for living donation often involves multiple decisions by the prospective donor at different times, each of which require careful consideration of consent. Where further procedures or subsequent interventions may be anticipated, it is important that prospective donors are informed of these early, even if formal consent for those procedures will not be obtained until a later time. </w:t>
      </w:r>
    </w:p>
    <w:p w14:paraId="2DA45760" w14:textId="5C86BA5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an individual may make an initial decision to donate tissue and to be screened for eligibility as a tissue donor but may later be asked consent for follow up blood tests to screen for infectious diseases that would preclude use of the donated tissue. Alternatively, individuals who provide consent to placental tissue donation at the time of childbirth may be followed up six weeks after the birth to answer further health-related questions. Prospective living kidney donors may </w:t>
      </w:r>
      <w:r w:rsidRPr="006720E4">
        <w:rPr>
          <w:rFonts w:ascii="Calibri" w:hAnsi="Calibri" w:cs="Calibri"/>
          <w:sz w:val="22"/>
          <w:szCs w:val="22"/>
        </w:rPr>
        <w:lastRenderedPageBreak/>
        <w:t xml:space="preserve">consent to initial screening via review of their medical history before more invasive screening tests are required. Finally, non-directed HSC donors make decisions about joining the donor registry that usually occur long before a decision to proceed with donation when a </w:t>
      </w:r>
      <w:r w:rsidRPr="000E6095">
        <w:rPr>
          <w:rFonts w:ascii="Calibri" w:hAnsi="Calibri" w:cs="Calibri"/>
          <w:sz w:val="22"/>
          <w:szCs w:val="22"/>
        </w:rPr>
        <w:t xml:space="preserve">transplant match is found (see </w:t>
      </w:r>
      <w:hyperlink w:anchor="_Consent_in_non-directed" w:history="1">
        <w:r w:rsidRPr="000E6095">
          <w:rPr>
            <w:rStyle w:val="Hyperlink"/>
            <w:rFonts w:ascii="Calibri" w:hAnsi="Calibri" w:cs="Calibri"/>
            <w:sz w:val="22"/>
            <w:szCs w:val="22"/>
          </w:rPr>
          <w:t xml:space="preserve">Chapter </w:t>
        </w:r>
        <w:r w:rsidR="000E6095" w:rsidRPr="000E6095">
          <w:rPr>
            <w:rStyle w:val="Hyperlink"/>
            <w:rFonts w:ascii="Calibri" w:hAnsi="Calibri" w:cs="Calibri"/>
            <w:sz w:val="22"/>
            <w:szCs w:val="22"/>
          </w:rPr>
          <w:t>4</w:t>
        </w:r>
        <w:r w:rsidRPr="000E6095">
          <w:rPr>
            <w:rStyle w:val="Hyperlink"/>
            <w:rFonts w:ascii="Calibri" w:hAnsi="Calibri" w:cs="Calibri"/>
            <w:sz w:val="22"/>
            <w:szCs w:val="22"/>
          </w:rPr>
          <w:t>.3.4.2</w:t>
        </w:r>
      </w:hyperlink>
      <w:r w:rsidRPr="000E6095">
        <w:rPr>
          <w:rFonts w:ascii="Calibri" w:hAnsi="Calibri" w:cs="Calibri"/>
          <w:sz w:val="22"/>
          <w:szCs w:val="22"/>
        </w:rPr>
        <w:t xml:space="preserve">). HSC donors may also be asked to donate a second time (see </w:t>
      </w:r>
      <w:hyperlink w:anchor="_Consent_for_subsequent" w:history="1">
        <w:r w:rsidRPr="000E6095">
          <w:rPr>
            <w:rStyle w:val="Hyperlink"/>
            <w:rFonts w:ascii="Calibri" w:hAnsi="Calibri" w:cs="Calibri"/>
            <w:sz w:val="22"/>
            <w:szCs w:val="22"/>
          </w:rPr>
          <w:t xml:space="preserve">Chapter </w:t>
        </w:r>
        <w:r w:rsidR="002A0795" w:rsidRPr="000E6095">
          <w:rPr>
            <w:rStyle w:val="Hyperlink"/>
            <w:rFonts w:ascii="Calibri" w:hAnsi="Calibri" w:cs="Calibri"/>
            <w:sz w:val="22"/>
            <w:szCs w:val="22"/>
          </w:rPr>
          <w:t>4</w:t>
        </w:r>
        <w:r w:rsidRPr="000E6095">
          <w:rPr>
            <w:rStyle w:val="Hyperlink"/>
            <w:rFonts w:ascii="Calibri" w:hAnsi="Calibri" w:cs="Calibri"/>
            <w:sz w:val="22"/>
            <w:szCs w:val="22"/>
          </w:rPr>
          <w:t>.3.4.3</w:t>
        </w:r>
      </w:hyperlink>
      <w:r w:rsidRPr="000E6095">
        <w:rPr>
          <w:rFonts w:ascii="Calibri" w:hAnsi="Calibri" w:cs="Calibri"/>
          <w:sz w:val="22"/>
          <w:szCs w:val="22"/>
        </w:rPr>
        <w:t>)</w:t>
      </w:r>
    </w:p>
    <w:p w14:paraId="14B8D924" w14:textId="5A0A7BF1" w:rsidR="006C6EBA" w:rsidRPr="006720E4" w:rsidRDefault="006C6EBA" w:rsidP="00EA22AE">
      <w:pPr>
        <w:pStyle w:val="Heading3"/>
        <w:spacing w:after="120"/>
      </w:pPr>
      <w:bookmarkStart w:id="1411" w:name="_Consent_in_living_1"/>
      <w:bookmarkStart w:id="1412" w:name="_Consent_for_living"/>
      <w:bookmarkStart w:id="1413" w:name="_Toc79406350"/>
      <w:bookmarkStart w:id="1414" w:name="_Toc82773529"/>
      <w:bookmarkStart w:id="1415" w:name="_Toc82773882"/>
      <w:bookmarkStart w:id="1416" w:name="_Toc63683412"/>
      <w:bookmarkStart w:id="1417" w:name="_Toc70241756"/>
      <w:bookmarkStart w:id="1418" w:name="_Toc70243390"/>
      <w:bookmarkStart w:id="1419" w:name="_Toc70414848"/>
      <w:bookmarkStart w:id="1420" w:name="_Toc70844171"/>
      <w:bookmarkStart w:id="1421" w:name="_Toc72615103"/>
      <w:bookmarkStart w:id="1422" w:name="_Toc73129823"/>
      <w:bookmarkStart w:id="1423" w:name="_Toc73301692"/>
      <w:bookmarkStart w:id="1424" w:name="_Toc73302198"/>
      <w:bookmarkStart w:id="1425" w:name="_Toc73303331"/>
      <w:bookmarkStart w:id="1426" w:name="_Toc73303576"/>
      <w:bookmarkStart w:id="1427" w:name="_Toc74080693"/>
      <w:bookmarkStart w:id="1428" w:name="_Toc74081001"/>
      <w:bookmarkStart w:id="1429" w:name="_Toc74081231"/>
      <w:bookmarkStart w:id="1430" w:name="_Toc74081476"/>
      <w:bookmarkStart w:id="1431" w:name="_Toc74171062"/>
      <w:bookmarkStart w:id="1432" w:name="_Toc74172253"/>
      <w:bookmarkStart w:id="1433" w:name="_Toc74172789"/>
      <w:bookmarkStart w:id="1434" w:name="_Toc74238736"/>
      <w:bookmarkEnd w:id="1410"/>
      <w:bookmarkEnd w:id="1411"/>
      <w:bookmarkEnd w:id="1412"/>
      <w:r w:rsidRPr="006720E4">
        <w:t>Consent for living donation and the law</w:t>
      </w:r>
      <w:bookmarkEnd w:id="1413"/>
      <w:bookmarkEnd w:id="1414"/>
      <w:bookmarkEnd w:id="1415"/>
    </w:p>
    <w:p w14:paraId="126EF6B3" w14:textId="5F41A4F7"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Adults with decision-making capacity</w:t>
      </w:r>
      <w:r w:rsidRPr="006720E4">
        <w:rPr>
          <w:rFonts w:ascii="Calibri" w:hAnsi="Calibri" w:cs="Calibri"/>
          <w:sz w:val="22"/>
          <w:szCs w:val="22"/>
        </w:rPr>
        <w:t xml:space="preserve"> can consent in writing to donate cells, tissues, or organs for transplantation to another person. Non-directed donations by adults are legally permitted (as long as other legal conditions are fulfilled) as there is no limitation on who may receive the organ or tissue. Medical practitioners are required to explain the nature and effect of the donation and to certify that the person has provided consent.  </w:t>
      </w:r>
    </w:p>
    <w:p w14:paraId="45FAE27B" w14:textId="4DBF6AF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legal aspects of living donation involving adults lacking decision-making capacity and children, and the role of substitute decision-makers are discus</w:t>
      </w:r>
      <w:r w:rsidRPr="000E6095">
        <w:rPr>
          <w:rFonts w:ascii="Calibri" w:hAnsi="Calibri" w:cs="Calibri"/>
          <w:sz w:val="22"/>
          <w:szCs w:val="22"/>
        </w:rPr>
        <w:t xml:space="preserve">sed in </w:t>
      </w:r>
      <w:hyperlink w:anchor="_Legal_aspects_of" w:history="1">
        <w:r w:rsidRPr="000E6095">
          <w:rPr>
            <w:rStyle w:val="Hyperlink"/>
            <w:rFonts w:ascii="Calibri" w:hAnsi="Calibri" w:cs="Calibri"/>
            <w:sz w:val="22"/>
            <w:szCs w:val="22"/>
          </w:rPr>
          <w:t xml:space="preserve">Chapter </w:t>
        </w:r>
        <w:r w:rsidR="000E6095" w:rsidRPr="000E6095">
          <w:rPr>
            <w:rStyle w:val="Hyperlink"/>
            <w:rFonts w:ascii="Calibri" w:hAnsi="Calibri" w:cs="Calibri"/>
            <w:sz w:val="22"/>
            <w:szCs w:val="22"/>
          </w:rPr>
          <w:t>5</w:t>
        </w:r>
        <w:r w:rsidRPr="000E6095">
          <w:rPr>
            <w:rStyle w:val="Hyperlink"/>
            <w:rFonts w:ascii="Calibri" w:hAnsi="Calibri" w:cs="Calibri"/>
            <w:sz w:val="22"/>
            <w:szCs w:val="22"/>
          </w:rPr>
          <w:t>.5.1.</w:t>
        </w:r>
        <w:bookmarkStart w:id="1435" w:name="_Disclosure_of_identity_1"/>
        <w:bookmarkEnd w:id="1435"/>
      </w:hyperlink>
    </w:p>
    <w:p w14:paraId="44CF5E07" w14:textId="4565FD81" w:rsidR="006C6EBA" w:rsidRPr="006720E4" w:rsidRDefault="006C6EBA" w:rsidP="00EA22AE">
      <w:pPr>
        <w:pStyle w:val="Heading3"/>
        <w:spacing w:after="120"/>
      </w:pPr>
      <w:bookmarkStart w:id="1436" w:name="_Consent_for_living_1"/>
      <w:bookmarkStart w:id="1437" w:name="_Toc70844173"/>
      <w:bookmarkStart w:id="1438" w:name="_Toc72615105"/>
      <w:bookmarkStart w:id="1439" w:name="_Toc73129828"/>
      <w:bookmarkStart w:id="1440" w:name="_Toc73301697"/>
      <w:bookmarkStart w:id="1441" w:name="_Toc73302203"/>
      <w:bookmarkStart w:id="1442" w:name="_Toc73303336"/>
      <w:bookmarkStart w:id="1443" w:name="_Toc73303578"/>
      <w:bookmarkStart w:id="1444" w:name="_Toc74080695"/>
      <w:bookmarkStart w:id="1445" w:name="_Toc74081003"/>
      <w:bookmarkStart w:id="1446" w:name="_Toc74081233"/>
      <w:bookmarkStart w:id="1447" w:name="_Toc74081481"/>
      <w:bookmarkStart w:id="1448" w:name="_Toc74171064"/>
      <w:bookmarkStart w:id="1449" w:name="_Toc74172258"/>
      <w:bookmarkStart w:id="1450" w:name="_Toc74172794"/>
      <w:bookmarkStart w:id="1451" w:name="_Toc74238738"/>
      <w:bookmarkStart w:id="1452" w:name="_Toc79406351"/>
      <w:bookmarkStart w:id="1453" w:name="_Toc82773530"/>
      <w:bookmarkStart w:id="1454" w:name="_Toc82773883"/>
      <w:bookmarkEnd w:id="1436"/>
      <w:r w:rsidRPr="006720E4">
        <w:t>Consent for living donation by individuals</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sidR="008C34FF" w:rsidRPr="006720E4">
        <w:t xml:space="preserve"> who are incarcerated or otherwise institutionalised</w:t>
      </w:r>
    </w:p>
    <w:p w14:paraId="6257081C" w14:textId="0FF24E3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a potential living donor is currently incarcerated, this presents an additional concern with regards to voluntariness of consent. People who are incarcerated may be more vulnerable to coercion or may be motivated to donate in order to temporarily regain some freedoms or in the hope of their donation influencing future sentencing reviews.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{"citationItems":[{"id":"ITEM-1","itemData":{"DOI":"10.1017/S0963180117000433","ISSN":"14692147","PMID":"29214962","abstract":"Although national guidelines exist for evaluating the eligibility of potential living donors and for procuring their informed consent, no special protections or considerations exist for potential living donors who are incarcerated. Human research subject protections in the United States are codified in the Federal Regulations, 45 CFR 46, and special protections are given to prisoners. Living donor transplantation has parallels with human subject research in that both activities are performed with the primary goal of benefiting third parties. In this article, we describe what special considerations should be provided to prisoners as potential living donors using a vulnerabilities approach adapted from the human research subject protection literature.","author":[{"dropping-particle":"","family":"Ross","given":"Lainie Friedman","non-dropping-particle":"","parse-names":false,"suffix":""},{"dropping-particle":"","family":"Thistlethwaite","given":"J. Richard","non-dropping-particle":"","parse-names":false,"suffix":""}],"container-title":"Cambridge Quarterly of Healthcare Ethics","id":"ITEM-1","issue":"1","issued":{"date-parts":[["2018"]]},"page":"93-108","title":"Prisoners as Living Donors: A Vulnerabilities Analysis","type":"article-journal","volume":"27"},"uris":["http://www.mendeley.com/documents/?uuid=61b866e8-3105-4a4c-9e1a-df6eed9e9f9c"]}],"mendeley":{"formattedCitation":"(50)","plainTextFormattedCitation":"(50)","previouslyFormattedCitation":"(50)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(50)</w:t>
      </w:r>
      <w:r w:rsidRPr="006720E4">
        <w:rPr>
          <w:rFonts w:ascii="Calibri" w:hAnsi="Calibri" w:cs="Calibri"/>
          <w:sz w:val="22"/>
          <w:szCs w:val="22"/>
        </w:rPr>
        <w:fldChar w:fldCharType="end"/>
      </w:r>
      <w:r w:rsidRPr="006720E4">
        <w:rPr>
          <w:rFonts w:ascii="Calibri" w:hAnsi="Calibri" w:cs="Calibri"/>
          <w:sz w:val="22"/>
          <w:szCs w:val="22"/>
        </w:rPr>
        <w:t xml:space="preserve"> However people who are incarcerated may have a genuine desire to donate an organ, cells, or tissues in order to help a loved one or to contribute to society, and they should not be automatically denied this opportunity simply because they are in corrective custody. </w:t>
      </w:r>
    </w:p>
    <w:p w14:paraId="0013CEC7" w14:textId="0EDE9C8C" w:rsidR="008C34FF" w:rsidRPr="006720E4" w:rsidRDefault="008C34FF" w:rsidP="00EA22AE">
      <w:pPr>
        <w:pStyle w:val="Guidelinesnormalparagraph"/>
        <w:rPr>
          <w:rFonts w:ascii="Calibri" w:hAnsi="Calibri" w:cs="Calibri"/>
          <w:kern w:val="0"/>
          <w:szCs w:val="22"/>
          <w:u w:color="0000FF"/>
          <w:lang w:val="en-GB"/>
        </w:rPr>
      </w:pPr>
      <w:r w:rsidRPr="006720E4">
        <w:rPr>
          <w:rFonts w:ascii="Calibri" w:hAnsi="Calibri" w:cs="Calibri"/>
          <w:kern w:val="0"/>
          <w:szCs w:val="22"/>
          <w:u w:color="0000FF"/>
          <w:lang w:val="en-GB"/>
        </w:rPr>
        <w:t>Similar issues may arise in the context of those who are housed in juvenile detention facilities; those detained as refugees, asylum seekers or visitors awaiting deportation; or those committed to psychiatric treatment facilities.</w:t>
      </w:r>
    </w:p>
    <w:p w14:paraId="3FDF04A5" w14:textId="0696D2D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Additional efforts will be required to support independence in decision-making involving prospective donors who are incarcerated</w:t>
      </w:r>
      <w:r w:rsidR="008C34FF" w:rsidRPr="006720E4">
        <w:rPr>
          <w:rFonts w:ascii="Calibri" w:hAnsi="Calibri" w:cs="Calibri"/>
          <w:sz w:val="22"/>
          <w:szCs w:val="22"/>
        </w:rPr>
        <w:t xml:space="preserve"> or institutionalised</w:t>
      </w:r>
      <w:r w:rsidRPr="006720E4">
        <w:rPr>
          <w:rFonts w:ascii="Calibri" w:hAnsi="Calibri" w:cs="Calibri"/>
          <w:sz w:val="22"/>
          <w:szCs w:val="22"/>
        </w:rPr>
        <w:t>, to ensure voluntariness of consent, and to minimise any additional risks that may be associated with their imprisonment</w:t>
      </w:r>
      <w:r w:rsidR="008C34FF" w:rsidRPr="006720E4">
        <w:rPr>
          <w:rFonts w:ascii="Calibri" w:hAnsi="Calibri" w:cs="Calibri"/>
          <w:sz w:val="22"/>
          <w:szCs w:val="22"/>
        </w:rPr>
        <w:t xml:space="preserve"> or other institutionalisation</w:t>
      </w:r>
      <w:r w:rsidRPr="006720E4">
        <w:rPr>
          <w:rFonts w:ascii="Calibri" w:hAnsi="Calibri" w:cs="Calibri"/>
          <w:sz w:val="22"/>
          <w:szCs w:val="22"/>
        </w:rPr>
        <w:t xml:space="preserve">, such as difficulties in accessing the necessary follow up care after donating </w:t>
      </w:r>
      <w:r w:rsidR="00CB5556" w:rsidRPr="006720E4">
        <w:rPr>
          <w:rFonts w:ascii="Calibri" w:hAnsi="Calibri" w:cs="Calibri"/>
          <w:sz w:val="22"/>
          <w:szCs w:val="22"/>
        </w:rPr>
        <w:t>(</w:t>
      </w:r>
      <w:r w:rsidR="00CB5556" w:rsidRPr="00CB5556">
        <w:rPr>
          <w:rFonts w:ascii="Calibri" w:hAnsi="Calibri" w:cs="Calibri"/>
          <w:sz w:val="22"/>
          <w:szCs w:val="22"/>
        </w:rPr>
        <w:t xml:space="preserve">see </w:t>
      </w:r>
      <w:hyperlink w:anchor="_Risks_and_benefits_1" w:history="1">
        <w:r w:rsidR="00CB5556" w:rsidRPr="00CB5556">
          <w:rPr>
            <w:rStyle w:val="Hyperlink"/>
            <w:rFonts w:ascii="Calibri" w:hAnsi="Calibri" w:cs="Calibri"/>
            <w:sz w:val="22"/>
            <w:szCs w:val="22"/>
          </w:rPr>
          <w:t>Chapter 6</w:t>
        </w:r>
      </w:hyperlink>
      <w:r w:rsidR="00CB5556">
        <w:rPr>
          <w:rFonts w:ascii="Calibri" w:hAnsi="Calibri" w:cs="Calibri"/>
          <w:sz w:val="22"/>
          <w:szCs w:val="22"/>
        </w:rPr>
        <w:t>).</w:t>
      </w:r>
    </w:p>
    <w:p w14:paraId="69C20C0D" w14:textId="77777777" w:rsidR="006C6EBA" w:rsidRPr="006720E4" w:rsidRDefault="006C6EBA" w:rsidP="00EA22AE">
      <w:pPr>
        <w:pStyle w:val="Heading3"/>
        <w:spacing w:after="120"/>
      </w:pPr>
      <w:bookmarkStart w:id="1455" w:name="_Consent_in_living_2"/>
      <w:bookmarkStart w:id="1456" w:name="_Toc79406352"/>
      <w:bookmarkStart w:id="1457" w:name="_Toc82773531"/>
      <w:bookmarkStart w:id="1458" w:name="_Toc82773884"/>
      <w:bookmarkEnd w:id="1455"/>
      <w:r w:rsidRPr="006720E4">
        <w:t>Consent in living directed donation</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56"/>
      <w:bookmarkEnd w:id="1457"/>
      <w:bookmarkEnd w:id="1458"/>
    </w:p>
    <w:p w14:paraId="1A6D1E12" w14:textId="638BDE39" w:rsidR="00382A41" w:rsidRPr="00382A41" w:rsidRDefault="006C6EBA" w:rsidP="00EA22AE">
      <w:pPr>
        <w:spacing w:after="120"/>
        <w:rPr>
          <w:rFonts w:cs="Calibri"/>
        </w:rPr>
      </w:pPr>
      <w:r w:rsidRPr="006720E4">
        <w:rPr>
          <w:rFonts w:ascii="Calibri" w:hAnsi="Calibri" w:cs="Calibri"/>
          <w:sz w:val="22"/>
          <w:szCs w:val="22"/>
        </w:rPr>
        <w:t xml:space="preserve">The general considerations in consent </w:t>
      </w:r>
      <w:r w:rsidRPr="00A9174C">
        <w:rPr>
          <w:rFonts w:ascii="Calibri" w:hAnsi="Calibri" w:cs="Calibri"/>
          <w:sz w:val="22"/>
          <w:szCs w:val="22"/>
        </w:rPr>
        <w:t xml:space="preserve">outlined in </w:t>
      </w:r>
      <w:hyperlink w:anchor="_General_considerations_in" w:history="1">
        <w:r w:rsidRPr="00A9174C">
          <w:rPr>
            <w:rStyle w:val="Hyperlink"/>
            <w:rFonts w:ascii="Calibri" w:hAnsi="Calibri" w:cs="Calibri"/>
            <w:sz w:val="22"/>
            <w:szCs w:val="22"/>
          </w:rPr>
          <w:t xml:space="preserve">Chapter </w:t>
        </w:r>
        <w:r w:rsidR="00EF5816" w:rsidRPr="00A9174C">
          <w:rPr>
            <w:rStyle w:val="Hyperlink"/>
            <w:rFonts w:ascii="Calibri" w:hAnsi="Calibri" w:cs="Calibri"/>
            <w:sz w:val="22"/>
            <w:szCs w:val="22"/>
          </w:rPr>
          <w:t>4</w:t>
        </w:r>
        <w:r w:rsidRPr="00A9174C">
          <w:rPr>
            <w:rStyle w:val="Hyperlink"/>
            <w:rFonts w:ascii="Calibri" w:hAnsi="Calibri" w:cs="Calibri"/>
            <w:sz w:val="22"/>
            <w:szCs w:val="22"/>
          </w:rPr>
          <w:t>.1</w:t>
        </w:r>
      </w:hyperlink>
      <w:r w:rsidRPr="00A9174C">
        <w:rPr>
          <w:rFonts w:ascii="Calibri" w:hAnsi="Calibri" w:cs="Calibri"/>
          <w:sz w:val="22"/>
          <w:szCs w:val="22"/>
        </w:rPr>
        <w:t xml:space="preserve"> should</w:t>
      </w:r>
      <w:r w:rsidRPr="006720E4">
        <w:rPr>
          <w:rFonts w:ascii="Calibri" w:hAnsi="Calibri" w:cs="Calibri"/>
          <w:sz w:val="22"/>
          <w:szCs w:val="22"/>
        </w:rPr>
        <w:t xml:space="preserve"> all be applied during the process of decision-making about living directed donation. </w:t>
      </w:r>
    </w:p>
    <w:p w14:paraId="54552DF5" w14:textId="7726DEE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providing </w:t>
      </w:r>
      <w:r w:rsidRPr="006720E4">
        <w:rPr>
          <w:rFonts w:ascii="Calibri" w:hAnsi="Calibri" w:cs="Calibri"/>
          <w:b/>
          <w:bCs/>
          <w:sz w:val="22"/>
          <w:szCs w:val="22"/>
        </w:rPr>
        <w:t>information</w:t>
      </w:r>
      <w:r w:rsidRPr="006720E4">
        <w:rPr>
          <w:rFonts w:ascii="Calibri" w:hAnsi="Calibri" w:cs="Calibri"/>
          <w:sz w:val="22"/>
          <w:szCs w:val="22"/>
        </w:rPr>
        <w:t xml:space="preserve"> about the risks and potential benefits of living donation (</w:t>
      </w:r>
      <w:r w:rsidRPr="00CB5556">
        <w:rPr>
          <w:rFonts w:ascii="Calibri" w:hAnsi="Calibri" w:cs="Calibri"/>
          <w:sz w:val="22"/>
          <w:szCs w:val="22"/>
        </w:rPr>
        <w:t xml:space="preserve">see </w:t>
      </w:r>
      <w:hyperlink w:anchor="_Risks_and_benefits_1" w:history="1">
        <w:r w:rsidR="00EF5816" w:rsidRPr="00CB5556">
          <w:rPr>
            <w:rStyle w:val="Hyperlink"/>
            <w:rFonts w:ascii="Calibri" w:hAnsi="Calibri" w:cs="Calibri"/>
            <w:sz w:val="22"/>
            <w:szCs w:val="22"/>
          </w:rPr>
          <w:t>Chapter 6</w:t>
        </w:r>
      </w:hyperlink>
      <w:r w:rsidRPr="00CB5556">
        <w:rPr>
          <w:rFonts w:ascii="Calibri" w:hAnsi="Calibri" w:cs="Calibri"/>
          <w:sz w:val="22"/>
          <w:szCs w:val="22"/>
        </w:rPr>
        <w:t>), this must include information about alternatives to living donation</w:t>
      </w:r>
      <w:r w:rsidRPr="006720E4">
        <w:rPr>
          <w:rFonts w:ascii="Calibri" w:hAnsi="Calibri" w:cs="Calibri"/>
          <w:sz w:val="22"/>
          <w:szCs w:val="22"/>
        </w:rPr>
        <w:t xml:space="preserve"> where relevant, with regards to the other options for treatment that the transplant candidate may have (see </w:t>
      </w:r>
      <w:hyperlink w:anchor="_Consent_for_transplantation" w:history="1">
        <w:r w:rsidRPr="006720E4">
          <w:rPr>
            <w:rStyle w:val="Hyperlink"/>
            <w:rFonts w:ascii="Calibri" w:hAnsi="Calibri" w:cs="Calibri"/>
            <w:sz w:val="22"/>
            <w:szCs w:val="22"/>
          </w:rPr>
          <w:t xml:space="preserve">Chapter </w:t>
        </w:r>
        <w:r w:rsidR="003C386A" w:rsidRPr="006720E4">
          <w:rPr>
            <w:rStyle w:val="Hyperlink"/>
            <w:rFonts w:ascii="Calibri" w:hAnsi="Calibri" w:cs="Calibri"/>
            <w:sz w:val="22"/>
            <w:szCs w:val="22"/>
          </w:rPr>
          <w:t>4</w:t>
        </w:r>
        <w:r w:rsidRPr="006720E4">
          <w:rPr>
            <w:rStyle w:val="Hyperlink"/>
            <w:rFonts w:ascii="Calibri" w:hAnsi="Calibri" w:cs="Calibri"/>
            <w:sz w:val="22"/>
            <w:szCs w:val="22"/>
          </w:rPr>
          <w:t>.2</w:t>
        </w:r>
      </w:hyperlink>
      <w:r w:rsidRPr="006720E4">
        <w:rPr>
          <w:rFonts w:ascii="Calibri" w:hAnsi="Calibri" w:cs="Calibri"/>
          <w:sz w:val="22"/>
          <w:szCs w:val="22"/>
        </w:rPr>
        <w:t>). Information must be carefully evaluated in the context of the individual donor and their intended transplant recipient and their own values and preferences.</w:t>
      </w:r>
    </w:p>
    <w:p w14:paraId="62D0E4AC" w14:textId="22FA533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Specific information about the privacy of the donor’s information and any limits on or risks to privacy in the context of directed donation should be </w:t>
      </w:r>
      <w:r w:rsidRPr="00A9174C">
        <w:rPr>
          <w:rFonts w:ascii="Calibri" w:hAnsi="Calibri" w:cs="Calibri"/>
          <w:sz w:val="22"/>
          <w:szCs w:val="22"/>
        </w:rPr>
        <w:t xml:space="preserve">outlined (see </w:t>
      </w:r>
      <w:hyperlink w:anchor="_Protection_of_privacy" w:history="1">
        <w:r w:rsidRPr="00A9174C">
          <w:rPr>
            <w:rStyle w:val="Hyperlink"/>
            <w:rFonts w:ascii="Calibri" w:hAnsi="Calibri" w:cs="Calibri"/>
            <w:sz w:val="22"/>
            <w:szCs w:val="22"/>
          </w:rPr>
          <w:t xml:space="preserve">Chapter </w:t>
        </w:r>
        <w:r w:rsidR="00A9174C" w:rsidRPr="00A9174C">
          <w:rPr>
            <w:rStyle w:val="Hyperlink"/>
            <w:rFonts w:ascii="Calibri" w:hAnsi="Calibri" w:cs="Calibri"/>
            <w:sz w:val="22"/>
            <w:szCs w:val="22"/>
          </w:rPr>
          <w:t>7</w:t>
        </w:r>
        <w:r w:rsidRPr="00A9174C">
          <w:rPr>
            <w:rStyle w:val="Hyperlink"/>
            <w:rFonts w:ascii="Calibri" w:hAnsi="Calibri" w:cs="Calibri"/>
            <w:sz w:val="22"/>
            <w:szCs w:val="22"/>
          </w:rPr>
          <w:t>.2.2</w:t>
        </w:r>
      </w:hyperlink>
      <w:r w:rsidRPr="00A9174C">
        <w:rPr>
          <w:rFonts w:ascii="Calibri" w:hAnsi="Calibri" w:cs="Calibri"/>
          <w:sz w:val="22"/>
          <w:szCs w:val="22"/>
        </w:rPr>
        <w:t>).</w:t>
      </w:r>
    </w:p>
    <w:p w14:paraId="02E17E11" w14:textId="7B22685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obtaining consent for living directed donation, particular concerns may arise with regards to the </w:t>
      </w:r>
      <w:r w:rsidRPr="006720E4">
        <w:rPr>
          <w:rFonts w:ascii="Calibri" w:hAnsi="Calibri" w:cs="Calibri"/>
          <w:b/>
          <w:bCs/>
          <w:sz w:val="22"/>
          <w:szCs w:val="22"/>
        </w:rPr>
        <w:t>voluntariness</w:t>
      </w:r>
      <w:r w:rsidRPr="006720E4">
        <w:rPr>
          <w:rFonts w:ascii="Calibri" w:hAnsi="Calibri" w:cs="Calibri"/>
          <w:sz w:val="22"/>
          <w:szCs w:val="22"/>
        </w:rPr>
        <w:t xml:space="preserve"> of consent </w:t>
      </w:r>
      <w:r w:rsidRPr="004F318F">
        <w:rPr>
          <w:rFonts w:ascii="Calibri" w:hAnsi="Calibri" w:cs="Calibri"/>
          <w:sz w:val="22"/>
          <w:szCs w:val="22"/>
        </w:rPr>
        <w:t xml:space="preserve">as outlined in </w:t>
      </w:r>
      <w:hyperlink w:anchor="_Voluntariness_of_consent" w:history="1">
        <w:r w:rsidRPr="004F318F">
          <w:rPr>
            <w:rStyle w:val="Hyperlink"/>
            <w:rFonts w:ascii="Calibri" w:hAnsi="Calibri" w:cs="Calibri"/>
            <w:sz w:val="22"/>
            <w:szCs w:val="22"/>
          </w:rPr>
          <w:t xml:space="preserve">Chapter </w:t>
        </w:r>
        <w:r w:rsidR="003C386A" w:rsidRPr="004F318F">
          <w:rPr>
            <w:rStyle w:val="Hyperlink"/>
            <w:rFonts w:ascii="Calibri" w:hAnsi="Calibri" w:cs="Calibri"/>
            <w:sz w:val="22"/>
            <w:szCs w:val="22"/>
          </w:rPr>
          <w:t>4</w:t>
        </w:r>
        <w:r w:rsidRPr="004F318F">
          <w:rPr>
            <w:rStyle w:val="Hyperlink"/>
            <w:rFonts w:ascii="Calibri" w:hAnsi="Calibri" w:cs="Calibri"/>
            <w:sz w:val="22"/>
            <w:szCs w:val="22"/>
          </w:rPr>
          <w:t>.3.3.1</w:t>
        </w:r>
      </w:hyperlink>
      <w:r w:rsidRPr="004F318F">
        <w:rPr>
          <w:rFonts w:ascii="Calibri" w:hAnsi="Calibri" w:cs="Calibri"/>
          <w:sz w:val="22"/>
          <w:szCs w:val="22"/>
        </w:rPr>
        <w:t>.</w:t>
      </w:r>
    </w:p>
    <w:p w14:paraId="1FAE1504" w14:textId="6E38D8E0" w:rsidR="006C6EBA" w:rsidRPr="006720E4" w:rsidRDefault="006C6EBA" w:rsidP="00EA22AE">
      <w:pPr>
        <w:pStyle w:val="Heading4"/>
        <w:spacing w:after="120"/>
      </w:pPr>
      <w:bookmarkStart w:id="1459" w:name="_Voluntariness_of_consent"/>
      <w:bookmarkStart w:id="1460" w:name="_Toc82773532"/>
      <w:bookmarkStart w:id="1461" w:name="_Toc82773885"/>
      <w:bookmarkEnd w:id="1459"/>
      <w:r w:rsidRPr="006720E4">
        <w:t>Voluntariness of consent in living directed donation</w:t>
      </w:r>
      <w:bookmarkEnd w:id="1460"/>
      <w:bookmarkEnd w:id="1461"/>
    </w:p>
    <w:p w14:paraId="7468EED4" w14:textId="29F7200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Potential living donors may feel they have limited freedom to decline donation if there are no alternative treatment options for a close friend or relative who requires transplantation. They may </w:t>
      </w:r>
      <w:r w:rsidRPr="006720E4">
        <w:rPr>
          <w:rFonts w:ascii="Calibri" w:hAnsi="Calibri" w:cs="Calibri"/>
          <w:sz w:val="22"/>
          <w:szCs w:val="22"/>
        </w:rPr>
        <w:lastRenderedPageBreak/>
        <w:t>also be subject to psychological and social pressures, e.g., from family members, if living donor transplantation represents a life-saving treatment for the intended transplant recipient.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{"citationItems":[{"id":"ITEM-1","itemData":{"DOI":"10.1097/TP.0000000000002073","ISBN":"0000000000","ISSN":"00411337","PMID":"29298236","abstract":"Background Studies on living donors from the donors' perspective show that the donation process involves both positive and negative feelings involving vulnerability. Qualitative studies of living kidney, liver, and allogeneic hematopoietic stem cell donors have not previously been merged in the same analysis. Therefore, our aim was to synthesize current knowledge of these donors' experiences to deepen understanding of the meaning of being a living donor for the purpose of saving or extending someone's life. Methods The meta-ethnography steps presented by Noblit and Hare in 1988 were used. Results Forty-one qualitative studies from 1968 to 2016 that fulfilled the inclusion criteria were analyzed. The studies comprised experiences of over 670 donors. The time since donation varied from 2 days to 29 years. A majority of the studies, 25 of 41, were on living kidney donors. The synthesis revealed that the essential meaning of being a donor is doing what one feels one has to do, involving 6 themes; A sense of responsibility, loneliness and abandonment, suffering, pride and gratitude, a sense of togetherness, and a life changing event. Conclusions The main issue is that one donates irrespective of what one donates. The relationship to the recipient determines the motives for donation. The deeper insight into the donors' experiences provides implications for their psychological care.","author":[{"dropping-particle":"","family":"Kisch","given":"Annika M.","non-dropping-particle":"","parse-names":false,"suffix":""},{"dropping-particle":"","family":"Forsberg","given":"Anna","non-dropping-particle":"","parse-names":false,"suffix":""},{"dropping-particle":"","family":"Fridh","given":"Isabell","non-dropping-particle":"","parse-names":false,"suffix":""},{"dropping-particle":"","family":"Almgren","given":"Matilda","non-dropping-particle":"","parse-names":false,"suffix":""},{"dropping-particle":"","family":"Lundmark","given":"Martina","non-dropping-particle":"","parse-names":false,"suffix":""},{"dropping-particle":"","family":"Lovén","given":"Charlotte","non-dropping-particle":"","parse-names":false,"suffix":""},{"dropping-particle":"","family":"Flodén","given":"Anne","non-dropping-particle":"","parse-names":false,"suffix":""},{"dropping-particle":"","family":"Nilsson","given":"Madeleine","non-dropping-particle":"","parse-names":false,"suffix":""},{"dropping-particle":"","family":"Karlsson","given":"Veronika","non-dropping-particle":"","parse-names":false,"suffix":""},{"dropping-particle":"","family":"Lennerling","given":"Annette","non-dropping-particle":"","parse-names":false,"suffix":""}],"container-title":"Transplantation","id":"ITEM-1","issue":"5","issued":{"date-parts":[["2018"]]},"page":"744-756","title":"The Meaning of Being a Living Kidney, Liver, or Stem Cell Donor - A Meta-Ethnography","type":"article-journal","volume":"102"},"uris":["http://www.mendeley.com/documents/?uuid=1fb679ac-5c22-4b33-af0d-25d80e35cc1a"]},{"id":"ITEM-2","itemData":{"DOI":"10.1016/j.bbmt.2013.04.012","ISSN":"10838791","PMID":"23603456","abstract":"Hematopoietic stem cell (HSC) transplantation using bone marrow and peripheral blood stem cells is a lifesaving treatment for patients with leukemia or other blood disorders. However, donors face the risk of physical and psychosocial complications. We aimed to synthesize qualitative studies on the experiences and perspectives of HSC donors. We searched MEDLINE, Embase, PsycINFO, CINAHL, Google Scholar, and reference lists of relevant articles to November 13, 2012. Thematic synthesis was used to analyze the findings. Thirty studies involving 1552 donors were included. The decision to donate included themes of saving life, family loyalty, building a positive identity, religious conviction, fear of invasive procedures, and social pressure and obligation. Five themes about the donation experience were identified: mental preparedness (pervasive pain, intense disappointment over recipient death, exceeding expectations, and valuing positive recipient gains), burden of responsibility (striving to be a quality donor, unresolved guilt, and exacerbated grief), feeling neglected (medical dismissiveness and family inattention), strengthened relationships (stronger family ties, establishing blood bonds), and personal sense of achievement (satisfaction and pride, personal development, hero status, and social recognition). Although HSC donation was appreciated as an opportunity to save life, some donors felt anxious and unduly compelled to donate. HSC donors became emotionally invested and felt responsible for their recipient's outcomes and were profoundly grieved and disappointed if the transplantation was unsuccessful. To maximize donor satisfaction and mitigate the psychosocial risks for HSC donors, strategies to address the emotional challenges of anxiety, sense of coercion, guilt, and grief in donors are warranted. © 2013 American Society for Blood and Marrow Transplantation.","author":[{"dropping-particle":"","family":"Garcia","given":"Maria C.","non-dropping-particle":"","parse-names":false,"suffix":""},{"dropping-particle":"","family":"Chapman","given":"Jeremy R.","non-dropping-particle":"","parse-names":false,"suffix":""},{"dropping-particle":"","family":"Shaw","given":"Peter J.","non-dropping-particle":"","parse-names":false,"suffix":""},{"dropping-particle":"","family":"Gottlieb","given":"David J.","non-dropping-particle":"","parse-names":false,"suffix":""},{"dropping-particle":"","family":"Ralph","given":"Angelique","non-dropping-particle":"","parse-names":false,"suffix":""},{"dropping-particle":"","family":"Craig","given":"Jonathan C.","non-dropping-particle":"","parse-names":false,"suffix":""},{"dropping-particle":"","family":"Tong","given":"Allison","non-dropping-particle":"","parse-names":false,"suffix":""}],"container-title":"Biology of Blood and Marrow Transplantation","id":"ITEM-2","issue":"7","issued":{"date-parts":[["2013"]]},"page":"1046-1058","publisher":"Elsevier Ltd","title":"Motivations, Experiences, and Perspectives of Bone Marrow and Peripheral Blood Stem Cell Donors: Thematic Synthesis of Qualitative Studies","type":"article-journal","volume":"19"},"uris":["http://www.mendeley.com/documents/?uuid=4867e0d8-9a54-4472-8792-5e9dcf148da9"]}],"mendeley":{"formattedCitation":"(51,52)","plainTextFormattedCitation":"(51,52)","previouslyFormattedCitation":"(51,52)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(51,52)</w:t>
      </w:r>
      <w:r w:rsidRPr="006720E4">
        <w:rPr>
          <w:rFonts w:ascii="Calibri" w:hAnsi="Calibri" w:cs="Calibri"/>
          <w:sz w:val="22"/>
          <w:szCs w:val="22"/>
        </w:rPr>
        <w:fldChar w:fldCharType="end"/>
      </w:r>
      <w:r w:rsidRPr="006720E4">
        <w:rPr>
          <w:rFonts w:ascii="Calibri" w:hAnsi="Calibri" w:cs="Calibri"/>
          <w:sz w:val="22"/>
          <w:szCs w:val="22"/>
        </w:rPr>
        <w:t xml:space="preserve"> Conversely, family or friends may discourage or pressure prospective donors to decline donation.</w:t>
      </w:r>
    </w:p>
    <w:p w14:paraId="789F2A95" w14:textId="7777777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sz w:val="22"/>
          <w:szCs w:val="22"/>
        </w:rPr>
        <w:t xml:space="preserve">Relationship dynamics between the prospective donor and the intended transplant recipient and related individuals should be carefully considered through counselling with an appropriately qualified health professional, as these dynamics have the potential to enable, shape or constrain the potential donor’s voluntariness in reaching a decision. Complex pressures to donate may exist, especially within families, but also in non-familial arrangements.  </w:t>
      </w:r>
    </w:p>
    <w:p w14:paraId="0D3181CE" w14:textId="22B391C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Particular </w:t>
      </w:r>
      <w:r w:rsidRPr="006720E4">
        <w:rPr>
          <w:rFonts w:ascii="Calibri" w:hAnsi="Calibri" w:cs="Calibri"/>
          <w:b/>
          <w:bCs/>
          <w:sz w:val="22"/>
          <w:szCs w:val="22"/>
        </w:rPr>
        <w:t>relationship</w:t>
      </w:r>
      <w:r w:rsidRPr="006720E4">
        <w:rPr>
          <w:rFonts w:ascii="Calibri" w:hAnsi="Calibri" w:cs="Calibri"/>
          <w:sz w:val="22"/>
          <w:szCs w:val="22"/>
        </w:rPr>
        <w:t xml:space="preserve"> dynamics may carry an increased risk of undue influence or coercion. For example, some prospective donors may be dependent on the intended recipient or a related individual in some way, and that person may have the ability to apply financial, social, or emotional pressure on the potential donor. Relationships that may cause concern include employee-employer, child-parent, member of faith community and faith leader, student – educator, etc.</w:t>
      </w:r>
    </w:p>
    <w:p w14:paraId="3F4D701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However, there may be power differentials in any relationship. Where a relationship between the potential donor and intended recipient (or related individual) involves an imbalance of power, special attention needs to be given to the possibility of undue influence or coercion, but these risks should be considered routinely in donor evaluation and not presumed to exist simply on the basis of specific types of relationship. </w:t>
      </w:r>
    </w:p>
    <w:p w14:paraId="47C753BA" w14:textId="77777777" w:rsidR="00382A41" w:rsidRPr="00CB5556" w:rsidRDefault="006C6EBA" w:rsidP="00EA22AE">
      <w:pPr>
        <w:spacing w:after="120"/>
        <w:rPr>
          <w:rFonts w:ascii="Calibri" w:hAnsi="Calibri" w:cs="Calibri"/>
          <w:sz w:val="22"/>
          <w:szCs w:val="22"/>
        </w:rPr>
      </w:pPr>
      <w:r w:rsidRPr="006720E4">
        <w:rPr>
          <w:rFonts w:ascii="Calibri" w:hAnsi="Calibri" w:cs="Calibri"/>
          <w:sz w:val="22"/>
          <w:szCs w:val="22"/>
        </w:rPr>
        <w:t xml:space="preserve">Specific safeguards may be needed to help ensure voluntariness in decision making about living directed donation, given the potential impact of donation decisions on the potential donor’s relationships with the transplant candidate and their family. These </w:t>
      </w:r>
      <w:r w:rsidRPr="00CB5556">
        <w:rPr>
          <w:rFonts w:ascii="Calibri" w:hAnsi="Calibri" w:cs="Calibri"/>
          <w:sz w:val="22"/>
          <w:szCs w:val="22"/>
        </w:rPr>
        <w:t>potentially include:</w:t>
      </w:r>
    </w:p>
    <w:p w14:paraId="44898D80" w14:textId="194079CD" w:rsidR="00382A41" w:rsidRPr="00CB5556" w:rsidRDefault="006C6EBA" w:rsidP="00C3783C">
      <w:pPr>
        <w:pStyle w:val="ListParagraph"/>
        <w:numPr>
          <w:ilvl w:val="0"/>
          <w:numId w:val="133"/>
        </w:numPr>
        <w:spacing w:after="120"/>
        <w:contextualSpacing w:val="0"/>
        <w:rPr>
          <w:rFonts w:cs="Calibri"/>
          <w:szCs w:val="22"/>
        </w:rPr>
      </w:pPr>
      <w:r w:rsidRPr="00CB5556">
        <w:rPr>
          <w:rFonts w:cs="Calibri"/>
          <w:szCs w:val="22"/>
        </w:rPr>
        <w:t xml:space="preserve">formal psychosocial evaluation to assess voluntariness of consent (see </w:t>
      </w:r>
      <w:hyperlink w:anchor="_Psychosocial_evaluation_of" w:history="1">
        <w:r w:rsidRPr="00CB5556">
          <w:rPr>
            <w:rStyle w:val="Hyperlink"/>
            <w:rFonts w:cs="Calibri"/>
            <w:szCs w:val="22"/>
          </w:rPr>
          <w:t xml:space="preserve">Chapter </w:t>
        </w:r>
        <w:r w:rsidR="003C386A" w:rsidRPr="00CB5556">
          <w:rPr>
            <w:rStyle w:val="Hyperlink"/>
            <w:rFonts w:cs="Calibri"/>
            <w:szCs w:val="22"/>
          </w:rPr>
          <w:t>6</w:t>
        </w:r>
        <w:r w:rsidRPr="00CB5556">
          <w:rPr>
            <w:rStyle w:val="Hyperlink"/>
            <w:rFonts w:cs="Calibri"/>
            <w:szCs w:val="22"/>
          </w:rPr>
          <w:t>.1.3</w:t>
        </w:r>
      </w:hyperlink>
      <w:r w:rsidRPr="00CB5556">
        <w:rPr>
          <w:rFonts w:cs="Calibri"/>
          <w:szCs w:val="22"/>
        </w:rPr>
        <w:t xml:space="preserve">), </w:t>
      </w:r>
      <w:r w:rsidR="00382A41" w:rsidRPr="00CB5556">
        <w:rPr>
          <w:rFonts w:cs="Calibri"/>
          <w:szCs w:val="22"/>
        </w:rPr>
        <w:t xml:space="preserve">and to identify and evaluate factors that may increase the risk of coercion or manipulation of prospective donors such as </w:t>
      </w:r>
    </w:p>
    <w:p w14:paraId="49AD5406" w14:textId="1229DFE6" w:rsidR="00382A41" w:rsidRDefault="00382A41" w:rsidP="00C3783C">
      <w:pPr>
        <w:pStyle w:val="ListParagraph"/>
        <w:numPr>
          <w:ilvl w:val="1"/>
          <w:numId w:val="133"/>
        </w:numPr>
        <w:spacing w:after="120"/>
        <w:contextualSpacing w:val="0"/>
        <w:rPr>
          <w:rFonts w:cs="Calibri"/>
          <w:szCs w:val="22"/>
        </w:rPr>
      </w:pPr>
      <w:r>
        <w:rPr>
          <w:rFonts w:cs="Calibri"/>
          <w:szCs w:val="22"/>
        </w:rPr>
        <w:t>power differentials and influential relationships between potential donors and recipients;</w:t>
      </w:r>
    </w:p>
    <w:p w14:paraId="203F2598" w14:textId="218C9B3C" w:rsidR="006C6EBA" w:rsidRDefault="00382A41" w:rsidP="00C3783C">
      <w:pPr>
        <w:pStyle w:val="ListParagraph"/>
        <w:numPr>
          <w:ilvl w:val="1"/>
          <w:numId w:val="133"/>
        </w:numPr>
        <w:spacing w:after="120"/>
        <w:contextualSpacing w:val="0"/>
        <w:rPr>
          <w:rFonts w:cs="Calibri"/>
          <w:szCs w:val="22"/>
        </w:rPr>
      </w:pPr>
      <w:r>
        <w:rPr>
          <w:rFonts w:cs="Calibri"/>
          <w:szCs w:val="22"/>
        </w:rPr>
        <w:t xml:space="preserve">risk factors for human trafficking (see </w:t>
      </w:r>
      <w:hyperlink w:anchor="_Prevention_of_organ" w:history="1">
        <w:r w:rsidRPr="0028232A">
          <w:rPr>
            <w:rStyle w:val="Hyperlink"/>
            <w:rFonts w:cs="Calibri"/>
            <w:szCs w:val="22"/>
          </w:rPr>
          <w:t xml:space="preserve">Chapter </w:t>
        </w:r>
        <w:r w:rsidR="0028232A" w:rsidRPr="0028232A">
          <w:rPr>
            <w:rStyle w:val="Hyperlink"/>
            <w:rFonts w:cs="Calibri"/>
            <w:szCs w:val="22"/>
          </w:rPr>
          <w:t>10.6.1.1</w:t>
        </w:r>
      </w:hyperlink>
      <w:r w:rsidRPr="0028232A">
        <w:rPr>
          <w:rFonts w:cs="Calibri"/>
          <w:szCs w:val="22"/>
        </w:rPr>
        <w:t>);</w:t>
      </w:r>
    </w:p>
    <w:p w14:paraId="31920A31" w14:textId="67F41EC5" w:rsidR="006C6EBA" w:rsidRPr="006720E4" w:rsidRDefault="006C6EBA" w:rsidP="00EA22AE">
      <w:pPr>
        <w:pStyle w:val="ListParagraph"/>
        <w:numPr>
          <w:ilvl w:val="0"/>
          <w:numId w:val="13"/>
        </w:numPr>
        <w:spacing w:after="120"/>
        <w:contextualSpacing w:val="0"/>
        <w:rPr>
          <w:rFonts w:cs="Calibri"/>
          <w:szCs w:val="22"/>
        </w:rPr>
      </w:pPr>
      <w:r w:rsidRPr="006720E4">
        <w:rPr>
          <w:rFonts w:cs="Calibri"/>
          <w:szCs w:val="22"/>
        </w:rPr>
        <w:t xml:space="preserve">use of an independent donor </w:t>
      </w:r>
      <w:r w:rsidRPr="00ED784D">
        <w:rPr>
          <w:rFonts w:cs="Calibri"/>
          <w:szCs w:val="22"/>
        </w:rPr>
        <w:t xml:space="preserve">advocate (see </w:t>
      </w:r>
      <w:hyperlink w:anchor="_The_role_of" w:history="1">
        <w:r w:rsidRPr="00ED784D">
          <w:rPr>
            <w:rStyle w:val="Hyperlink"/>
            <w:rFonts w:cs="Calibri"/>
            <w:szCs w:val="22"/>
          </w:rPr>
          <w:t xml:space="preserve">Chapter </w:t>
        </w:r>
        <w:r w:rsidR="003C386A" w:rsidRPr="00ED784D">
          <w:rPr>
            <w:rStyle w:val="Hyperlink"/>
            <w:rFonts w:cs="Calibri"/>
            <w:szCs w:val="22"/>
          </w:rPr>
          <w:t>3</w:t>
        </w:r>
        <w:r w:rsidRPr="00ED784D">
          <w:rPr>
            <w:rStyle w:val="Hyperlink"/>
            <w:rFonts w:cs="Calibri"/>
            <w:szCs w:val="22"/>
          </w:rPr>
          <w:t>.</w:t>
        </w:r>
        <w:r w:rsidR="00ED784D" w:rsidRPr="00ED784D">
          <w:rPr>
            <w:rStyle w:val="Hyperlink"/>
            <w:rFonts w:cs="Calibri"/>
            <w:szCs w:val="22"/>
          </w:rPr>
          <w:t>4</w:t>
        </w:r>
        <w:r w:rsidRPr="00ED784D">
          <w:rPr>
            <w:rStyle w:val="Hyperlink"/>
            <w:rFonts w:cs="Calibri"/>
            <w:szCs w:val="22"/>
          </w:rPr>
          <w:t>.5</w:t>
        </w:r>
      </w:hyperlink>
      <w:r w:rsidRPr="00ED784D">
        <w:rPr>
          <w:rFonts w:cs="Calibri"/>
          <w:szCs w:val="22"/>
        </w:rPr>
        <w:t>)</w:t>
      </w:r>
      <w:r w:rsidR="00382A41" w:rsidRPr="00ED784D">
        <w:rPr>
          <w:rFonts w:cs="Calibri"/>
          <w:szCs w:val="22"/>
        </w:rPr>
        <w:t xml:space="preserve"> or counsellor</w:t>
      </w:r>
      <w:r w:rsidRPr="006720E4">
        <w:rPr>
          <w:rFonts w:cs="Calibri"/>
          <w:szCs w:val="22"/>
          <w:highlight w:val="yellow"/>
        </w:rPr>
        <w:t>,</w:t>
      </w:r>
      <w:r w:rsidRPr="006720E4">
        <w:rPr>
          <w:rFonts w:cs="Calibri"/>
          <w:szCs w:val="22"/>
        </w:rPr>
        <w:t xml:space="preserve"> </w:t>
      </w:r>
    </w:p>
    <w:p w14:paraId="4A9DC8B3" w14:textId="291F4251" w:rsidR="006C6EBA" w:rsidRPr="006720E4" w:rsidRDefault="006C6EBA" w:rsidP="00EA22AE">
      <w:pPr>
        <w:pStyle w:val="ListParagraph"/>
        <w:numPr>
          <w:ilvl w:val="0"/>
          <w:numId w:val="13"/>
        </w:numPr>
        <w:spacing w:after="120"/>
        <w:contextualSpacing w:val="0"/>
        <w:rPr>
          <w:rFonts w:cs="Calibri"/>
          <w:szCs w:val="22"/>
        </w:rPr>
      </w:pPr>
      <w:r w:rsidRPr="006720E4">
        <w:rPr>
          <w:rFonts w:cs="Calibri"/>
          <w:szCs w:val="22"/>
        </w:rPr>
        <w:t>minimum waiting periods between initial decision-making about donation and donation procedures, where possible,</w:t>
      </w:r>
      <w:r w:rsidR="00382A41">
        <w:rPr>
          <w:rFonts w:cs="Calibri"/>
          <w:szCs w:val="22"/>
        </w:rPr>
        <w:t xml:space="preserve"> </w:t>
      </w:r>
    </w:p>
    <w:p w14:paraId="22295F22" w14:textId="03AC4287" w:rsidR="006C6EBA" w:rsidRPr="006720E4" w:rsidRDefault="006C6EBA" w:rsidP="00EA22AE">
      <w:pPr>
        <w:pStyle w:val="ListParagraph"/>
        <w:numPr>
          <w:ilvl w:val="0"/>
          <w:numId w:val="13"/>
        </w:numPr>
        <w:spacing w:after="120"/>
        <w:contextualSpacing w:val="0"/>
        <w:rPr>
          <w:rFonts w:cs="Calibri"/>
          <w:szCs w:val="22"/>
        </w:rPr>
      </w:pPr>
      <w:r w:rsidRPr="006720E4">
        <w:rPr>
          <w:rFonts w:cs="Calibri"/>
          <w:szCs w:val="22"/>
        </w:rPr>
        <w:t xml:space="preserve">careful management of potential conflicts </w:t>
      </w:r>
      <w:r w:rsidRPr="00CB5556">
        <w:rPr>
          <w:rFonts w:cs="Calibri"/>
          <w:szCs w:val="22"/>
        </w:rPr>
        <w:t xml:space="preserve">of interest (see </w:t>
      </w:r>
      <w:hyperlink w:anchor="_Management_of_conflicts" w:history="1">
        <w:r w:rsidRPr="00CB5556">
          <w:rPr>
            <w:rStyle w:val="Hyperlink"/>
            <w:rFonts w:cs="Calibri"/>
            <w:szCs w:val="22"/>
          </w:rPr>
          <w:t xml:space="preserve">Chapter </w:t>
        </w:r>
        <w:r w:rsidR="003C386A" w:rsidRPr="00CB5556">
          <w:rPr>
            <w:rStyle w:val="Hyperlink"/>
            <w:rFonts w:cs="Calibri"/>
            <w:szCs w:val="22"/>
          </w:rPr>
          <w:t>3</w:t>
        </w:r>
        <w:r w:rsidRPr="00CB5556">
          <w:rPr>
            <w:rStyle w:val="Hyperlink"/>
            <w:rFonts w:cs="Calibri"/>
            <w:szCs w:val="22"/>
          </w:rPr>
          <w:t>.</w:t>
        </w:r>
        <w:r w:rsidR="00CB5556" w:rsidRPr="00CB5556">
          <w:rPr>
            <w:rStyle w:val="Hyperlink"/>
            <w:rFonts w:cs="Calibri"/>
            <w:szCs w:val="22"/>
          </w:rPr>
          <w:t>8</w:t>
        </w:r>
        <w:r w:rsidRPr="00CB5556">
          <w:rPr>
            <w:rStyle w:val="Hyperlink"/>
            <w:rFonts w:cs="Calibri"/>
            <w:szCs w:val="22"/>
          </w:rPr>
          <w:t>.2)</w:t>
        </w:r>
      </w:hyperlink>
      <w:r w:rsidRPr="00CB5556">
        <w:rPr>
          <w:rFonts w:cs="Calibri"/>
          <w:szCs w:val="22"/>
        </w:rPr>
        <w:t>,</w:t>
      </w:r>
    </w:p>
    <w:p w14:paraId="2833689B" w14:textId="347613DE" w:rsidR="006C6EBA" w:rsidRPr="00ED784D" w:rsidRDefault="006C6EBA" w:rsidP="00EA22AE">
      <w:pPr>
        <w:pStyle w:val="ListParagraph"/>
        <w:numPr>
          <w:ilvl w:val="0"/>
          <w:numId w:val="13"/>
        </w:numPr>
        <w:spacing w:after="120"/>
        <w:contextualSpacing w:val="0"/>
        <w:rPr>
          <w:rFonts w:cs="Calibri"/>
          <w:szCs w:val="22"/>
        </w:rPr>
      </w:pPr>
      <w:r w:rsidRPr="006720E4">
        <w:rPr>
          <w:rFonts w:cs="Calibri"/>
          <w:szCs w:val="22"/>
        </w:rPr>
        <w:t xml:space="preserve">use of strategies to support and protect the potential donor if they decline donation and have concerns about disclosing to the transplant candidate that they did not wish to donate. For example, a “donor alibi” may be offered by the clinical team if desired, communicating to the transplant </w:t>
      </w:r>
      <w:r w:rsidRPr="00ED784D">
        <w:rPr>
          <w:rFonts w:cs="Calibri"/>
          <w:szCs w:val="22"/>
        </w:rPr>
        <w:t>candidate that the potential donor was not suitable to donate.</w:t>
      </w:r>
      <w:r w:rsidRPr="00ED784D">
        <w:rPr>
          <w:rFonts w:cs="Calibri"/>
          <w:szCs w:val="22"/>
        </w:rPr>
        <w:fldChar w:fldCharType="begin" w:fldLock="1"/>
      </w:r>
      <w:r w:rsidR="00EB088B">
        <w:rPr>
          <w:rFonts w:cs="Calibri"/>
          <w:szCs w:val="22"/>
        </w:rPr>
        <w:instrText>ADDIN CSL_CITATION {"citationItems":[{"id":"ITEM-1","itemData":{"DOI":"10.1136/medethics-2014-102184","ISSN":"14734257","PMID":"25368413","abstract":"Ethicists and guidelines have suggested that potential living kidney donors who withdraw from evaluation be offered an 'alibi.' We sought to determine what potential living kidney donors are told about their ability to opt out, alibi availability and postwithdrawal confidentiality. We reviewed 148 consent forms for living kidney donor evaluation from US transplant centres that performed &gt;5 living kidney transplants in 2010-2011 (response rate 87%). We found that while 98% of centres used evaluation consent forms that indicated that the donor could withdraw, only 21% of these documents offered an alibi. Another 23% of centres' consent forms indicated that the transplant team would be willing to inform the intended recipient that an individual was not a potential donor. Relatively few consent documents explicitly addressed the confidentiality of the donor's health information (31%), candidacy status (18%), decision (24%) or reasons (23%) following withdrawal. To preserve potential donors' autonomy and relationships, we advocate that all transplant centres offer general alibis in their evaluation consent forms. We conclude by offering recommendations for evaluation consent discussions of opting out, alibis and postwithdrawal confidentiality.","author":[{"dropping-particle":"","family":"Thiessen","given":"Carrie","non-dropping-particle":"","parse-names":false,"suffix":""},{"dropping-particle":"","family":"Kim","given":"Yunsoo A.","non-dropping-particle":"","parse-names":false,"suffix":""},{"dropping-particle":"","family":"Formica","given":"Richard","non-dropping-particle":"","parse-names":false,"suffix":""},{"dropping-particle":"","family":"Bia","given":"Margaret","non-dropping-particle":"","parse-names":false,"suffix":""},{"dropping-particle":"","family":"Kulkarni","given":"Sanjay","non-dropping-particle":"","parse-names":false,"suffix":""}],"container-title":"Journal of Medical Ethics","id":"ITEM-1","issue":"7","issued":{"date-parts":[["2015"]]},"page":"506-510","title":"Opting out: Confidentiality and availability of an 'alibi' for potential living kidney donors in the USA","type":"article-journal","volume":"41"},"uris":["http://www.mendeley.com/documents/?uuid=2735c28b-9338-49a9-8514-b4024da20187"]}],"mendeley":{"formattedCitation":"(53)","plainTextFormattedCitation":"(53)","previouslyFormattedCitation":"(53)"},"properties":{"noteIndex":0},"schema":"https://github.com/citation-style-language/schema/raw/master/csl-citation.json"}</w:instrText>
      </w:r>
      <w:r w:rsidRPr="00ED784D">
        <w:rPr>
          <w:rFonts w:cs="Calibri"/>
          <w:szCs w:val="22"/>
        </w:rPr>
        <w:fldChar w:fldCharType="separate"/>
      </w:r>
      <w:r w:rsidR="00BA3D76" w:rsidRPr="00BA3D76">
        <w:rPr>
          <w:rFonts w:cs="Calibri"/>
          <w:noProof/>
          <w:szCs w:val="22"/>
        </w:rPr>
        <w:t>(53)</w:t>
      </w:r>
      <w:r w:rsidRPr="00ED784D">
        <w:rPr>
          <w:rFonts w:cs="Calibri"/>
          <w:szCs w:val="22"/>
        </w:rPr>
        <w:fldChar w:fldCharType="end"/>
      </w:r>
      <w:r w:rsidRPr="00ED784D">
        <w:rPr>
          <w:rFonts w:cs="Calibri"/>
          <w:szCs w:val="22"/>
        </w:rPr>
        <w:t xml:space="preserve"> (See</w:t>
      </w:r>
      <w:r w:rsidRPr="00ED784D">
        <w:rPr>
          <w:rFonts w:cs="Calibri"/>
        </w:rPr>
        <w:t xml:space="preserve"> </w:t>
      </w:r>
      <w:hyperlink w:anchor="_Strategies_to_support" w:history="1">
        <w:r w:rsidRPr="00ED784D">
          <w:rPr>
            <w:rStyle w:val="Hyperlink"/>
            <w:rFonts w:cs="Calibri"/>
          </w:rPr>
          <w:t xml:space="preserve">Chapter </w:t>
        </w:r>
        <w:r w:rsidR="003C386A" w:rsidRPr="00ED784D">
          <w:rPr>
            <w:rStyle w:val="Hyperlink"/>
            <w:rFonts w:cs="Calibri"/>
          </w:rPr>
          <w:t>7</w:t>
        </w:r>
        <w:r w:rsidRPr="00ED784D">
          <w:rPr>
            <w:rStyle w:val="Hyperlink"/>
            <w:rFonts w:cs="Calibri"/>
          </w:rPr>
          <w:t>.2.2.1</w:t>
        </w:r>
      </w:hyperlink>
      <w:r w:rsidRPr="00ED784D">
        <w:rPr>
          <w:rFonts w:cs="Calibri"/>
          <w:szCs w:val="22"/>
        </w:rPr>
        <w:t>)</w:t>
      </w:r>
    </w:p>
    <w:p w14:paraId="0CDC1ECE" w14:textId="62DF5188" w:rsidR="00382A41" w:rsidRDefault="00382A41" w:rsidP="00EA22AE">
      <w:pPr>
        <w:spacing w:after="120"/>
        <w:rPr>
          <w:rFonts w:ascii="Calibri" w:hAnsi="Calibri" w:cs="Calibri"/>
          <w:sz w:val="22"/>
          <w:szCs w:val="22"/>
        </w:rPr>
      </w:pPr>
      <w:r w:rsidRPr="00382A41">
        <w:rPr>
          <w:rFonts w:ascii="Calibri" w:hAnsi="Calibri" w:cs="Calibri"/>
          <w:sz w:val="22"/>
          <w:szCs w:val="22"/>
        </w:rPr>
        <w:t xml:space="preserve">Potential exclusion of some prospective living directed donors may be considered where the intended recipient or related parties </w:t>
      </w:r>
      <w:r>
        <w:rPr>
          <w:rFonts w:ascii="Calibri" w:hAnsi="Calibri" w:cs="Calibri"/>
          <w:sz w:val="22"/>
          <w:szCs w:val="22"/>
        </w:rPr>
        <w:t xml:space="preserve">holds </w:t>
      </w:r>
      <w:r w:rsidRPr="00382A41">
        <w:rPr>
          <w:rFonts w:ascii="Calibri" w:hAnsi="Calibri" w:cs="Calibri"/>
          <w:sz w:val="22"/>
          <w:szCs w:val="22"/>
        </w:rPr>
        <w:t>a position of relative power or significant social, economic or spiritual influence over the prospective donor or their kin.</w:t>
      </w:r>
    </w:p>
    <w:p w14:paraId="783BBC42" w14:textId="77777777" w:rsidR="00382A41" w:rsidRPr="00382A41" w:rsidRDefault="00382A41" w:rsidP="00EA22AE">
      <w:pPr>
        <w:spacing w:after="120"/>
        <w:rPr>
          <w:rFonts w:cs="Calibri"/>
          <w:sz w:val="22"/>
          <w:szCs w:val="22"/>
        </w:rPr>
      </w:pPr>
    </w:p>
    <w:p w14:paraId="5740C033" w14:textId="77777777" w:rsidR="006C6EBA" w:rsidRPr="006720E4" w:rsidRDefault="006C6EBA" w:rsidP="00EA22AE">
      <w:pPr>
        <w:pStyle w:val="Heading3"/>
        <w:spacing w:after="120"/>
      </w:pPr>
      <w:bookmarkStart w:id="1462" w:name="_Consent_in_living"/>
      <w:bookmarkStart w:id="1463" w:name="_Toc70844172"/>
      <w:bookmarkStart w:id="1464" w:name="_Toc72615104"/>
      <w:bookmarkStart w:id="1465" w:name="_Toc73129824"/>
      <w:bookmarkStart w:id="1466" w:name="_Toc73301693"/>
      <w:bookmarkStart w:id="1467" w:name="_Toc73302199"/>
      <w:bookmarkStart w:id="1468" w:name="_Toc73303332"/>
      <w:bookmarkStart w:id="1469" w:name="_Toc73303577"/>
      <w:bookmarkStart w:id="1470" w:name="_Toc74080694"/>
      <w:bookmarkStart w:id="1471" w:name="_Toc74081002"/>
      <w:bookmarkStart w:id="1472" w:name="_Toc74081232"/>
      <w:bookmarkStart w:id="1473" w:name="_Toc74081477"/>
      <w:bookmarkStart w:id="1474" w:name="_Toc74171063"/>
      <w:bookmarkStart w:id="1475" w:name="_Toc74172254"/>
      <w:bookmarkStart w:id="1476" w:name="_Toc74172790"/>
      <w:bookmarkStart w:id="1477" w:name="_Toc74238737"/>
      <w:bookmarkStart w:id="1478" w:name="_Toc79406353"/>
      <w:bookmarkStart w:id="1479" w:name="_Toc82773533"/>
      <w:bookmarkStart w:id="1480" w:name="_Toc82773886"/>
      <w:bookmarkStart w:id="1481" w:name="_Toc63683413"/>
      <w:bookmarkStart w:id="1482" w:name="_Toc70241757"/>
      <w:bookmarkStart w:id="1483" w:name="_Toc70243391"/>
      <w:bookmarkStart w:id="1484" w:name="_Toc70414849"/>
      <w:bookmarkEnd w:id="1462"/>
      <w:r w:rsidRPr="006720E4">
        <w:t>Consent in living non-directed donation</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14:paraId="6A1A3FB6" w14:textId="382375F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Living </w:t>
      </w:r>
      <w:hyperlink w:anchor="_Glossary" w:history="1">
        <w:r w:rsidRPr="006720E4">
          <w:rPr>
            <w:rStyle w:val="Hyperlink"/>
            <w:rFonts w:ascii="Calibri" w:hAnsi="Calibri" w:cs="Calibri"/>
            <w:sz w:val="22"/>
            <w:szCs w:val="22"/>
          </w:rPr>
          <w:t>non-directed</w:t>
        </w:r>
      </w:hyperlink>
      <w:r w:rsidRPr="006720E4">
        <w:rPr>
          <w:rFonts w:ascii="Calibri" w:hAnsi="Calibri" w:cs="Calibri"/>
          <w:sz w:val="22"/>
          <w:szCs w:val="22"/>
        </w:rPr>
        <w:t xml:space="preserve"> donation may be associated with fewer concerns about potential coercive influences on donation decision-making given the absence of relationships between prospective donors and potential recipient of their donations. Nevertheless, there may be important </w:t>
      </w:r>
      <w:r w:rsidRPr="006720E4">
        <w:rPr>
          <w:rFonts w:ascii="Calibri" w:hAnsi="Calibri" w:cs="Calibri"/>
          <w:sz w:val="22"/>
          <w:szCs w:val="22"/>
        </w:rPr>
        <w:lastRenderedPageBreak/>
        <w:t xml:space="preserve">considerations in particular contexts that could undermine decision-making or compromise consent for living non-directed donation. Information that may be specifically relevant when obtaining consent for non-directed donation is also considered in </w:t>
      </w:r>
      <w:hyperlink w:anchor="_Information_of_potential" w:history="1">
        <w:r w:rsidRPr="006720E4">
          <w:rPr>
            <w:rStyle w:val="Hyperlink"/>
            <w:rFonts w:ascii="Calibri" w:hAnsi="Calibri" w:cs="Calibri"/>
            <w:sz w:val="22"/>
            <w:szCs w:val="22"/>
          </w:rPr>
          <w:t xml:space="preserve">Chapter </w:t>
        </w:r>
        <w:r w:rsidR="003C386A" w:rsidRPr="006720E4">
          <w:rPr>
            <w:rStyle w:val="Hyperlink"/>
            <w:rFonts w:ascii="Calibri" w:hAnsi="Calibri" w:cs="Calibri"/>
            <w:sz w:val="22"/>
            <w:szCs w:val="22"/>
          </w:rPr>
          <w:t>4</w:t>
        </w:r>
        <w:r w:rsidRPr="006720E4">
          <w:rPr>
            <w:rStyle w:val="Hyperlink"/>
            <w:rFonts w:ascii="Calibri" w:hAnsi="Calibri" w:cs="Calibri"/>
            <w:sz w:val="22"/>
            <w:szCs w:val="22"/>
          </w:rPr>
          <w:t>.1.3.1.</w:t>
        </w:r>
      </w:hyperlink>
    </w:p>
    <w:p w14:paraId="0C0B2B7F" w14:textId="77777777" w:rsidR="006C6EBA" w:rsidRPr="006720E4" w:rsidRDefault="006C6EBA" w:rsidP="00EA22AE">
      <w:pPr>
        <w:pStyle w:val="Heading4"/>
        <w:spacing w:after="120"/>
      </w:pPr>
      <w:bookmarkStart w:id="1485" w:name="_Consent_in_living_3"/>
      <w:bookmarkStart w:id="1486" w:name="_Toc73129825"/>
      <w:bookmarkStart w:id="1487" w:name="_Toc73301694"/>
      <w:bookmarkStart w:id="1488" w:name="_Toc73302200"/>
      <w:bookmarkStart w:id="1489" w:name="_Toc73303333"/>
      <w:bookmarkStart w:id="1490" w:name="_Toc74081478"/>
      <w:bookmarkStart w:id="1491" w:name="_Toc74172255"/>
      <w:bookmarkStart w:id="1492" w:name="_Toc74172791"/>
      <w:bookmarkStart w:id="1493" w:name="_Toc82773534"/>
      <w:bookmarkStart w:id="1494" w:name="_Toc82773887"/>
      <w:bookmarkEnd w:id="1485"/>
      <w:r w:rsidRPr="006720E4">
        <w:t>Consent in living non-directed organ donation</w:t>
      </w:r>
      <w:bookmarkEnd w:id="1486"/>
      <w:bookmarkEnd w:id="1487"/>
      <w:bookmarkEnd w:id="1488"/>
      <w:bookmarkEnd w:id="1489"/>
      <w:bookmarkEnd w:id="1490"/>
      <w:bookmarkEnd w:id="1491"/>
      <w:bookmarkEnd w:id="1492"/>
      <w:bookmarkEnd w:id="1493"/>
      <w:bookmarkEnd w:id="1494"/>
    </w:p>
    <w:p w14:paraId="23905CB6" w14:textId="7426FAA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individuals volunteer to donate an organ as a non-directed organ donor, concerns may be raised about their </w:t>
      </w:r>
      <w:r w:rsidRPr="006720E4">
        <w:rPr>
          <w:rFonts w:ascii="Calibri" w:hAnsi="Calibri" w:cs="Calibri"/>
          <w:b/>
          <w:bCs/>
          <w:sz w:val="22"/>
          <w:szCs w:val="22"/>
        </w:rPr>
        <w:t>capacity</w:t>
      </w:r>
      <w:r w:rsidRPr="006720E4">
        <w:rPr>
          <w:rFonts w:ascii="Calibri" w:hAnsi="Calibri" w:cs="Calibri"/>
          <w:sz w:val="22"/>
          <w:szCs w:val="22"/>
        </w:rPr>
        <w:t xml:space="preserve"> to consent. This is often because of concerns about the motivations of a person who is willing to assume the significant burdens and risks of living organ donation for the benefit of helping a stranger. For example, there may be concerns that the motivation to donate is a consequence of unresolved psychological issues, lack of understanding of the risks and burdens, or inappropriate expectations of the outcomes of donation, such as establishing relationships with recipients. Concerns may also be raised about the proportionality of risks and benefits of living organ donation when there is no emotional or social tie between donor and recipient, as discussed in </w:t>
      </w:r>
      <w:hyperlink w:anchor="_Non-directed_living_organ" w:history="1">
        <w:r w:rsidRPr="00F77570">
          <w:rPr>
            <w:rStyle w:val="Hyperlink"/>
            <w:rFonts w:ascii="Calibri" w:hAnsi="Calibri" w:cs="Calibri"/>
            <w:sz w:val="22"/>
            <w:szCs w:val="22"/>
          </w:rPr>
          <w:t xml:space="preserve">Chapter </w:t>
        </w:r>
        <w:r w:rsidR="003C386A" w:rsidRPr="00F77570">
          <w:rPr>
            <w:rStyle w:val="Hyperlink"/>
            <w:rFonts w:ascii="Calibri" w:hAnsi="Calibri" w:cs="Calibri"/>
            <w:sz w:val="22"/>
            <w:szCs w:val="22"/>
          </w:rPr>
          <w:t>6</w:t>
        </w:r>
        <w:r w:rsidRPr="00F77570">
          <w:rPr>
            <w:rStyle w:val="Hyperlink"/>
            <w:rFonts w:ascii="Calibri" w:hAnsi="Calibri" w:cs="Calibri"/>
            <w:sz w:val="22"/>
            <w:szCs w:val="22"/>
          </w:rPr>
          <w:t>.3.4</w:t>
        </w:r>
      </w:hyperlink>
      <w:r w:rsidRPr="00F77570">
        <w:rPr>
          <w:rFonts w:ascii="Calibri" w:hAnsi="Calibri" w:cs="Calibri"/>
          <w:sz w:val="22"/>
          <w:szCs w:val="22"/>
        </w:rPr>
        <w:t>). Careful</w:t>
      </w:r>
      <w:r w:rsidRPr="006720E4">
        <w:rPr>
          <w:rFonts w:ascii="Calibri" w:hAnsi="Calibri" w:cs="Calibri"/>
          <w:sz w:val="22"/>
          <w:szCs w:val="22"/>
        </w:rPr>
        <w:t xml:space="preserve"> </w:t>
      </w:r>
      <w:r w:rsidRPr="00F77570">
        <w:rPr>
          <w:rFonts w:ascii="Calibri" w:hAnsi="Calibri" w:cs="Calibri"/>
          <w:sz w:val="22"/>
          <w:szCs w:val="22"/>
        </w:rPr>
        <w:t xml:space="preserve">psychosocial evaluation (see </w:t>
      </w:r>
      <w:hyperlink w:anchor="_Psychosocial_evaluation_of_1" w:history="1">
        <w:r w:rsidRPr="00F77570">
          <w:rPr>
            <w:rStyle w:val="Hyperlink"/>
            <w:rFonts w:ascii="Calibri" w:hAnsi="Calibri" w:cs="Calibri"/>
            <w:sz w:val="22"/>
            <w:szCs w:val="22"/>
          </w:rPr>
          <w:t xml:space="preserve">Chapter </w:t>
        </w:r>
        <w:r w:rsidR="003C386A" w:rsidRPr="00F77570">
          <w:rPr>
            <w:rStyle w:val="Hyperlink"/>
            <w:rFonts w:ascii="Calibri" w:hAnsi="Calibri" w:cs="Calibri"/>
            <w:sz w:val="22"/>
            <w:szCs w:val="22"/>
          </w:rPr>
          <w:t>6</w:t>
        </w:r>
        <w:r w:rsidRPr="00F77570">
          <w:rPr>
            <w:rStyle w:val="Hyperlink"/>
            <w:rFonts w:ascii="Calibri" w:hAnsi="Calibri" w:cs="Calibri"/>
            <w:sz w:val="22"/>
            <w:szCs w:val="22"/>
          </w:rPr>
          <w:t>.1.3</w:t>
        </w:r>
      </w:hyperlink>
      <w:r w:rsidRPr="00F77570">
        <w:rPr>
          <w:rFonts w:ascii="Calibri" w:hAnsi="Calibri" w:cs="Calibri"/>
          <w:sz w:val="22"/>
          <w:szCs w:val="22"/>
        </w:rPr>
        <w:t>) is needed to</w:t>
      </w:r>
      <w:r w:rsidRPr="006720E4">
        <w:rPr>
          <w:rFonts w:ascii="Calibri" w:hAnsi="Calibri" w:cs="Calibri"/>
          <w:sz w:val="22"/>
          <w:szCs w:val="22"/>
        </w:rPr>
        <w:t xml:space="preserve"> assess these concerns and ensure that valid consent is obtained.</w:t>
      </w:r>
      <w:bookmarkStart w:id="1495" w:name="_Toc73129826"/>
    </w:p>
    <w:p w14:paraId="74418715" w14:textId="33216E83" w:rsidR="006C6EBA" w:rsidRPr="006720E4" w:rsidRDefault="006C6EBA" w:rsidP="00EA22AE">
      <w:pPr>
        <w:pStyle w:val="Heading4"/>
        <w:spacing w:after="120"/>
      </w:pPr>
      <w:bookmarkStart w:id="1496" w:name="_Consent_in_unrelated"/>
      <w:bookmarkStart w:id="1497" w:name="_Consent_in_non-directed"/>
      <w:bookmarkStart w:id="1498" w:name="_Toc73301695"/>
      <w:bookmarkStart w:id="1499" w:name="_Toc73302201"/>
      <w:bookmarkStart w:id="1500" w:name="_Toc73303334"/>
      <w:bookmarkStart w:id="1501" w:name="_Toc74081479"/>
      <w:bookmarkStart w:id="1502" w:name="_Toc74172256"/>
      <w:bookmarkStart w:id="1503" w:name="_Toc74172792"/>
      <w:bookmarkStart w:id="1504" w:name="_Toc82773535"/>
      <w:bookmarkStart w:id="1505" w:name="_Toc82773888"/>
      <w:bookmarkEnd w:id="1496"/>
      <w:bookmarkEnd w:id="1497"/>
      <w:r w:rsidRPr="006720E4">
        <w:t>Consent in non-directed HSC donation</w:t>
      </w:r>
      <w:bookmarkEnd w:id="1495"/>
      <w:bookmarkEnd w:id="1498"/>
      <w:bookmarkEnd w:id="1499"/>
      <w:bookmarkEnd w:id="1500"/>
      <w:bookmarkEnd w:id="1501"/>
      <w:bookmarkEnd w:id="1502"/>
      <w:bookmarkEnd w:id="1503"/>
      <w:bookmarkEnd w:id="1504"/>
      <w:bookmarkEnd w:id="1505"/>
    </w:p>
    <w:p w14:paraId="10E83016" w14:textId="75EFFCA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Donation of HSCs is a much lower risk and considerably less burdensome procedure than living organ donation. Nevertheless, there are important and specific ethical considerations that relate to consent by non-directed HSC donors. The first step in the consent process for non-directed HSC donors occurs when they make a decision to join the Australian Bone Marrow Donor Registry (ABMDR) (se</w:t>
      </w:r>
      <w:r w:rsidR="003C386A" w:rsidRPr="006720E4">
        <w:rPr>
          <w:rFonts w:ascii="Calibri" w:hAnsi="Calibri" w:cs="Calibri"/>
          <w:sz w:val="22"/>
          <w:szCs w:val="22"/>
        </w:rPr>
        <w:t xml:space="preserve">e </w:t>
      </w:r>
      <w:hyperlink w:anchor="_Blood_and_marrow_1" w:history="1">
        <w:r w:rsidR="007538E7" w:rsidRPr="007538E7">
          <w:rPr>
            <w:rStyle w:val="Hyperlink"/>
            <w:rFonts w:ascii="Calibri" w:hAnsi="Calibri" w:cs="Calibri"/>
            <w:sz w:val="22"/>
            <w:szCs w:val="22"/>
          </w:rPr>
          <w:t>Chapter 2.3.7</w:t>
        </w:r>
      </w:hyperlink>
      <w:r w:rsidRPr="006720E4">
        <w:rPr>
          <w:rFonts w:ascii="Calibri" w:hAnsi="Calibri" w:cs="Calibri"/>
          <w:sz w:val="22"/>
          <w:szCs w:val="22"/>
        </w:rPr>
        <w:t>). The ABMDR provides information to potential registrants via a donor enrolment form.</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{"citationItems":[{"id":"ITEM-1","itemData":{"author":[{"dropping-particle":"","family":"Australian Bone Marrow Donor Registry (ABMDR)","given":"","non-dropping-particle":"","parse-names":false,"suffix":""}],"id":"ITEM-1","issued":{"date-parts":[["2021"]]},"title":"Donor enrolment form","type":"article"},"uris":["http://www.mendeley.com/documents/?uuid=1fd4a933-15c7-4222-8212-6580dae7830d"]}],"mendeley":{"formattedCitation":"(54)","plainTextFormattedCitation":"(54)","previouslyFormattedCitation":"(54)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(54)</w:t>
      </w:r>
      <w:r w:rsidRPr="006720E4">
        <w:rPr>
          <w:rFonts w:ascii="Calibri" w:hAnsi="Calibri" w:cs="Calibri"/>
          <w:sz w:val="22"/>
          <w:szCs w:val="22"/>
        </w:rPr>
        <w:fldChar w:fldCharType="end"/>
      </w:r>
      <w:r w:rsidRPr="006720E4">
        <w:rPr>
          <w:rFonts w:ascii="Calibri" w:hAnsi="Calibri" w:cs="Calibri"/>
          <w:sz w:val="22"/>
          <w:szCs w:val="22"/>
        </w:rPr>
        <w:t xml:space="preserve"> </w:t>
      </w:r>
    </w:p>
    <w:p w14:paraId="36896E6B" w14:textId="50408994" w:rsidR="006C6EBA" w:rsidRPr="006720E4" w:rsidRDefault="006C6EBA" w:rsidP="00EA22AE">
      <w:pPr>
        <w:spacing w:after="120"/>
        <w:rPr>
          <w:rFonts w:ascii="Calibri" w:hAnsi="Calibri" w:cs="Calibri"/>
          <w:bCs/>
          <w:sz w:val="22"/>
          <w:szCs w:val="22"/>
        </w:rPr>
      </w:pPr>
      <w:r w:rsidRPr="006720E4">
        <w:rPr>
          <w:rFonts w:ascii="Calibri" w:hAnsi="Calibri" w:cs="Calibri"/>
          <w:sz w:val="22"/>
          <w:szCs w:val="22"/>
        </w:rPr>
        <w:t xml:space="preserve">Eligible registrants provide consent to be </w:t>
      </w:r>
      <w:r w:rsidRPr="006720E4">
        <w:rPr>
          <w:rFonts w:ascii="Calibri" w:hAnsi="Calibri" w:cs="Calibri"/>
          <w:b/>
          <w:bCs/>
          <w:sz w:val="22"/>
          <w:szCs w:val="22"/>
        </w:rPr>
        <w:t>enrolled</w:t>
      </w:r>
      <w:r w:rsidRPr="006720E4">
        <w:rPr>
          <w:rFonts w:ascii="Calibri" w:hAnsi="Calibri" w:cs="Calibri"/>
          <w:sz w:val="22"/>
          <w:szCs w:val="22"/>
        </w:rPr>
        <w:t xml:space="preserve"> as a donor, which includes providing consent to have blood collected for testing, with personal information then stored within the registry, and consent to be contacted if a potential match is found in the future. Registrants may also choose to consent for use of their (deidentified) information in research. </w:t>
      </w:r>
      <w:r w:rsidRPr="006720E4">
        <w:rPr>
          <w:rFonts w:ascii="Calibri" w:hAnsi="Calibri" w:cs="Calibri"/>
          <w:bCs/>
          <w:sz w:val="22"/>
          <w:szCs w:val="22"/>
        </w:rPr>
        <w:t xml:space="preserve">Joining the registry does not constitute consent to donate HSCs, but rather consent to have personal information stored in the registry and to be contacted and asked to donate if a match is identified. </w:t>
      </w:r>
    </w:p>
    <w:p w14:paraId="515DE213" w14:textId="0B6CE8D1" w:rsidR="006C6EBA" w:rsidRPr="006720E4" w:rsidRDefault="006C6EBA" w:rsidP="00EA22AE">
      <w:pPr>
        <w:spacing w:after="120"/>
        <w:rPr>
          <w:rFonts w:ascii="Calibri" w:hAnsi="Calibri" w:cs="Calibri"/>
          <w:bCs/>
          <w:sz w:val="22"/>
          <w:szCs w:val="22"/>
        </w:rPr>
      </w:pPr>
      <w:r w:rsidRPr="006720E4">
        <w:rPr>
          <w:rFonts w:ascii="Calibri" w:hAnsi="Calibri" w:cs="Calibri"/>
          <w:bCs/>
          <w:sz w:val="22"/>
          <w:szCs w:val="22"/>
        </w:rPr>
        <w:t xml:space="preserve">When a potential match is found, the potential donor is then asked to provide current and specific consent to a series of procedures leading up to the collection of HSCs for transplantation, including, for example, further tests to confirm whether the individual is clinically suitable to donate and an appropriate match for the intended recipient. </w:t>
      </w:r>
    </w:p>
    <w:p w14:paraId="19B6DFA0" w14:textId="4E92494A" w:rsidR="006C6EBA" w:rsidRPr="006720E4" w:rsidRDefault="006C6EBA" w:rsidP="00EA22AE">
      <w:pPr>
        <w:spacing w:after="120"/>
        <w:rPr>
          <w:rFonts w:ascii="Calibri" w:hAnsi="Calibri" w:cs="Calibri"/>
          <w:bCs/>
          <w:sz w:val="22"/>
          <w:szCs w:val="22"/>
        </w:rPr>
      </w:pPr>
      <w:r w:rsidRPr="006720E4">
        <w:rPr>
          <w:rFonts w:ascii="Calibri" w:hAnsi="Calibri" w:cs="Calibri"/>
          <w:bCs/>
          <w:sz w:val="22"/>
          <w:szCs w:val="22"/>
        </w:rPr>
        <w:t>In addition to receiving specific information about each of the procedures to which the potential donor may be asked to consent, the potential donor should also receive or be reminded of information about aspects of donation such as requirements for anonymity and reimbursement of expenses, as outlined by the ABMDR.</w:t>
      </w:r>
      <w:r w:rsidRPr="006720E4">
        <w:rPr>
          <w:rFonts w:ascii="Calibri" w:hAnsi="Calibri" w:cs="Calibri"/>
          <w:bCs/>
          <w:sz w:val="22"/>
          <w:szCs w:val="22"/>
        </w:rPr>
        <w:fldChar w:fldCharType="begin" w:fldLock="1"/>
      </w:r>
      <w:r w:rsidR="00EB088B">
        <w:rPr>
          <w:rFonts w:ascii="Calibri" w:hAnsi="Calibri" w:cs="Calibri"/>
          <w:bCs/>
          <w:sz w:val="22"/>
          <w:szCs w:val="22"/>
        </w:rPr>
        <w:instrText>ADDIN CSL_CITATION {"citationItems":[{"id":"ITEM-1","itemData":{"URL":"https://www.abmdr.org.au/donors/work-up/","author":[{"dropping-particle":"","family":"Australian Bone Marrow Donor Registry (ABMDR)","given":"","non-dropping-particle":"","parse-names":false,"suffix":""}],"id":"ITEM-1","issued":{"date-parts":[["2021"]]},"title":"Donor Information - Work Up","type":"webpage"},"uris":["http://www.mendeley.com/documents/?uuid=f943c10e-afea-4ef6-bb7e-4691893c2b2c"]}],"mendeley":{"formattedCitation":"(55)","plainTextFormattedCitation":"(55)","previouslyFormattedCitation":"(55)"},"properties":{"noteIndex":0},"schema":"https://github.com/citation-style-language/schema/raw/master/csl-citation.json"}</w:instrText>
      </w:r>
      <w:r w:rsidRPr="006720E4">
        <w:rPr>
          <w:rFonts w:ascii="Calibri" w:hAnsi="Calibri" w:cs="Calibri"/>
          <w:bCs/>
          <w:sz w:val="22"/>
          <w:szCs w:val="22"/>
        </w:rPr>
        <w:fldChar w:fldCharType="separate"/>
      </w:r>
      <w:r w:rsidR="00BA3D76" w:rsidRPr="00BA3D76">
        <w:rPr>
          <w:rFonts w:ascii="Calibri" w:hAnsi="Calibri" w:cs="Calibri"/>
          <w:bCs/>
          <w:noProof/>
          <w:sz w:val="22"/>
          <w:szCs w:val="22"/>
        </w:rPr>
        <w:t>(55)</w:t>
      </w:r>
      <w:r w:rsidRPr="006720E4">
        <w:rPr>
          <w:rFonts w:ascii="Calibri" w:hAnsi="Calibri" w:cs="Calibri"/>
          <w:bCs/>
          <w:sz w:val="22"/>
          <w:szCs w:val="22"/>
        </w:rPr>
        <w:fldChar w:fldCharType="end"/>
      </w:r>
      <w:r w:rsidRPr="006720E4">
        <w:rPr>
          <w:rFonts w:ascii="Calibri" w:hAnsi="Calibri" w:cs="Calibri"/>
          <w:bCs/>
          <w:sz w:val="22"/>
          <w:szCs w:val="22"/>
        </w:rPr>
        <w:t xml:space="preserve"> In particular, the potential donor must be informed of their right to withdraw consent before donation occurs and of the consequences of withdrawing consent if the intended recipient has commenced preconditioning for transplantation (see </w:t>
      </w:r>
      <w:hyperlink w:anchor="_Withdrawal_of_consent" w:history="1">
        <w:r w:rsidRPr="006720E4">
          <w:rPr>
            <w:rStyle w:val="Hyperlink"/>
            <w:rFonts w:ascii="Calibri" w:hAnsi="Calibri" w:cs="Calibri"/>
            <w:bCs/>
            <w:sz w:val="22"/>
            <w:szCs w:val="22"/>
          </w:rPr>
          <w:t xml:space="preserve">Chapter </w:t>
        </w:r>
        <w:r w:rsidR="0004484E" w:rsidRPr="006720E4">
          <w:rPr>
            <w:rStyle w:val="Hyperlink"/>
            <w:rFonts w:ascii="Calibri" w:hAnsi="Calibri" w:cs="Calibri"/>
            <w:bCs/>
            <w:sz w:val="22"/>
            <w:szCs w:val="22"/>
          </w:rPr>
          <w:t>4</w:t>
        </w:r>
        <w:r w:rsidRPr="006720E4">
          <w:rPr>
            <w:rStyle w:val="Hyperlink"/>
            <w:rFonts w:ascii="Calibri" w:hAnsi="Calibri" w:cs="Calibri"/>
            <w:bCs/>
            <w:sz w:val="22"/>
            <w:szCs w:val="22"/>
          </w:rPr>
          <w:t>.1.4.1</w:t>
        </w:r>
      </w:hyperlink>
      <w:r w:rsidRPr="006720E4">
        <w:rPr>
          <w:rFonts w:ascii="Calibri" w:hAnsi="Calibri" w:cs="Calibri"/>
          <w:bCs/>
          <w:sz w:val="22"/>
          <w:szCs w:val="22"/>
        </w:rPr>
        <w:t xml:space="preserve"> above).</w:t>
      </w:r>
    </w:p>
    <w:p w14:paraId="17ADC61C" w14:textId="579F10E6" w:rsidR="006C6EBA" w:rsidRPr="006720E4" w:rsidRDefault="006C6EBA" w:rsidP="00EA22AE">
      <w:pPr>
        <w:pStyle w:val="Heading4"/>
        <w:spacing w:after="120"/>
      </w:pPr>
      <w:bookmarkStart w:id="1506" w:name="_Consent_for_subsequent"/>
      <w:bookmarkStart w:id="1507" w:name="_Toc82773536"/>
      <w:bookmarkStart w:id="1508" w:name="_Toc82773889"/>
      <w:bookmarkStart w:id="1509" w:name="_Toc73129827"/>
      <w:bookmarkStart w:id="1510" w:name="_Toc73301696"/>
      <w:bookmarkStart w:id="1511" w:name="_Toc73302202"/>
      <w:bookmarkStart w:id="1512" w:name="_Toc73303335"/>
      <w:bookmarkStart w:id="1513" w:name="_Toc74081480"/>
      <w:bookmarkStart w:id="1514" w:name="_Toc74172257"/>
      <w:bookmarkStart w:id="1515" w:name="_Toc74172793"/>
      <w:bookmarkEnd w:id="1506"/>
      <w:r w:rsidRPr="006720E4">
        <w:t>Consent for subsequent donations of HSCs</w:t>
      </w:r>
      <w:bookmarkEnd w:id="1507"/>
      <w:bookmarkEnd w:id="1508"/>
    </w:p>
    <w:p w14:paraId="0095D081" w14:textId="2C7A98A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After donating HSCs, individuals may sometimes be asked to consider another donation to the same recipient. This could occur soon after the initial donation, for example if the initial transplant was unsuccessful, or at a later stage, for example if the recipient experiences a relapse and requires another HSC transplant. All prospective HSC donors should be informed of the possibility of receiving further donation requests prior to their initial donation. Some individuals may choose not to make an initial donation if they are reluctant to consider subsequent donations.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Confer","given":"DL","non-dropping-particle":"","parse-names":false,"suffix":""},{"dropping-particle":"","family":"Shaw","given":"BE","non-dropping-particle":"","parse-names":false,"suffix":""},{"dropping-particle":"","family":"Pamphilon","given":"DH","non-dropping-particle":"","parse-names":false,"suffix":""}],"container-title":"Bone Marrow Transplantation","id":"ITEM-1","issued":{"date-parts":[["2011"]]},"page":"1409-1412","title":"WMDA guidelines for subsequent donations following initial BM or PBSCs","type":"article-journal","volume":"46"},"uris":["http://www.mendeley.com/documents/?uuid=08282111-8004-4ccd-9e95-1491a007fc13"]}],"mendeley":{"formattedCitation":"(56)","plainTextFormattedCitation":"(56)","previouslyFormattedCitation":"(56)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(56)</w:t>
      </w:r>
      <w:r w:rsidRPr="006720E4">
        <w:rPr>
          <w:rFonts w:ascii="Calibri" w:hAnsi="Calibri" w:cs="Calibri"/>
          <w:sz w:val="22"/>
          <w:szCs w:val="22"/>
        </w:rPr>
        <w:fldChar w:fldCharType="end"/>
      </w:r>
    </w:p>
    <w:p w14:paraId="0E6C9E69" w14:textId="7EE7EF7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Requests for repeat donation of HSCs require the same attention when obtaining consent that is given to initial decision-making about donation</w:t>
      </w:r>
      <w:r w:rsidRPr="00CB5556">
        <w:rPr>
          <w:rFonts w:ascii="Calibri" w:hAnsi="Calibri" w:cs="Calibri"/>
          <w:sz w:val="22"/>
          <w:szCs w:val="22"/>
        </w:rPr>
        <w:t xml:space="preserve">. As noted in </w:t>
      </w:r>
      <w:hyperlink w:anchor="_Evaluating_potential_benefits_1" w:history="1">
        <w:r w:rsidRPr="00CB5556">
          <w:rPr>
            <w:rStyle w:val="Hyperlink"/>
            <w:rFonts w:ascii="Calibri" w:hAnsi="Calibri" w:cs="Calibri"/>
            <w:sz w:val="22"/>
            <w:szCs w:val="22"/>
          </w:rPr>
          <w:t xml:space="preserve">Chapter </w:t>
        </w:r>
        <w:r w:rsidR="0004484E" w:rsidRPr="00CB5556">
          <w:rPr>
            <w:rStyle w:val="Hyperlink"/>
            <w:rFonts w:ascii="Calibri" w:hAnsi="Calibri" w:cs="Calibri"/>
            <w:sz w:val="22"/>
            <w:szCs w:val="22"/>
          </w:rPr>
          <w:t>6</w:t>
        </w:r>
        <w:r w:rsidRPr="00CB5556">
          <w:rPr>
            <w:rStyle w:val="Hyperlink"/>
            <w:rFonts w:ascii="Calibri" w:hAnsi="Calibri" w:cs="Calibri"/>
            <w:sz w:val="22"/>
            <w:szCs w:val="22"/>
          </w:rPr>
          <w:t>.1</w:t>
        </w:r>
      </w:hyperlink>
      <w:r w:rsidRPr="00CB5556">
        <w:rPr>
          <w:rFonts w:ascii="Calibri" w:hAnsi="Calibri" w:cs="Calibri"/>
          <w:sz w:val="22"/>
          <w:szCs w:val="22"/>
        </w:rPr>
        <w:t>, the potential</w:t>
      </w:r>
      <w:r w:rsidRPr="006720E4">
        <w:rPr>
          <w:rFonts w:ascii="Calibri" w:hAnsi="Calibri" w:cs="Calibri"/>
          <w:sz w:val="22"/>
          <w:szCs w:val="22"/>
        </w:rPr>
        <w:t xml:space="preserve"> benefits and </w:t>
      </w:r>
      <w:r w:rsidRPr="006720E4">
        <w:rPr>
          <w:rFonts w:ascii="Calibri" w:hAnsi="Calibri" w:cs="Calibri"/>
          <w:sz w:val="22"/>
          <w:szCs w:val="22"/>
        </w:rPr>
        <w:lastRenderedPageBreak/>
        <w:t xml:space="preserve">risks of donation must be current at the time of consent, requiring reassessment at the time of a repeat request for donation. Consent should not be presumed on the basis of a previous decision to donate. Ensuring voluntariness of consent to subsequent donations is important as individuals who have previously donated may be vulnerable to coercion or undue pressure. For example, some may feel that their previous agreement to donate establishes a commitment or obligation to provide ongoing assistance in the form of donation to the transplant recipient when needed. Declining a request for a subsequent donation may also be psychologically difficult if this decision may negatively impact the health of the prospective transplant recipient. </w:t>
      </w:r>
    </w:p>
    <w:p w14:paraId="7805E8CD" w14:textId="165A30CF" w:rsidR="006C6EBA" w:rsidRPr="006720E4" w:rsidRDefault="006C6EBA" w:rsidP="00EA22AE">
      <w:pPr>
        <w:spacing w:after="120"/>
        <w:rPr>
          <w:rFonts w:ascii="Calibri" w:hAnsi="Calibri" w:cs="Calibri"/>
          <w:sz w:val="21"/>
          <w:szCs w:val="21"/>
        </w:rPr>
      </w:pPr>
      <w:r w:rsidRPr="006720E4">
        <w:rPr>
          <w:rFonts w:ascii="Calibri" w:hAnsi="Calibri" w:cs="Calibri"/>
          <w:sz w:val="22"/>
          <w:szCs w:val="22"/>
        </w:rPr>
        <w:t xml:space="preserve">In the case of non-directed HSC donors, independent management of requests for subsequent donations by the ABMDR reduces the risk of conflicts of interest in decision-making. However, in some cases, non-directed donors may have established direct contact with transplant recipients following the initial </w:t>
      </w:r>
      <w:r w:rsidRPr="00C564EF">
        <w:rPr>
          <w:rFonts w:ascii="Calibri" w:hAnsi="Calibri" w:cs="Calibri"/>
          <w:sz w:val="22"/>
          <w:szCs w:val="22"/>
        </w:rPr>
        <w:t xml:space="preserve">donation (see </w:t>
      </w:r>
      <w:hyperlink w:anchor="_Waiver_of_anonymity" w:history="1">
        <w:r w:rsidRPr="00C564EF">
          <w:rPr>
            <w:rStyle w:val="Hyperlink"/>
            <w:rFonts w:ascii="Calibri" w:hAnsi="Calibri" w:cs="Calibri"/>
            <w:sz w:val="22"/>
            <w:szCs w:val="22"/>
          </w:rPr>
          <w:t xml:space="preserve">Chapter </w:t>
        </w:r>
        <w:r w:rsidR="0004484E" w:rsidRPr="00C564EF">
          <w:rPr>
            <w:rStyle w:val="Hyperlink"/>
            <w:rFonts w:ascii="Calibri" w:hAnsi="Calibri" w:cs="Calibri"/>
            <w:sz w:val="22"/>
            <w:szCs w:val="22"/>
          </w:rPr>
          <w:t>7</w:t>
        </w:r>
        <w:r w:rsidRPr="00C564EF">
          <w:rPr>
            <w:rStyle w:val="Hyperlink"/>
            <w:rFonts w:ascii="Calibri" w:hAnsi="Calibri" w:cs="Calibri"/>
            <w:sz w:val="22"/>
            <w:szCs w:val="22"/>
          </w:rPr>
          <w:t>.3.2.2</w:t>
        </w:r>
      </w:hyperlink>
      <w:r w:rsidRPr="00C564EF">
        <w:rPr>
          <w:rFonts w:ascii="Calibri" w:hAnsi="Calibri" w:cs="Calibri"/>
          <w:sz w:val="22"/>
          <w:szCs w:val="22"/>
        </w:rPr>
        <w:t>). When donors</w:t>
      </w:r>
      <w:r w:rsidRPr="006720E4">
        <w:rPr>
          <w:rFonts w:ascii="Calibri" w:hAnsi="Calibri" w:cs="Calibri"/>
          <w:sz w:val="22"/>
          <w:szCs w:val="22"/>
        </w:rPr>
        <w:t xml:space="preserve"> and recipients are known to one another, the relationships between individuals - and their families - may complicate decision-making, requiring additional safeguards to manage potential conflicts of interest and ensure voluntariness of consent. </w:t>
      </w:r>
    </w:p>
    <w:p w14:paraId="15C0F0D5" w14:textId="77777777" w:rsidR="006C6EBA" w:rsidRPr="006720E4" w:rsidRDefault="006C6EBA" w:rsidP="00EA22AE">
      <w:pPr>
        <w:pStyle w:val="Heading4"/>
        <w:spacing w:after="120"/>
      </w:pPr>
      <w:bookmarkStart w:id="1516" w:name="_Toc82773537"/>
      <w:bookmarkStart w:id="1517" w:name="_Toc82773890"/>
      <w:r w:rsidRPr="006720E4">
        <w:t xml:space="preserve">Consent in non-directed living tissue </w:t>
      </w:r>
      <w:bookmarkEnd w:id="1509"/>
      <w:bookmarkEnd w:id="1510"/>
      <w:bookmarkEnd w:id="1511"/>
      <w:bookmarkEnd w:id="1512"/>
      <w:bookmarkEnd w:id="1513"/>
      <w:bookmarkEnd w:id="1514"/>
      <w:bookmarkEnd w:id="1515"/>
      <w:r w:rsidRPr="006720E4">
        <w:t>donation</w:t>
      </w:r>
      <w:bookmarkEnd w:id="1516"/>
      <w:bookmarkEnd w:id="1517"/>
    </w:p>
    <w:p w14:paraId="25E3C9E9" w14:textId="533AFD2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obtaining consent for tissue donation by individuals undergoing therapeutic surgery, attention to factors that could compromise consent may be needed. These include the potential for </w:t>
      </w:r>
      <w:r w:rsidRPr="006720E4">
        <w:rPr>
          <w:rFonts w:ascii="Calibri" w:hAnsi="Calibri" w:cs="Calibri"/>
          <w:b/>
          <w:bCs/>
          <w:sz w:val="22"/>
          <w:szCs w:val="22"/>
        </w:rPr>
        <w:t>voluntariness</w:t>
      </w:r>
      <w:r w:rsidRPr="006720E4">
        <w:rPr>
          <w:rFonts w:ascii="Calibri" w:hAnsi="Calibri" w:cs="Calibri"/>
          <w:sz w:val="22"/>
          <w:szCs w:val="22"/>
        </w:rPr>
        <w:t xml:space="preserve"> to be undermined if individuals feel obliged to consent as a form of reciprocity for the care they are receiving, or if they feel pressured to do so in case declining a request impacts their care. For example, a woman who is asked to donate placental tissue after giving birth might feel compelled to do so if the request is made by a health professional involved in care of her or her baby. These concerns may be reduced by the use of donor liaison officers or staff from tissue banks in approaching potential donors rather than health professionals providing them with care. </w:t>
      </w:r>
    </w:p>
    <w:p w14:paraId="2EC5C1C4" w14:textId="77777777" w:rsidR="006C6EBA" w:rsidRPr="006720E4" w:rsidRDefault="006C6EBA" w:rsidP="00EA22AE">
      <w:pPr>
        <w:pStyle w:val="Heading2"/>
        <w:spacing w:after="120"/>
      </w:pPr>
      <w:bookmarkStart w:id="1518" w:name="_Consent_for_deceased"/>
      <w:bookmarkStart w:id="1519" w:name="_Consent_for_deceased_1"/>
      <w:bookmarkStart w:id="1520" w:name="_Toc63683414"/>
      <w:bookmarkStart w:id="1521" w:name="_Toc70241758"/>
      <w:bookmarkStart w:id="1522" w:name="_Toc70243392"/>
      <w:bookmarkStart w:id="1523" w:name="_Toc70328733"/>
      <w:bookmarkStart w:id="1524" w:name="_Toc70333963"/>
      <w:bookmarkStart w:id="1525" w:name="_Toc70414850"/>
      <w:bookmarkStart w:id="1526" w:name="_Toc70844174"/>
      <w:bookmarkStart w:id="1527" w:name="_Toc70858988"/>
      <w:bookmarkStart w:id="1528" w:name="_Toc70861089"/>
      <w:bookmarkStart w:id="1529" w:name="_Toc70876573"/>
      <w:bookmarkStart w:id="1530" w:name="_Toc72615106"/>
      <w:bookmarkStart w:id="1531" w:name="_Toc73129829"/>
      <w:bookmarkStart w:id="1532" w:name="_Toc73301698"/>
      <w:bookmarkStart w:id="1533" w:name="_Toc73302204"/>
      <w:bookmarkStart w:id="1534" w:name="_Toc73303337"/>
      <w:bookmarkStart w:id="1535" w:name="_Toc73303579"/>
      <w:bookmarkStart w:id="1536" w:name="_Toc74080696"/>
      <w:bookmarkStart w:id="1537" w:name="_Toc74081004"/>
      <w:bookmarkStart w:id="1538" w:name="_Toc74081234"/>
      <w:bookmarkStart w:id="1539" w:name="_Toc74081482"/>
      <w:bookmarkStart w:id="1540" w:name="_Toc74171065"/>
      <w:bookmarkStart w:id="1541" w:name="_Toc74172259"/>
      <w:bookmarkStart w:id="1542" w:name="_Toc74172795"/>
      <w:bookmarkStart w:id="1543" w:name="_Toc74238739"/>
      <w:bookmarkStart w:id="1544" w:name="_Toc78304764"/>
      <w:bookmarkStart w:id="1545" w:name="_Toc79330851"/>
      <w:bookmarkStart w:id="1546" w:name="_Toc79331231"/>
      <w:bookmarkStart w:id="1547" w:name="_Toc79406354"/>
      <w:bookmarkStart w:id="1548" w:name="_Toc82773538"/>
      <w:bookmarkStart w:id="1549" w:name="_Toc82773891"/>
      <w:bookmarkStart w:id="1550" w:name="_Toc128314200"/>
      <w:bookmarkStart w:id="1551" w:name="_Toc135131444"/>
      <w:bookmarkEnd w:id="1481"/>
      <w:bookmarkEnd w:id="1482"/>
      <w:bookmarkEnd w:id="1483"/>
      <w:bookmarkEnd w:id="1484"/>
      <w:bookmarkEnd w:id="1518"/>
      <w:bookmarkEnd w:id="1519"/>
      <w:r w:rsidRPr="006720E4">
        <w:t>Consent for deceased donation</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73A75909" w14:textId="0347504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rare circumstances a person may be able to directly provide consent for donation of their cells, organs, and tissues after death, for example if their death is expected to occur after they make a decision to cease life sustaining interventions on which they are </w:t>
      </w:r>
      <w:r w:rsidRPr="009760C2">
        <w:rPr>
          <w:rFonts w:ascii="Calibri" w:hAnsi="Calibri" w:cs="Calibri"/>
          <w:sz w:val="22"/>
          <w:szCs w:val="22"/>
        </w:rPr>
        <w:t xml:space="preserve">dependent (see </w:t>
      </w:r>
      <w:hyperlink w:anchor="_Deceased_donation_by" w:history="1">
        <w:r w:rsidRPr="009760C2">
          <w:rPr>
            <w:rStyle w:val="Hyperlink"/>
            <w:rFonts w:ascii="Calibri" w:hAnsi="Calibri" w:cs="Calibri"/>
            <w:sz w:val="22"/>
            <w:szCs w:val="22"/>
          </w:rPr>
          <w:t>Chapter 1</w:t>
        </w:r>
        <w:r w:rsidR="0004484E" w:rsidRPr="009760C2">
          <w:rPr>
            <w:rStyle w:val="Hyperlink"/>
            <w:rFonts w:ascii="Calibri" w:hAnsi="Calibri" w:cs="Calibri"/>
            <w:sz w:val="22"/>
            <w:szCs w:val="22"/>
          </w:rPr>
          <w:t>1</w:t>
        </w:r>
        <w:r w:rsidRPr="009760C2">
          <w:rPr>
            <w:rStyle w:val="Hyperlink"/>
            <w:rFonts w:ascii="Calibri" w:hAnsi="Calibri" w:cs="Calibri"/>
            <w:sz w:val="22"/>
            <w:szCs w:val="22"/>
          </w:rPr>
          <w:t>.6</w:t>
        </w:r>
      </w:hyperlink>
      <w:r w:rsidRPr="009760C2">
        <w:rPr>
          <w:rFonts w:ascii="Calibri" w:hAnsi="Calibri" w:cs="Calibri"/>
          <w:sz w:val="22"/>
          <w:szCs w:val="22"/>
        </w:rPr>
        <w:t xml:space="preserve">), or if they wish to donate after </w:t>
      </w:r>
      <w:hyperlink w:anchor="_Glossary" w:history="1">
        <w:r w:rsidRPr="009760C2">
          <w:rPr>
            <w:rStyle w:val="Hyperlink"/>
            <w:rFonts w:ascii="Calibri" w:hAnsi="Calibri" w:cs="Calibri"/>
            <w:sz w:val="22"/>
            <w:szCs w:val="22"/>
          </w:rPr>
          <w:t>voluntary assisted dying</w:t>
        </w:r>
      </w:hyperlink>
      <w:r w:rsidRPr="009760C2">
        <w:rPr>
          <w:rFonts w:ascii="Calibri" w:hAnsi="Calibri" w:cs="Calibri"/>
          <w:sz w:val="22"/>
          <w:szCs w:val="22"/>
        </w:rPr>
        <w:t xml:space="preserve"> (see </w:t>
      </w:r>
      <w:hyperlink w:anchor="_Donation_after_voluntary" w:history="1">
        <w:r w:rsidRPr="009760C2">
          <w:rPr>
            <w:rStyle w:val="Hyperlink"/>
            <w:rFonts w:ascii="Calibri" w:hAnsi="Calibri" w:cs="Calibri"/>
            <w:sz w:val="22"/>
            <w:szCs w:val="22"/>
          </w:rPr>
          <w:t>Chapter 1</w:t>
        </w:r>
        <w:r w:rsidR="0004484E" w:rsidRPr="009760C2">
          <w:rPr>
            <w:rStyle w:val="Hyperlink"/>
            <w:rFonts w:ascii="Calibri" w:hAnsi="Calibri" w:cs="Calibri"/>
            <w:sz w:val="22"/>
            <w:szCs w:val="22"/>
          </w:rPr>
          <w:t>1</w:t>
        </w:r>
        <w:r w:rsidRPr="009760C2">
          <w:rPr>
            <w:rStyle w:val="Hyperlink"/>
            <w:rFonts w:ascii="Calibri" w:hAnsi="Calibri" w:cs="Calibri"/>
            <w:sz w:val="22"/>
            <w:szCs w:val="22"/>
          </w:rPr>
          <w:t>.7</w:t>
        </w:r>
      </w:hyperlink>
      <w:r w:rsidRPr="009760C2">
        <w:rPr>
          <w:rFonts w:ascii="Calibri" w:hAnsi="Calibri" w:cs="Calibri"/>
          <w:sz w:val="22"/>
          <w:szCs w:val="22"/>
        </w:rPr>
        <w:t>). Usually</w:t>
      </w:r>
      <w:r w:rsidRPr="006720E4">
        <w:rPr>
          <w:rFonts w:ascii="Calibri" w:hAnsi="Calibri" w:cs="Calibri"/>
          <w:sz w:val="22"/>
          <w:szCs w:val="22"/>
        </w:rPr>
        <w:t>, decisions about deceased donation are made by a person (‘</w:t>
      </w:r>
      <w:hyperlink w:anchor="_Glossary" w:history="1">
        <w:r w:rsidRPr="006720E4">
          <w:rPr>
            <w:rStyle w:val="Hyperlink"/>
            <w:rFonts w:ascii="Calibri" w:hAnsi="Calibri" w:cs="Calibri"/>
            <w:sz w:val="22"/>
            <w:szCs w:val="22"/>
          </w:rPr>
          <w:t>donation decision maker’</w:t>
        </w:r>
      </w:hyperlink>
      <w:r w:rsidRPr="006720E4">
        <w:rPr>
          <w:rFonts w:ascii="Calibri" w:hAnsi="Calibri" w:cs="Calibri"/>
          <w:sz w:val="22"/>
          <w:szCs w:val="22"/>
        </w:rPr>
        <w:t>) other than the potential donor, following the death of a person, or at a time when the person is acutely unwell and lacking decision-making capacity, for example as a result of a devastating brain injury. Consequently, deceased donation decision making around the time of death is a form of substitute decision-making. It is governed by specific legal and ethical considerations as outlined below.</w:t>
      </w:r>
    </w:p>
    <w:p w14:paraId="760FB07E" w14:textId="17FE74B4" w:rsidR="006C6EBA" w:rsidRPr="006720E4" w:rsidRDefault="006C6EBA" w:rsidP="00EA22AE">
      <w:pPr>
        <w:pStyle w:val="Heading3"/>
        <w:spacing w:after="120"/>
      </w:pPr>
      <w:bookmarkStart w:id="1552" w:name="_Consent_for_deceased_2"/>
      <w:bookmarkStart w:id="1553" w:name="_Toc63683415"/>
      <w:bookmarkStart w:id="1554" w:name="_Toc70241759"/>
      <w:bookmarkStart w:id="1555" w:name="_Toc70243393"/>
      <w:bookmarkStart w:id="1556" w:name="_Toc70414851"/>
      <w:bookmarkStart w:id="1557" w:name="_Toc70844175"/>
      <w:bookmarkStart w:id="1558" w:name="_Toc72615107"/>
      <w:bookmarkStart w:id="1559" w:name="_Toc73129830"/>
      <w:bookmarkStart w:id="1560" w:name="_Toc73301699"/>
      <w:bookmarkStart w:id="1561" w:name="_Toc73302205"/>
      <w:bookmarkStart w:id="1562" w:name="_Toc73303338"/>
      <w:bookmarkStart w:id="1563" w:name="_Toc73303580"/>
      <w:bookmarkStart w:id="1564" w:name="_Toc74080697"/>
      <w:bookmarkStart w:id="1565" w:name="_Toc74081005"/>
      <w:bookmarkStart w:id="1566" w:name="_Toc74081235"/>
      <w:bookmarkStart w:id="1567" w:name="_Toc74081483"/>
      <w:bookmarkStart w:id="1568" w:name="_Toc74171066"/>
      <w:bookmarkStart w:id="1569" w:name="_Toc74172260"/>
      <w:bookmarkStart w:id="1570" w:name="_Toc74172796"/>
      <w:bookmarkStart w:id="1571" w:name="_Toc74238740"/>
      <w:bookmarkStart w:id="1572" w:name="_Toc79406355"/>
      <w:bookmarkStart w:id="1573" w:name="_Toc82773539"/>
      <w:bookmarkStart w:id="1574" w:name="_Toc82773892"/>
      <w:bookmarkEnd w:id="1552"/>
      <w:r w:rsidRPr="006720E4">
        <w:t>Consent for deceased donation and the law</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14:paraId="52F2C649" w14:textId="140A7A8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Australian legislation provides for an ‘opt in’ consent model of deceased donation. This generally means that where a potential deceased donor had </w:t>
      </w:r>
      <w:r w:rsidRPr="006720E4">
        <w:rPr>
          <w:rFonts w:ascii="Calibri" w:hAnsi="Calibri" w:cs="Calibri"/>
          <w:b/>
          <w:bCs/>
          <w:sz w:val="22"/>
          <w:szCs w:val="22"/>
        </w:rPr>
        <w:t>expressed a wish to donate</w:t>
      </w:r>
      <w:r w:rsidRPr="006720E4">
        <w:rPr>
          <w:rFonts w:ascii="Calibri" w:hAnsi="Calibri" w:cs="Calibri"/>
          <w:sz w:val="22"/>
          <w:szCs w:val="22"/>
        </w:rPr>
        <w:t>, for example by joining the Australian Organ Donor Register (</w:t>
      </w:r>
      <w:r w:rsidRPr="004F79CF">
        <w:rPr>
          <w:rFonts w:ascii="Calibri" w:hAnsi="Calibri" w:cs="Calibri"/>
          <w:sz w:val="22"/>
          <w:szCs w:val="22"/>
        </w:rPr>
        <w:t xml:space="preserve">AODR) (see </w:t>
      </w:r>
      <w:hyperlink w:anchor="_Obtaining_formal_consent" w:history="1">
        <w:r w:rsidR="0004484E" w:rsidRPr="004F79CF">
          <w:rPr>
            <w:rStyle w:val="Hyperlink"/>
            <w:rFonts w:ascii="Calibri" w:hAnsi="Calibri" w:cs="Calibri"/>
            <w:sz w:val="22"/>
            <w:szCs w:val="22"/>
          </w:rPr>
          <w:t>Chapter 2.</w:t>
        </w:r>
        <w:r w:rsidR="004F79CF" w:rsidRPr="004F79CF">
          <w:rPr>
            <w:rStyle w:val="Hyperlink"/>
            <w:rFonts w:ascii="Calibri" w:hAnsi="Calibri" w:cs="Calibri"/>
            <w:sz w:val="22"/>
            <w:szCs w:val="22"/>
          </w:rPr>
          <w:t>4.3</w:t>
        </w:r>
      </w:hyperlink>
      <w:r w:rsidRPr="004F79CF">
        <w:rPr>
          <w:rFonts w:ascii="Calibri" w:hAnsi="Calibri" w:cs="Calibri"/>
          <w:sz w:val="22"/>
          <w:szCs w:val="22"/>
        </w:rPr>
        <w:t>), there is</w:t>
      </w:r>
      <w:r w:rsidRPr="006720E4">
        <w:rPr>
          <w:rFonts w:ascii="Calibri" w:hAnsi="Calibri" w:cs="Calibri"/>
          <w:sz w:val="22"/>
          <w:szCs w:val="22"/>
        </w:rPr>
        <w:t xml:space="preserve"> no evidence that the person objected or had changed their mind prior to death regarding a wish to donate, and coronial </w:t>
      </w:r>
      <w:r w:rsidRPr="004B64BA">
        <w:rPr>
          <w:rFonts w:ascii="Calibri" w:hAnsi="Calibri" w:cs="Calibri"/>
          <w:sz w:val="22"/>
          <w:szCs w:val="22"/>
        </w:rPr>
        <w:t xml:space="preserve">approval (see </w:t>
      </w:r>
      <w:hyperlink w:anchor="_Role_of_the" w:history="1">
        <w:r w:rsidRPr="004B64BA">
          <w:rPr>
            <w:rStyle w:val="Hyperlink"/>
            <w:rFonts w:ascii="Calibri" w:hAnsi="Calibri" w:cs="Calibri"/>
            <w:sz w:val="22"/>
            <w:szCs w:val="22"/>
          </w:rPr>
          <w:t xml:space="preserve">Chapter </w:t>
        </w:r>
        <w:r w:rsidR="0004484E" w:rsidRPr="004B64BA">
          <w:rPr>
            <w:rStyle w:val="Hyperlink"/>
            <w:rFonts w:ascii="Calibri" w:hAnsi="Calibri" w:cs="Calibri"/>
            <w:sz w:val="22"/>
            <w:szCs w:val="22"/>
          </w:rPr>
          <w:t>4</w:t>
        </w:r>
        <w:r w:rsidRPr="004B64BA">
          <w:rPr>
            <w:rStyle w:val="Hyperlink"/>
            <w:rFonts w:ascii="Calibri" w:hAnsi="Calibri" w:cs="Calibri"/>
            <w:sz w:val="22"/>
            <w:szCs w:val="22"/>
          </w:rPr>
          <w:t>.4.1.1</w:t>
        </w:r>
      </w:hyperlink>
      <w:r w:rsidRPr="004B64BA">
        <w:rPr>
          <w:rFonts w:ascii="Calibri" w:hAnsi="Calibri" w:cs="Calibri"/>
          <w:sz w:val="22"/>
          <w:szCs w:val="22"/>
        </w:rPr>
        <w:t>) is</w:t>
      </w:r>
      <w:r w:rsidRPr="006720E4">
        <w:rPr>
          <w:rFonts w:ascii="Calibri" w:hAnsi="Calibri" w:cs="Calibri"/>
          <w:sz w:val="22"/>
          <w:szCs w:val="22"/>
        </w:rPr>
        <w:t xml:space="preserve"> not required, the ‘</w:t>
      </w:r>
      <w:hyperlink w:anchor="_Glossary_2" w:history="1">
        <w:r w:rsidRPr="00F77570">
          <w:rPr>
            <w:rStyle w:val="Hyperlink"/>
            <w:rFonts w:ascii="Calibri" w:hAnsi="Calibri" w:cs="Calibri"/>
            <w:sz w:val="22"/>
            <w:szCs w:val="22"/>
          </w:rPr>
          <w:t>designated officer’</w:t>
        </w:r>
      </w:hyperlink>
      <w:r w:rsidRPr="006720E4">
        <w:rPr>
          <w:rFonts w:ascii="Calibri" w:hAnsi="Calibri" w:cs="Calibri"/>
          <w:sz w:val="22"/>
          <w:szCs w:val="22"/>
        </w:rPr>
        <w:t xml:space="preserve"> within the hospital can authorise donation to occur</w:t>
      </w:r>
      <w:r w:rsidR="00751666" w:rsidRPr="006720E4">
        <w:rPr>
          <w:rFonts w:ascii="Calibri" w:hAnsi="Calibri" w:cs="Calibri"/>
          <w:sz w:val="22"/>
          <w:szCs w:val="22"/>
        </w:rPr>
        <w:t xml:space="preserve"> (</w:t>
      </w:r>
      <w:r w:rsidR="00751666" w:rsidRPr="004F79CF">
        <w:rPr>
          <w:rFonts w:ascii="Calibri" w:hAnsi="Calibri" w:cs="Calibri"/>
          <w:sz w:val="22"/>
          <w:szCs w:val="22"/>
        </w:rPr>
        <w:t xml:space="preserve">see </w:t>
      </w:r>
      <w:hyperlink w:anchor="_Authorisation_of_deceased" w:history="1">
        <w:r w:rsidR="00751666" w:rsidRPr="004F79CF">
          <w:rPr>
            <w:rStyle w:val="Hyperlink"/>
            <w:rFonts w:ascii="Calibri" w:hAnsi="Calibri" w:cs="Calibri"/>
            <w:sz w:val="22"/>
            <w:szCs w:val="22"/>
          </w:rPr>
          <w:t>Chapter 2.</w:t>
        </w:r>
        <w:r w:rsidR="004F79CF" w:rsidRPr="004F79CF">
          <w:rPr>
            <w:rStyle w:val="Hyperlink"/>
            <w:rFonts w:ascii="Calibri" w:hAnsi="Calibri" w:cs="Calibri"/>
            <w:sz w:val="22"/>
            <w:szCs w:val="22"/>
          </w:rPr>
          <w:t>4</w:t>
        </w:r>
        <w:r w:rsidR="00751666" w:rsidRPr="004F79CF">
          <w:rPr>
            <w:rStyle w:val="Hyperlink"/>
            <w:rFonts w:ascii="Calibri" w:hAnsi="Calibri" w:cs="Calibri"/>
            <w:sz w:val="22"/>
            <w:szCs w:val="22"/>
          </w:rPr>
          <w:t>.</w:t>
        </w:r>
        <w:r w:rsidR="004F79CF" w:rsidRPr="004F79CF">
          <w:rPr>
            <w:rStyle w:val="Hyperlink"/>
            <w:rFonts w:ascii="Calibri" w:hAnsi="Calibri" w:cs="Calibri"/>
            <w:sz w:val="22"/>
            <w:szCs w:val="22"/>
          </w:rPr>
          <w:t>3</w:t>
        </w:r>
        <w:r w:rsidR="00751666" w:rsidRPr="004F79CF">
          <w:rPr>
            <w:rStyle w:val="Hyperlink"/>
            <w:rFonts w:ascii="Calibri" w:hAnsi="Calibri" w:cs="Calibri"/>
            <w:sz w:val="22"/>
            <w:szCs w:val="22"/>
          </w:rPr>
          <w:t>.3</w:t>
        </w:r>
      </w:hyperlink>
      <w:r w:rsidR="00751666" w:rsidRPr="004F79CF">
        <w:rPr>
          <w:rFonts w:ascii="Calibri" w:hAnsi="Calibri" w:cs="Calibri"/>
          <w:sz w:val="22"/>
          <w:szCs w:val="22"/>
        </w:rPr>
        <w:t>)</w:t>
      </w:r>
      <w:r w:rsidRPr="004F79CF">
        <w:rPr>
          <w:rFonts w:ascii="Calibri" w:hAnsi="Calibri" w:cs="Calibri"/>
          <w:sz w:val="22"/>
          <w:szCs w:val="22"/>
        </w:rPr>
        <w:t>.</w:t>
      </w:r>
      <w:r w:rsidRPr="006720E4">
        <w:rPr>
          <w:rFonts w:ascii="Calibri" w:hAnsi="Calibri" w:cs="Calibri"/>
          <w:sz w:val="22"/>
          <w:szCs w:val="22"/>
        </w:rPr>
        <w:t xml:space="preserve"> </w:t>
      </w:r>
    </w:p>
    <w:p w14:paraId="46ADC9BE" w14:textId="5B195AD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Despite what is allowed in the legislation, in practice, the potential donor’s family will routinely be consulted about the possibility of donation and their approval will be sought prior to donation, even if the person is a </w:t>
      </w:r>
      <w:r w:rsidRPr="004B64BA">
        <w:rPr>
          <w:rFonts w:ascii="Calibri" w:hAnsi="Calibri" w:cs="Calibri"/>
          <w:sz w:val="22"/>
          <w:szCs w:val="22"/>
        </w:rPr>
        <w:t xml:space="preserve">registered donor (see </w:t>
      </w:r>
      <w:hyperlink w:anchor="_Importance_of_family" w:history="1">
        <w:r w:rsidRPr="004B64BA">
          <w:rPr>
            <w:rStyle w:val="Hyperlink"/>
            <w:rFonts w:ascii="Calibri" w:hAnsi="Calibri" w:cs="Calibri"/>
            <w:sz w:val="22"/>
            <w:szCs w:val="22"/>
          </w:rPr>
          <w:t xml:space="preserve">Chapter </w:t>
        </w:r>
        <w:r w:rsidR="0004484E" w:rsidRPr="004B64BA">
          <w:rPr>
            <w:rStyle w:val="Hyperlink"/>
            <w:rFonts w:ascii="Calibri" w:hAnsi="Calibri" w:cs="Calibri"/>
            <w:sz w:val="22"/>
            <w:szCs w:val="22"/>
          </w:rPr>
          <w:t>4</w:t>
        </w:r>
        <w:r w:rsidRPr="004B64BA">
          <w:rPr>
            <w:rStyle w:val="Hyperlink"/>
            <w:rFonts w:ascii="Calibri" w:hAnsi="Calibri" w:cs="Calibri"/>
            <w:sz w:val="22"/>
            <w:szCs w:val="22"/>
          </w:rPr>
          <w:t>.4.2.1</w:t>
        </w:r>
      </w:hyperlink>
      <w:r w:rsidRPr="004B64BA">
        <w:rPr>
          <w:rFonts w:ascii="Calibri" w:hAnsi="Calibri" w:cs="Calibri"/>
          <w:sz w:val="22"/>
          <w:szCs w:val="22"/>
        </w:rPr>
        <w:t>)</w:t>
      </w:r>
    </w:p>
    <w:p w14:paraId="14215518" w14:textId="49F59EC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Where the </w:t>
      </w:r>
      <w:r w:rsidRPr="006720E4">
        <w:rPr>
          <w:rFonts w:ascii="Calibri" w:hAnsi="Calibri" w:cs="Calibri"/>
          <w:b/>
          <w:bCs/>
          <w:sz w:val="22"/>
          <w:szCs w:val="22"/>
        </w:rPr>
        <w:t>wishes of the potential donor are not known</w:t>
      </w:r>
      <w:r w:rsidRPr="006720E4">
        <w:rPr>
          <w:rFonts w:ascii="Calibri" w:hAnsi="Calibri" w:cs="Calibri"/>
          <w:sz w:val="22"/>
          <w:szCs w:val="22"/>
        </w:rPr>
        <w:t xml:space="preserve">, the legislation provides a mechanism for someone else to authorise (i.e., make a decision about) deceased donation. The legislation specifies </w:t>
      </w:r>
      <w:r w:rsidRPr="006720E4">
        <w:rPr>
          <w:rFonts w:ascii="Calibri" w:hAnsi="Calibri" w:cs="Calibri"/>
          <w:sz w:val="22"/>
          <w:szCs w:val="22"/>
        </w:rPr>
        <w:lastRenderedPageBreak/>
        <w:t xml:space="preserve">who can act as the decision-maker, with this person known as the ‘senior available next of kin’ (SANOK) or ‘senior next of kin’ (See </w:t>
      </w:r>
      <w:r w:rsidRPr="006720E4">
        <w:rPr>
          <w:rFonts w:ascii="Calibri" w:hAnsi="Calibri" w:cs="Calibri"/>
          <w:b/>
          <w:bCs/>
          <w:sz w:val="22"/>
          <w:szCs w:val="22"/>
        </w:rPr>
        <w:t xml:space="preserve">Box </w:t>
      </w:r>
      <w:r w:rsidR="0004484E" w:rsidRPr="006720E4">
        <w:rPr>
          <w:rFonts w:ascii="Calibri" w:hAnsi="Calibri" w:cs="Calibri"/>
          <w:b/>
          <w:bCs/>
          <w:sz w:val="22"/>
          <w:szCs w:val="22"/>
        </w:rPr>
        <w:t>4</w:t>
      </w:r>
      <w:r w:rsidRPr="006720E4">
        <w:rPr>
          <w:rFonts w:ascii="Calibri" w:hAnsi="Calibri" w:cs="Calibri"/>
          <w:b/>
          <w:bCs/>
          <w:sz w:val="22"/>
          <w:szCs w:val="22"/>
        </w:rPr>
        <w:t>.</w:t>
      </w:r>
      <w:r w:rsidR="000C15D6">
        <w:rPr>
          <w:rFonts w:ascii="Calibri" w:hAnsi="Calibri" w:cs="Calibri"/>
          <w:b/>
          <w:bCs/>
          <w:sz w:val="22"/>
          <w:szCs w:val="22"/>
        </w:rPr>
        <w:t>2</w:t>
      </w:r>
      <w:r w:rsidRPr="006720E4">
        <w:rPr>
          <w:rFonts w:ascii="Calibri" w:hAnsi="Calibri" w:cs="Calibri"/>
          <w:sz w:val="22"/>
          <w:szCs w:val="22"/>
        </w:rPr>
        <w:t xml:space="preserve"> below). </w:t>
      </w:r>
    </w:p>
    <w:p w14:paraId="5DCA2FBE" w14:textId="45AA064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legislation also provides a way of resolving </w:t>
      </w:r>
      <w:r w:rsidRPr="006720E4">
        <w:rPr>
          <w:rFonts w:ascii="Calibri" w:hAnsi="Calibri" w:cs="Calibri"/>
          <w:b/>
          <w:bCs/>
          <w:sz w:val="22"/>
          <w:szCs w:val="22"/>
        </w:rPr>
        <w:t>disputes</w:t>
      </w:r>
      <w:r w:rsidRPr="006720E4">
        <w:rPr>
          <w:rFonts w:ascii="Calibri" w:hAnsi="Calibri" w:cs="Calibri"/>
          <w:sz w:val="22"/>
          <w:szCs w:val="22"/>
        </w:rPr>
        <w:t xml:space="preserve"> about whether deceased donation should occur. Where there is a disagreement between SANOKs in the same category, an objection to donation will be respected over a consent or approval to donate. </w:t>
      </w:r>
    </w:p>
    <w:p w14:paraId="30966471" w14:textId="77777777" w:rsidR="006C6EBA" w:rsidRPr="006720E4" w:rsidRDefault="006C6EBA" w:rsidP="00EA22AE">
      <w:pPr>
        <w:spacing w:after="120"/>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6C6EBA" w:rsidRPr="006720E4" w14:paraId="26C7D479" w14:textId="77777777">
        <w:tc>
          <w:tcPr>
            <w:tcW w:w="9010" w:type="dxa"/>
            <w:shd w:val="clear" w:color="auto" w:fill="E7E6E6" w:themeFill="background2"/>
          </w:tcPr>
          <w:p w14:paraId="1498036B" w14:textId="1C9BBED4" w:rsidR="006C6EBA" w:rsidRPr="006720E4" w:rsidRDefault="006C6EBA" w:rsidP="00EA22AE">
            <w:pPr>
              <w:spacing w:after="120"/>
              <w:rPr>
                <w:rFonts w:ascii="Calibri" w:hAnsi="Calibri" w:cs="Calibri"/>
                <w:sz w:val="22"/>
                <w:szCs w:val="22"/>
                <w:u w:val="single"/>
              </w:rPr>
            </w:pPr>
            <w:r w:rsidRPr="006720E4">
              <w:rPr>
                <w:rFonts w:ascii="Calibri" w:hAnsi="Calibri" w:cs="Calibri"/>
                <w:b/>
                <w:bCs/>
                <w:sz w:val="22"/>
                <w:szCs w:val="22"/>
                <w:u w:val="single"/>
              </w:rPr>
              <w:t xml:space="preserve">Box </w:t>
            </w:r>
            <w:r w:rsidR="0004484E" w:rsidRPr="006720E4">
              <w:rPr>
                <w:rFonts w:ascii="Calibri" w:hAnsi="Calibri" w:cs="Calibri"/>
                <w:b/>
                <w:bCs/>
                <w:sz w:val="22"/>
                <w:szCs w:val="22"/>
                <w:u w:val="single"/>
              </w:rPr>
              <w:t>4</w:t>
            </w:r>
            <w:r w:rsidRPr="006720E4">
              <w:rPr>
                <w:rFonts w:ascii="Calibri" w:hAnsi="Calibri" w:cs="Calibri"/>
                <w:b/>
                <w:bCs/>
                <w:sz w:val="22"/>
                <w:szCs w:val="22"/>
                <w:u w:val="single"/>
              </w:rPr>
              <w:t>.</w:t>
            </w:r>
            <w:r w:rsidR="000C15D6">
              <w:rPr>
                <w:rFonts w:ascii="Calibri" w:hAnsi="Calibri" w:cs="Calibri"/>
                <w:b/>
                <w:bCs/>
                <w:sz w:val="22"/>
                <w:szCs w:val="22"/>
                <w:u w:val="single"/>
              </w:rPr>
              <w:t>2</w:t>
            </w:r>
            <w:r w:rsidRPr="006720E4">
              <w:rPr>
                <w:rFonts w:ascii="Calibri" w:hAnsi="Calibri" w:cs="Calibri"/>
                <w:b/>
                <w:bCs/>
                <w:sz w:val="22"/>
                <w:szCs w:val="22"/>
                <w:u w:val="single"/>
              </w:rPr>
              <w:t xml:space="preserve"> Senior available next of kin</w:t>
            </w:r>
            <w:r w:rsidRPr="006720E4">
              <w:rPr>
                <w:rFonts w:ascii="Calibri" w:hAnsi="Calibri" w:cs="Calibri"/>
                <w:sz w:val="22"/>
                <w:szCs w:val="22"/>
                <w:u w:val="single"/>
              </w:rPr>
              <w:t xml:space="preserve"> </w:t>
            </w:r>
          </w:p>
        </w:tc>
      </w:tr>
      <w:tr w:rsidR="006C6EBA" w:rsidRPr="006720E4" w14:paraId="00C720E7" w14:textId="77777777">
        <w:tc>
          <w:tcPr>
            <w:tcW w:w="9010" w:type="dxa"/>
            <w:shd w:val="clear" w:color="auto" w:fill="E7E6E6" w:themeFill="background2"/>
          </w:tcPr>
          <w:p w14:paraId="5B2EED1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the proposed deceased donor is an adult, the list of people who are senior available next of kin (in order of priority) is:</w:t>
            </w:r>
          </w:p>
          <w:p w14:paraId="3249671D" w14:textId="77777777" w:rsidR="006C6EBA" w:rsidRPr="006720E4" w:rsidRDefault="006C6EBA" w:rsidP="00EA22AE">
            <w:pPr>
              <w:pStyle w:val="ListParagraph"/>
              <w:numPr>
                <w:ilvl w:val="0"/>
                <w:numId w:val="4"/>
              </w:numPr>
              <w:spacing w:after="120"/>
              <w:ind w:left="714" w:hanging="357"/>
              <w:contextualSpacing w:val="0"/>
              <w:rPr>
                <w:rFonts w:cs="Calibri"/>
                <w:szCs w:val="22"/>
              </w:rPr>
            </w:pPr>
            <w:r w:rsidRPr="006720E4">
              <w:rPr>
                <w:rFonts w:cs="Calibri"/>
                <w:szCs w:val="22"/>
              </w:rPr>
              <w:t>Spouse or de facto, domestic, or same sex partner</w:t>
            </w:r>
          </w:p>
          <w:p w14:paraId="45059761" w14:textId="77777777" w:rsidR="006C6EBA" w:rsidRPr="006720E4" w:rsidRDefault="006C6EBA" w:rsidP="00EA22AE">
            <w:pPr>
              <w:pStyle w:val="ListParagraph"/>
              <w:numPr>
                <w:ilvl w:val="0"/>
                <w:numId w:val="4"/>
              </w:numPr>
              <w:spacing w:after="120"/>
              <w:ind w:left="714" w:hanging="357"/>
              <w:contextualSpacing w:val="0"/>
              <w:rPr>
                <w:rFonts w:cs="Calibri"/>
                <w:szCs w:val="22"/>
              </w:rPr>
            </w:pPr>
            <w:r w:rsidRPr="006720E4">
              <w:rPr>
                <w:rFonts w:cs="Calibri"/>
                <w:szCs w:val="22"/>
              </w:rPr>
              <w:t>Adult son or daughter</w:t>
            </w:r>
          </w:p>
          <w:p w14:paraId="028D47E6" w14:textId="77777777" w:rsidR="006C6EBA" w:rsidRPr="006720E4" w:rsidRDefault="006C6EBA" w:rsidP="00EA22AE">
            <w:pPr>
              <w:pStyle w:val="ListParagraph"/>
              <w:numPr>
                <w:ilvl w:val="0"/>
                <w:numId w:val="4"/>
              </w:numPr>
              <w:spacing w:after="120"/>
              <w:ind w:left="714" w:hanging="357"/>
              <w:contextualSpacing w:val="0"/>
              <w:rPr>
                <w:rFonts w:cs="Calibri"/>
                <w:szCs w:val="22"/>
              </w:rPr>
            </w:pPr>
            <w:r w:rsidRPr="006720E4">
              <w:rPr>
                <w:rFonts w:cs="Calibri"/>
                <w:szCs w:val="22"/>
              </w:rPr>
              <w:t>Parent</w:t>
            </w:r>
          </w:p>
          <w:p w14:paraId="010BE600" w14:textId="77777777" w:rsidR="006C6EBA" w:rsidRPr="006720E4" w:rsidRDefault="006C6EBA" w:rsidP="00EA22AE">
            <w:pPr>
              <w:pStyle w:val="ListParagraph"/>
              <w:numPr>
                <w:ilvl w:val="0"/>
                <w:numId w:val="4"/>
              </w:numPr>
              <w:spacing w:after="120"/>
              <w:ind w:left="714" w:hanging="357"/>
              <w:contextualSpacing w:val="0"/>
              <w:rPr>
                <w:rFonts w:cs="Calibri"/>
                <w:szCs w:val="22"/>
              </w:rPr>
            </w:pPr>
            <w:r w:rsidRPr="006720E4">
              <w:rPr>
                <w:rFonts w:cs="Calibri"/>
                <w:szCs w:val="22"/>
              </w:rPr>
              <w:t>Brother or sister.</w:t>
            </w:r>
          </w:p>
          <w:p w14:paraId="40833E42" w14:textId="26C0715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a proposed deceased donor is a child, in most Australian jurisdictions the order for senior available next of kin is:</w:t>
            </w:r>
          </w:p>
          <w:p w14:paraId="05F8338E" w14:textId="77777777" w:rsidR="006C6EBA" w:rsidRPr="006720E4" w:rsidRDefault="006C6EBA" w:rsidP="00EA22AE">
            <w:pPr>
              <w:pStyle w:val="ListParagraph"/>
              <w:numPr>
                <w:ilvl w:val="0"/>
                <w:numId w:val="5"/>
              </w:numPr>
              <w:spacing w:after="120"/>
              <w:ind w:left="714" w:hanging="357"/>
              <w:contextualSpacing w:val="0"/>
              <w:rPr>
                <w:rFonts w:cs="Calibri"/>
                <w:szCs w:val="22"/>
              </w:rPr>
            </w:pPr>
            <w:r w:rsidRPr="006720E4">
              <w:rPr>
                <w:rFonts w:cs="Calibri"/>
                <w:szCs w:val="22"/>
              </w:rPr>
              <w:t>Parent</w:t>
            </w:r>
          </w:p>
          <w:p w14:paraId="1DDE7D32" w14:textId="77777777" w:rsidR="006C6EBA" w:rsidRPr="006720E4" w:rsidRDefault="006C6EBA" w:rsidP="00EA22AE">
            <w:pPr>
              <w:pStyle w:val="ListParagraph"/>
              <w:numPr>
                <w:ilvl w:val="0"/>
                <w:numId w:val="5"/>
              </w:numPr>
              <w:spacing w:after="120"/>
              <w:ind w:left="714" w:hanging="357"/>
              <w:contextualSpacing w:val="0"/>
              <w:rPr>
                <w:rFonts w:cs="Calibri"/>
                <w:szCs w:val="22"/>
              </w:rPr>
            </w:pPr>
            <w:r w:rsidRPr="006720E4">
              <w:rPr>
                <w:rFonts w:cs="Calibri"/>
                <w:szCs w:val="22"/>
              </w:rPr>
              <w:t>Adult brother or sister</w:t>
            </w:r>
          </w:p>
          <w:p w14:paraId="7B7599E3" w14:textId="3FCA023C" w:rsidR="006C6EBA" w:rsidRPr="006720E4" w:rsidRDefault="006C6EBA" w:rsidP="00EA22AE">
            <w:pPr>
              <w:pStyle w:val="ListParagraph"/>
              <w:numPr>
                <w:ilvl w:val="0"/>
                <w:numId w:val="5"/>
              </w:numPr>
              <w:spacing w:after="120"/>
              <w:ind w:left="714" w:hanging="357"/>
              <w:contextualSpacing w:val="0"/>
              <w:rPr>
                <w:rFonts w:cs="Calibri"/>
                <w:szCs w:val="22"/>
              </w:rPr>
            </w:pPr>
            <w:r w:rsidRPr="006720E4">
              <w:rPr>
                <w:rFonts w:cs="Calibri"/>
                <w:szCs w:val="22"/>
              </w:rPr>
              <w:t>The child’s guardian.</w:t>
            </w:r>
          </w:p>
          <w:p w14:paraId="699D988A" w14:textId="43C47E8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However, in Queensland and Western Australia the domestic partner or spouse of a child will usually be given priority over a parent, sibling, or guardian.</w:t>
            </w:r>
          </w:p>
          <w:p w14:paraId="5DF1E8B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definition of ‘parent’ can differ between Australian jurisdictions with some places including ‘guardians’ and persons considered a parent due to Indigenous or other cultural traditions. </w:t>
            </w:r>
          </w:p>
          <w:p w14:paraId="247A3EC7" w14:textId="77777777" w:rsidR="006C6EBA" w:rsidRPr="006720E4" w:rsidRDefault="006C6EBA" w:rsidP="00C3783C">
            <w:pPr>
              <w:pStyle w:val="ListParagraph"/>
              <w:numPr>
                <w:ilvl w:val="0"/>
                <w:numId w:val="53"/>
              </w:numPr>
              <w:spacing w:after="120"/>
              <w:contextualSpacing w:val="0"/>
              <w:rPr>
                <w:rFonts w:cs="Calibri"/>
                <w:b/>
                <w:bCs/>
                <w:szCs w:val="22"/>
              </w:rPr>
            </w:pPr>
            <w:r w:rsidRPr="006720E4">
              <w:rPr>
                <w:rFonts w:cs="Calibri"/>
                <w:b/>
                <w:bCs/>
                <w:szCs w:val="22"/>
              </w:rPr>
              <w:t xml:space="preserve">Specific legal guidance is needed to support recognition and respect for relevant kinship relationships in decision-making about deceased donation on behalf of Indigenous individuals. </w:t>
            </w:r>
          </w:p>
        </w:tc>
      </w:tr>
    </w:tbl>
    <w:p w14:paraId="7245F1C4" w14:textId="77777777" w:rsidR="006C6EBA" w:rsidRPr="006720E4" w:rsidRDefault="006C6EBA" w:rsidP="00EA22AE">
      <w:pPr>
        <w:spacing w:after="120"/>
        <w:rPr>
          <w:rFonts w:ascii="Calibri" w:hAnsi="Calibri" w:cs="Calibri"/>
          <w:sz w:val="22"/>
          <w:szCs w:val="22"/>
        </w:rPr>
      </w:pPr>
    </w:p>
    <w:p w14:paraId="0058E0B9" w14:textId="0BC16BF3" w:rsidR="006C6EBA" w:rsidRPr="006720E4" w:rsidRDefault="006C6EBA" w:rsidP="00EA22AE">
      <w:pPr>
        <w:spacing w:after="120"/>
        <w:rPr>
          <w:rFonts w:ascii="Calibri" w:hAnsi="Calibri" w:cs="Calibri"/>
          <w:sz w:val="22"/>
          <w:szCs w:val="22"/>
        </w:rPr>
      </w:pPr>
      <w:bookmarkStart w:id="1575" w:name="_Toc70241738"/>
      <w:bookmarkStart w:id="1576" w:name="_Toc70243372"/>
      <w:bookmarkStart w:id="1577" w:name="_Toc70414828"/>
      <w:bookmarkStart w:id="1578" w:name="_Toc70844154"/>
      <w:bookmarkStart w:id="1579" w:name="_Toc72615087"/>
      <w:bookmarkStart w:id="1580" w:name="_Toc73129807"/>
      <w:bookmarkStart w:id="1581" w:name="_Toc73301676"/>
      <w:bookmarkStart w:id="1582" w:name="_Toc73302182"/>
      <w:bookmarkStart w:id="1583" w:name="_Toc73303315"/>
      <w:bookmarkStart w:id="1584" w:name="_Toc73303562"/>
      <w:bookmarkStart w:id="1585" w:name="_Toc74080679"/>
      <w:bookmarkStart w:id="1586" w:name="_Toc74080987"/>
      <w:bookmarkStart w:id="1587" w:name="_Toc74081217"/>
      <w:bookmarkStart w:id="1588" w:name="_Toc74081460"/>
      <w:bookmarkStart w:id="1589" w:name="_Toc74171048"/>
      <w:bookmarkStart w:id="1590" w:name="_Toc74172237"/>
      <w:bookmarkStart w:id="1591" w:name="_Toc74172773"/>
      <w:bookmarkStart w:id="1592" w:name="_Toc74238722"/>
      <w:r w:rsidRPr="006720E4">
        <w:rPr>
          <w:rFonts w:ascii="Calibri" w:hAnsi="Calibri" w:cs="Calibri"/>
          <w:sz w:val="22"/>
          <w:szCs w:val="22"/>
        </w:rPr>
        <w:t xml:space="preserve">Those responsible for making a final decision about deceased donation and providing legally valid consent or refusal for donation are usually substitute decision-makers. This means they are making a decision on behalf of someone else – the potential donor – and are expected to follow the approach to decision-making </w:t>
      </w:r>
      <w:r w:rsidRPr="004B64BA">
        <w:rPr>
          <w:rFonts w:ascii="Calibri" w:hAnsi="Calibri" w:cs="Calibri"/>
          <w:sz w:val="22"/>
          <w:szCs w:val="22"/>
        </w:rPr>
        <w:t xml:space="preserve">outlined in </w:t>
      </w:r>
      <w:hyperlink w:anchor="_Approach_to_substitute" w:history="1">
        <w:r w:rsidRPr="004B64BA">
          <w:rPr>
            <w:rStyle w:val="Hyperlink"/>
            <w:rFonts w:ascii="Calibri" w:hAnsi="Calibri" w:cs="Calibri"/>
            <w:sz w:val="22"/>
            <w:szCs w:val="22"/>
          </w:rPr>
          <w:t xml:space="preserve">Chapter </w:t>
        </w:r>
        <w:r w:rsidR="00263F25" w:rsidRPr="004B64BA">
          <w:rPr>
            <w:rStyle w:val="Hyperlink"/>
            <w:rFonts w:ascii="Calibri" w:hAnsi="Calibri" w:cs="Calibri"/>
            <w:sz w:val="22"/>
            <w:szCs w:val="22"/>
          </w:rPr>
          <w:t>4</w:t>
        </w:r>
        <w:r w:rsidRPr="004B64BA">
          <w:rPr>
            <w:rStyle w:val="Hyperlink"/>
            <w:rFonts w:ascii="Calibri" w:hAnsi="Calibri" w:cs="Calibri"/>
            <w:sz w:val="22"/>
            <w:szCs w:val="22"/>
          </w:rPr>
          <w:t>.4.2.2</w:t>
        </w:r>
      </w:hyperlink>
      <w:r w:rsidRPr="004B64BA">
        <w:rPr>
          <w:rFonts w:ascii="Calibri" w:hAnsi="Calibri" w:cs="Calibri"/>
          <w:sz w:val="22"/>
          <w:szCs w:val="22"/>
        </w:rPr>
        <w:t>.</w:t>
      </w:r>
      <w:r w:rsidRPr="006720E4">
        <w:rPr>
          <w:rFonts w:ascii="Calibri" w:hAnsi="Calibri" w:cs="Calibri"/>
          <w:sz w:val="22"/>
          <w:szCs w:val="22"/>
        </w:rPr>
        <w:t xml:space="preserve"> </w:t>
      </w:r>
    </w:p>
    <w:p w14:paraId="6CB1C33D" w14:textId="3E796262" w:rsidR="006C6EBA" w:rsidRPr="006720E4" w:rsidRDefault="006C6EBA" w:rsidP="00EA22AE">
      <w:pPr>
        <w:spacing w:after="120"/>
        <w:rPr>
          <w:rFonts w:ascii="Calibri" w:hAnsi="Calibri" w:cs="Calibri"/>
          <w:sz w:val="22"/>
          <w:szCs w:val="22"/>
        </w:rPr>
      </w:pPr>
      <w:r w:rsidRPr="006720E4">
        <w:rPr>
          <w:rFonts w:ascii="Calibri" w:hAnsi="Calibri" w:cs="Calibri"/>
          <w:bCs/>
          <w:color w:val="000000" w:themeColor="text1"/>
          <w:sz w:val="22"/>
          <w:szCs w:val="22"/>
        </w:rPr>
        <w:t>Decision-making about deceased donation is frequently part of decision-making about end-of-life care. However, individuals with legal authority to make a decision about deceased donation are not always the same as those with legal authority to make medical treatment decisions on behalf of a person who lacks capacity at the end of life.</w:t>
      </w:r>
      <w:r w:rsidRPr="006720E4">
        <w:rPr>
          <w:rFonts w:ascii="Calibri" w:hAnsi="Calibri" w:cs="Calibri"/>
          <w:bCs/>
          <w:color w:val="000000" w:themeColor="text1"/>
          <w:sz w:val="22"/>
          <w:szCs w:val="22"/>
        </w:rPr>
        <w:fldChar w:fldCharType="begin" w:fldLock="1"/>
      </w:r>
      <w:r w:rsidR="00EB088B">
        <w:rPr>
          <w:rFonts w:ascii="Calibri" w:hAnsi="Calibri" w:cs="Calibri"/>
          <w:bCs/>
          <w:color w:val="000000" w:themeColor="text1"/>
          <w:sz w:val="22"/>
          <w:szCs w:val="22"/>
        </w:rPr>
        <w:instrText>ADDIN CSL_CITATION {"citationItems":[{"id":"ITEM-1","itemData":{"DOI":"10.1136/medethics-2020-106572","ISSN":"14734257","abstract":"Where a person is unable to make medical decisions for themselves, law and practice allows others to make decisions on their behalf. This is common at the end of a person's life where decision-making capacity is often lost. A further, and separate, decision that is often considered at the time of death (and often preceding death) is whether the person wanted to act as an organ or tissue donor. However, in some jurisdictions, the lawful decision-maker for the donation decision (the 'donation decision-maker') is different from the person who was granted decision-making authority for medical decisions during the person's life. To date, little attention has been given in the literature to the ethical concerns and practical problems that arise where this shift in legal authority occurs. Such a change in decision-making authority is particularly problematic where premortem measures are suggested to maximise the chances of a successful organ donation. This paper examines this shift in decision-making authority and discusses the legal, ethical and practical implications of such frameworks.","author":[{"dropping-particle":"","family":"Then","given":"Shih Ning","non-dropping-particle":"","parse-names":false,"suffix":""},{"dropping-particle":"","family":"Martin","given":"Dominique E.","non-dropping-particle":"","parse-names":false,"suffix":""}],"container-title":"Journal of Medical Ethics","id":"ITEM-1","issued":{"date-parts":[["2020"]]},"page":"1-6","title":"Transitions in decision-making authority at the end of life: A problem of law, ethics and practice in deceased donation","type":"article-journal"},"uris":["http://www.mendeley.com/documents/?uuid=75d121fa-e91d-48fd-a59e-7b3a67d9b619"]}],"mendeley":{"formattedCitation":"(57)","plainTextFormattedCitation":"(57)","previouslyFormattedCitation":"(57)"},"properties":{"noteIndex":0},"schema":"https://github.com/citation-style-language/schema/raw/master/csl-citation.json"}</w:instrText>
      </w:r>
      <w:r w:rsidRPr="006720E4">
        <w:rPr>
          <w:rFonts w:ascii="Calibri" w:hAnsi="Calibri" w:cs="Calibri"/>
          <w:bCs/>
          <w:color w:val="000000" w:themeColor="text1"/>
          <w:sz w:val="22"/>
          <w:szCs w:val="22"/>
        </w:rPr>
        <w:fldChar w:fldCharType="separate"/>
      </w:r>
      <w:r w:rsidR="00BA3D76" w:rsidRPr="00BA3D76">
        <w:rPr>
          <w:rFonts w:ascii="Calibri" w:hAnsi="Calibri" w:cs="Calibri"/>
          <w:bCs/>
          <w:noProof/>
          <w:color w:val="000000" w:themeColor="text1"/>
          <w:sz w:val="22"/>
          <w:szCs w:val="22"/>
        </w:rPr>
        <w:t>(57)</w:t>
      </w:r>
      <w:r w:rsidRPr="006720E4">
        <w:rPr>
          <w:rFonts w:ascii="Calibri" w:hAnsi="Calibri" w:cs="Calibri"/>
          <w:bCs/>
          <w:color w:val="000000" w:themeColor="text1"/>
          <w:sz w:val="22"/>
          <w:szCs w:val="22"/>
        </w:rPr>
        <w:fldChar w:fldCharType="end"/>
      </w:r>
      <w:r w:rsidRPr="006720E4">
        <w:rPr>
          <w:rFonts w:ascii="Calibri" w:hAnsi="Calibri" w:cs="Calibri"/>
          <w:bCs/>
          <w:color w:val="000000" w:themeColor="text1"/>
          <w:sz w:val="22"/>
          <w:szCs w:val="22"/>
        </w:rPr>
        <w:t xml:space="preserve"> Legal and ethical considerations with regards to substitute decision-making about the use of pre-mortem interventions for deceased donation are </w:t>
      </w:r>
      <w:r w:rsidRPr="004B64BA">
        <w:rPr>
          <w:rFonts w:ascii="Calibri" w:hAnsi="Calibri" w:cs="Calibri"/>
          <w:bCs/>
          <w:color w:val="000000" w:themeColor="text1"/>
          <w:sz w:val="22"/>
          <w:szCs w:val="22"/>
        </w:rPr>
        <w:t xml:space="preserve">discussed in </w:t>
      </w:r>
      <w:hyperlink w:anchor="_Legal_aspects_of_2" w:history="1">
        <w:r w:rsidRPr="004B64BA">
          <w:rPr>
            <w:rStyle w:val="Hyperlink"/>
            <w:rFonts w:ascii="Calibri" w:hAnsi="Calibri" w:cs="Calibri"/>
            <w:bCs/>
            <w:sz w:val="22"/>
            <w:szCs w:val="22"/>
          </w:rPr>
          <w:t>Chapter 1</w:t>
        </w:r>
        <w:r w:rsidR="00751666" w:rsidRPr="004B64BA">
          <w:rPr>
            <w:rStyle w:val="Hyperlink"/>
            <w:rFonts w:ascii="Calibri" w:hAnsi="Calibri" w:cs="Calibri"/>
            <w:bCs/>
            <w:sz w:val="22"/>
            <w:szCs w:val="22"/>
          </w:rPr>
          <w:t>1</w:t>
        </w:r>
        <w:r w:rsidRPr="004B64BA">
          <w:rPr>
            <w:rStyle w:val="Hyperlink"/>
            <w:rFonts w:ascii="Calibri" w:hAnsi="Calibri" w:cs="Calibri"/>
            <w:bCs/>
            <w:sz w:val="22"/>
            <w:szCs w:val="22"/>
          </w:rPr>
          <w:t>.4.1</w:t>
        </w:r>
      </w:hyperlink>
      <w:r w:rsidRPr="004B64BA">
        <w:rPr>
          <w:rFonts w:ascii="Calibri" w:hAnsi="Calibri" w:cs="Calibri"/>
          <w:bCs/>
          <w:color w:val="000000" w:themeColor="text1"/>
          <w:sz w:val="22"/>
          <w:szCs w:val="22"/>
        </w:rPr>
        <w:t>.</w:t>
      </w:r>
    </w:p>
    <w:p w14:paraId="7A9BF78A" w14:textId="77777777" w:rsidR="006C6EBA" w:rsidRPr="006720E4" w:rsidRDefault="006C6EBA" w:rsidP="00EA22AE">
      <w:pPr>
        <w:pStyle w:val="Heading4"/>
        <w:spacing w:after="120"/>
      </w:pPr>
      <w:bookmarkStart w:id="1593" w:name="_Role_of_the"/>
      <w:bookmarkStart w:id="1594" w:name="_Toc82773540"/>
      <w:bookmarkStart w:id="1595" w:name="_Toc82773893"/>
      <w:bookmarkEnd w:id="1593"/>
      <w:r w:rsidRPr="006720E4">
        <w:t>Role of the coroner</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4"/>
      <w:bookmarkEnd w:id="1595"/>
    </w:p>
    <w:p w14:paraId="4C746570" w14:textId="4E367622" w:rsidR="006C6EBA" w:rsidRPr="006720E4" w:rsidRDefault="006C6EBA" w:rsidP="00EA22AE">
      <w:pPr>
        <w:spacing w:after="120"/>
        <w:rPr>
          <w:rFonts w:ascii="Calibri" w:hAnsi="Calibri" w:cs="Calibri"/>
          <w:sz w:val="22"/>
          <w:szCs w:val="22"/>
        </w:rPr>
      </w:pPr>
      <w:r w:rsidRPr="006720E4">
        <w:rPr>
          <w:rFonts w:ascii="Calibri" w:hAnsi="Calibri" w:cs="Calibri"/>
          <w:bCs/>
          <w:color w:val="000000" w:themeColor="text1"/>
          <w:sz w:val="22"/>
          <w:szCs w:val="22"/>
        </w:rPr>
        <w:t xml:space="preserve">Coroners are independent judicial officers who are responsible for investigating </w:t>
      </w:r>
      <w:r w:rsidRPr="006720E4">
        <w:rPr>
          <w:rFonts w:ascii="Calibri" w:hAnsi="Calibri" w:cs="Calibri"/>
          <w:sz w:val="22"/>
          <w:szCs w:val="22"/>
        </w:rPr>
        <w:t xml:space="preserve">‘reportable deaths ’ (e.g. </w:t>
      </w:r>
      <w:r w:rsidRPr="006720E4">
        <w:rPr>
          <w:rFonts w:ascii="Calibri" w:hAnsi="Calibri" w:cs="Calibri"/>
          <w:bCs/>
          <w:color w:val="000000" w:themeColor="text1"/>
          <w:sz w:val="22"/>
          <w:szCs w:val="22"/>
        </w:rPr>
        <w:t xml:space="preserve">violent, unnatural, or sudden deaths of unknown cause). </w:t>
      </w:r>
      <w:r w:rsidRPr="006720E4">
        <w:rPr>
          <w:rFonts w:ascii="Calibri" w:hAnsi="Calibri" w:cs="Calibri"/>
          <w:sz w:val="22"/>
          <w:szCs w:val="22"/>
        </w:rPr>
        <w:t xml:space="preserve">If the death of a potential organ or tissue donor is in circumstances that constitute a ‘reportable death’ then consent to proceed with donation may be required from the State or Territory </w:t>
      </w:r>
      <w:r w:rsidR="005E4E90">
        <w:rPr>
          <w:rFonts w:ascii="Calibri" w:hAnsi="Calibri" w:cs="Calibri"/>
          <w:sz w:val="22"/>
          <w:szCs w:val="22"/>
        </w:rPr>
        <w:t>c</w:t>
      </w:r>
      <w:r w:rsidRPr="006720E4">
        <w:rPr>
          <w:rFonts w:ascii="Calibri" w:hAnsi="Calibri" w:cs="Calibri"/>
          <w:sz w:val="22"/>
          <w:szCs w:val="22"/>
        </w:rPr>
        <w:t xml:space="preserve">oroner prior to removal of organs or tissues for donation, in addition to the usual consent requirements outlined in </w:t>
      </w:r>
      <w:hyperlink w:anchor="_Consent_for_deceased_2" w:history="1">
        <w:r w:rsidRPr="006720E4">
          <w:rPr>
            <w:rStyle w:val="Hyperlink"/>
            <w:rFonts w:ascii="Calibri" w:hAnsi="Calibri" w:cs="Calibri"/>
            <w:sz w:val="22"/>
            <w:szCs w:val="22"/>
          </w:rPr>
          <w:t xml:space="preserve">Chapter </w:t>
        </w:r>
        <w:r w:rsidR="00751666" w:rsidRPr="006720E4">
          <w:rPr>
            <w:rStyle w:val="Hyperlink"/>
            <w:rFonts w:ascii="Calibri" w:hAnsi="Calibri" w:cs="Calibri"/>
            <w:sz w:val="22"/>
            <w:szCs w:val="22"/>
          </w:rPr>
          <w:t>4</w:t>
        </w:r>
        <w:r w:rsidRPr="006720E4">
          <w:rPr>
            <w:rStyle w:val="Hyperlink"/>
            <w:rFonts w:ascii="Calibri" w:hAnsi="Calibri" w:cs="Calibri"/>
            <w:sz w:val="22"/>
            <w:szCs w:val="22"/>
          </w:rPr>
          <w:t>.4.1</w:t>
        </w:r>
      </w:hyperlink>
      <w:r w:rsidRPr="006720E4">
        <w:rPr>
          <w:rFonts w:ascii="Calibri" w:hAnsi="Calibri" w:cs="Calibri"/>
          <w:sz w:val="22"/>
          <w:szCs w:val="22"/>
        </w:rPr>
        <w:t xml:space="preserve">.  </w:t>
      </w:r>
    </w:p>
    <w:p w14:paraId="286460B7" w14:textId="77777777" w:rsidR="006C6EBA" w:rsidRPr="006720E4" w:rsidRDefault="006C6EBA" w:rsidP="00EA22AE">
      <w:pPr>
        <w:spacing w:after="120"/>
        <w:rPr>
          <w:rFonts w:ascii="Calibri" w:hAnsi="Calibri" w:cs="Calibri"/>
          <w:sz w:val="22"/>
          <w:szCs w:val="22"/>
        </w:rPr>
      </w:pPr>
    </w:p>
    <w:tbl>
      <w:tblPr>
        <w:tblW w:w="0" w:type="auto"/>
        <w:jc w:val="center"/>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3965"/>
        <w:gridCol w:w="5045"/>
      </w:tblGrid>
      <w:tr w:rsidR="00520A86" w:rsidRPr="007E1B57" w14:paraId="5DCF6C80" w14:textId="77777777">
        <w:trPr>
          <w:jc w:val="center"/>
        </w:trPr>
        <w:tc>
          <w:tcPr>
            <w:tcW w:w="9010" w:type="dxa"/>
            <w:gridSpan w:val="2"/>
            <w:tcBorders>
              <w:top w:val="single" w:sz="4" w:space="0" w:color="auto"/>
              <w:bottom w:val="single" w:sz="4" w:space="0" w:color="auto"/>
            </w:tcBorders>
            <w:shd w:val="clear" w:color="auto" w:fill="E7E6E6"/>
            <w:tcMar>
              <w:top w:w="100" w:type="nil"/>
              <w:right w:w="100" w:type="nil"/>
            </w:tcMar>
          </w:tcPr>
          <w:p w14:paraId="58D77C7B" w14:textId="2A2EACB3" w:rsidR="00520A86" w:rsidRPr="00457B3B" w:rsidRDefault="00520A86" w:rsidP="00EA22AE">
            <w:pPr>
              <w:pStyle w:val="Guidelinesnormalparagraph"/>
              <w:rPr>
                <w:rFonts w:ascii="Calibri" w:hAnsi="Calibri" w:cs="Calibri"/>
                <w:b/>
                <w:bCs/>
                <w:kern w:val="0"/>
                <w:szCs w:val="22"/>
                <w:u w:color="0000FF"/>
                <w:lang w:val="en-GB"/>
              </w:rPr>
            </w:pPr>
            <w:r w:rsidRPr="00457B3B">
              <w:rPr>
                <w:rFonts w:ascii="Calibri" w:hAnsi="Calibri" w:cs="Calibri"/>
                <w:b/>
                <w:bCs/>
                <w:kern w:val="0"/>
                <w:sz w:val="24"/>
                <w:u w:color="0000FF"/>
                <w:lang w:val="en-GB"/>
              </w:rPr>
              <w:t>Table 4.1 Coroners Acts</w:t>
            </w:r>
          </w:p>
        </w:tc>
      </w:tr>
      <w:tr w:rsidR="00520A86" w:rsidRPr="007E1B57" w14:paraId="3718D32E" w14:textId="77777777">
        <w:tblPrEx>
          <w:tblBorders>
            <w:top w:val="none" w:sz="0" w:space="0" w:color="auto"/>
          </w:tblBorders>
        </w:tblPrEx>
        <w:trPr>
          <w:jc w:val="center"/>
        </w:trPr>
        <w:tc>
          <w:tcPr>
            <w:tcW w:w="3965" w:type="dxa"/>
            <w:tcBorders>
              <w:top w:val="single" w:sz="4" w:space="0" w:color="auto"/>
              <w:bottom w:val="single" w:sz="4" w:space="0" w:color="auto"/>
              <w:right w:val="single" w:sz="4" w:space="0" w:color="auto"/>
            </w:tcBorders>
            <w:tcMar>
              <w:top w:w="100" w:type="nil"/>
              <w:right w:w="100" w:type="nil"/>
            </w:tcMar>
          </w:tcPr>
          <w:p w14:paraId="798240F7"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ACT Coroners Act 1997</w:t>
            </w:r>
          </w:p>
        </w:tc>
        <w:tc>
          <w:tcPr>
            <w:tcW w:w="5045" w:type="dxa"/>
            <w:tcBorders>
              <w:top w:val="single" w:sz="4" w:space="0" w:color="auto"/>
              <w:left w:val="single" w:sz="4" w:space="0" w:color="auto"/>
              <w:bottom w:val="single" w:sz="4" w:space="0" w:color="auto"/>
            </w:tcBorders>
            <w:tcMar>
              <w:top w:w="100" w:type="nil"/>
              <w:right w:w="100" w:type="nil"/>
            </w:tcMar>
          </w:tcPr>
          <w:p w14:paraId="1503351A" w14:textId="77777777" w:rsidR="00520A86" w:rsidRPr="007E1B57" w:rsidRDefault="00000000" w:rsidP="00EA22AE">
            <w:pPr>
              <w:pStyle w:val="Guidelinesnormalparagraph"/>
              <w:rPr>
                <w:rFonts w:ascii="Calibri" w:hAnsi="Calibri" w:cs="Calibri"/>
                <w:kern w:val="0"/>
                <w:szCs w:val="22"/>
                <w:u w:color="0000FF"/>
                <w:lang w:val="en-GB"/>
              </w:rPr>
            </w:pPr>
            <w:hyperlink r:id="rId53" w:history="1">
              <w:r w:rsidR="00520A86" w:rsidRPr="007E1B57">
                <w:rPr>
                  <w:rFonts w:ascii="Calibri" w:hAnsi="Calibri" w:cs="Calibri"/>
                  <w:color w:val="0000FF"/>
                  <w:kern w:val="0"/>
                  <w:szCs w:val="22"/>
                  <w:u w:val="single" w:color="0000FF"/>
                  <w:lang w:val="en-GB"/>
                </w:rPr>
                <w:t>https://www.legislation.act.gov.au/a/1997-57</w:t>
              </w:r>
            </w:hyperlink>
          </w:p>
        </w:tc>
      </w:tr>
      <w:tr w:rsidR="00520A86" w:rsidRPr="007E1B57" w14:paraId="5899AAF6" w14:textId="77777777">
        <w:tblPrEx>
          <w:tblBorders>
            <w:top w:val="none" w:sz="0" w:space="0" w:color="auto"/>
          </w:tblBorders>
        </w:tblPrEx>
        <w:trPr>
          <w:jc w:val="center"/>
        </w:trPr>
        <w:tc>
          <w:tcPr>
            <w:tcW w:w="3965" w:type="dxa"/>
            <w:tcBorders>
              <w:top w:val="single" w:sz="4" w:space="0" w:color="auto"/>
              <w:bottom w:val="single" w:sz="4" w:space="0" w:color="auto"/>
              <w:right w:val="single" w:sz="4" w:space="0" w:color="auto"/>
            </w:tcBorders>
            <w:tcMar>
              <w:top w:w="100" w:type="nil"/>
              <w:right w:w="100" w:type="nil"/>
            </w:tcMar>
          </w:tcPr>
          <w:p w14:paraId="4E6A500C"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NSW Coroners Act 2009</w:t>
            </w:r>
          </w:p>
        </w:tc>
        <w:tc>
          <w:tcPr>
            <w:tcW w:w="5045" w:type="dxa"/>
            <w:tcBorders>
              <w:top w:val="single" w:sz="4" w:space="0" w:color="auto"/>
              <w:left w:val="single" w:sz="4" w:space="0" w:color="auto"/>
              <w:bottom w:val="single" w:sz="4" w:space="0" w:color="auto"/>
            </w:tcBorders>
            <w:tcMar>
              <w:top w:w="100" w:type="nil"/>
              <w:right w:w="100" w:type="nil"/>
            </w:tcMar>
          </w:tcPr>
          <w:p w14:paraId="5F8DA902" w14:textId="77777777" w:rsidR="00520A86" w:rsidRPr="007E1B57" w:rsidRDefault="00000000" w:rsidP="00EA22AE">
            <w:pPr>
              <w:pStyle w:val="Guidelinesnormalparagraph"/>
              <w:rPr>
                <w:rFonts w:ascii="Calibri" w:hAnsi="Calibri" w:cs="Calibri"/>
                <w:kern w:val="0"/>
                <w:szCs w:val="22"/>
                <w:u w:color="0000FF"/>
                <w:lang w:val="en-GB"/>
              </w:rPr>
            </w:pPr>
            <w:hyperlink r:id="rId54" w:history="1">
              <w:r w:rsidR="00520A86" w:rsidRPr="007E1B57">
                <w:rPr>
                  <w:rFonts w:ascii="Calibri" w:hAnsi="Calibri" w:cs="Calibri"/>
                  <w:color w:val="0000FF"/>
                  <w:kern w:val="0"/>
                  <w:szCs w:val="22"/>
                  <w:u w:val="single" w:color="0000FF"/>
                  <w:lang w:val="en-GB"/>
                </w:rPr>
                <w:t>https://www.legislation.nsw.gov.au/view/html/inforce/cur</w:t>
              </w:r>
            </w:hyperlink>
            <w:r w:rsidR="00520A86" w:rsidRPr="007E1B57">
              <w:rPr>
                <w:rFonts w:ascii="Calibri" w:hAnsi="Calibri" w:cs="Calibri"/>
                <w:kern w:val="0"/>
                <w:szCs w:val="22"/>
                <w:u w:color="0000FF"/>
                <w:lang w:val="en-GB"/>
              </w:rPr>
              <w:t xml:space="preserve"> </w:t>
            </w:r>
            <w:hyperlink r:id="rId55" w:history="1">
              <w:r w:rsidR="00520A86" w:rsidRPr="007E1B57">
                <w:rPr>
                  <w:rFonts w:ascii="Calibri" w:hAnsi="Calibri" w:cs="Calibri"/>
                  <w:color w:val="0000FF"/>
                  <w:kern w:val="0"/>
                  <w:szCs w:val="22"/>
                  <w:u w:val="single" w:color="0000FF"/>
                  <w:lang w:val="en-GB"/>
                </w:rPr>
                <w:t>rent/act-2009-041</w:t>
              </w:r>
            </w:hyperlink>
          </w:p>
        </w:tc>
      </w:tr>
      <w:tr w:rsidR="00520A86" w:rsidRPr="007E1B57" w14:paraId="40A08264" w14:textId="77777777">
        <w:tblPrEx>
          <w:tblBorders>
            <w:top w:val="none" w:sz="0" w:space="0" w:color="auto"/>
          </w:tblBorders>
        </w:tblPrEx>
        <w:trPr>
          <w:jc w:val="center"/>
        </w:trPr>
        <w:tc>
          <w:tcPr>
            <w:tcW w:w="3965" w:type="dxa"/>
            <w:tcBorders>
              <w:top w:val="single" w:sz="4" w:space="0" w:color="auto"/>
              <w:bottom w:val="single" w:sz="4" w:space="0" w:color="auto"/>
              <w:right w:val="single" w:sz="4" w:space="0" w:color="auto"/>
            </w:tcBorders>
            <w:tcMar>
              <w:top w:w="100" w:type="nil"/>
              <w:right w:w="100" w:type="nil"/>
            </w:tcMar>
          </w:tcPr>
          <w:p w14:paraId="1A40752A"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NT Coroners Act 1993</w:t>
            </w:r>
          </w:p>
        </w:tc>
        <w:tc>
          <w:tcPr>
            <w:tcW w:w="5045" w:type="dxa"/>
            <w:tcBorders>
              <w:top w:val="single" w:sz="4" w:space="0" w:color="auto"/>
              <w:left w:val="single" w:sz="4" w:space="0" w:color="auto"/>
              <w:bottom w:val="single" w:sz="4" w:space="0" w:color="auto"/>
            </w:tcBorders>
            <w:tcMar>
              <w:top w:w="100" w:type="nil"/>
              <w:right w:w="100" w:type="nil"/>
            </w:tcMar>
          </w:tcPr>
          <w:p w14:paraId="35DB7EE9" w14:textId="77777777" w:rsidR="00520A86" w:rsidRPr="007E1B57" w:rsidRDefault="00000000" w:rsidP="00EA22AE">
            <w:pPr>
              <w:pStyle w:val="Guidelinesnormalparagraph"/>
              <w:rPr>
                <w:rFonts w:ascii="Calibri" w:hAnsi="Calibri" w:cs="Calibri"/>
                <w:kern w:val="0"/>
                <w:szCs w:val="22"/>
                <w:u w:color="0000FF"/>
                <w:lang w:val="en-GB"/>
              </w:rPr>
            </w:pPr>
            <w:hyperlink r:id="rId56" w:history="1">
              <w:r w:rsidR="00520A86" w:rsidRPr="007E1B57">
                <w:rPr>
                  <w:rFonts w:ascii="Calibri" w:hAnsi="Calibri" w:cs="Calibri"/>
                  <w:color w:val="0000FF"/>
                  <w:kern w:val="0"/>
                  <w:szCs w:val="22"/>
                  <w:u w:val="single" w:color="0000FF"/>
                  <w:lang w:val="en-GB"/>
                </w:rPr>
                <w:t>https://legislation.nt.gov.au/en/Legislation/CORONERS-</w:t>
              </w:r>
            </w:hyperlink>
            <w:r w:rsidR="00520A86" w:rsidRPr="007E1B57">
              <w:rPr>
                <w:rFonts w:ascii="Calibri" w:hAnsi="Calibri" w:cs="Calibri"/>
                <w:kern w:val="0"/>
                <w:szCs w:val="22"/>
                <w:u w:color="0000FF"/>
                <w:lang w:val="en-GB"/>
              </w:rPr>
              <w:t xml:space="preserve"> </w:t>
            </w:r>
            <w:hyperlink r:id="rId57" w:history="1">
              <w:r w:rsidR="00520A86" w:rsidRPr="007E1B57">
                <w:rPr>
                  <w:rFonts w:ascii="Calibri" w:hAnsi="Calibri" w:cs="Calibri"/>
                  <w:color w:val="0000FF"/>
                  <w:kern w:val="0"/>
                  <w:szCs w:val="22"/>
                  <w:u w:val="single" w:color="0000FF"/>
                  <w:lang w:val="en-GB"/>
                </w:rPr>
                <w:t>ACT-1993</w:t>
              </w:r>
            </w:hyperlink>
          </w:p>
        </w:tc>
      </w:tr>
      <w:tr w:rsidR="00520A86" w:rsidRPr="007E1B57" w14:paraId="1582FA20" w14:textId="77777777">
        <w:tblPrEx>
          <w:tblBorders>
            <w:top w:val="none" w:sz="0" w:space="0" w:color="auto"/>
          </w:tblBorders>
        </w:tblPrEx>
        <w:trPr>
          <w:jc w:val="center"/>
        </w:trPr>
        <w:tc>
          <w:tcPr>
            <w:tcW w:w="3965" w:type="dxa"/>
            <w:tcBorders>
              <w:top w:val="single" w:sz="4" w:space="0" w:color="auto"/>
              <w:bottom w:val="single" w:sz="4" w:space="0" w:color="auto"/>
              <w:right w:val="single" w:sz="4" w:space="0" w:color="auto"/>
            </w:tcBorders>
            <w:tcMar>
              <w:top w:w="100" w:type="nil"/>
              <w:right w:w="100" w:type="nil"/>
            </w:tcMar>
          </w:tcPr>
          <w:p w14:paraId="68B716AF"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QLD Coroners Act 2003</w:t>
            </w:r>
          </w:p>
        </w:tc>
        <w:tc>
          <w:tcPr>
            <w:tcW w:w="5045" w:type="dxa"/>
            <w:tcBorders>
              <w:top w:val="single" w:sz="4" w:space="0" w:color="auto"/>
              <w:left w:val="single" w:sz="4" w:space="0" w:color="auto"/>
              <w:bottom w:val="single" w:sz="4" w:space="0" w:color="auto"/>
            </w:tcBorders>
            <w:tcMar>
              <w:top w:w="100" w:type="nil"/>
              <w:right w:w="100" w:type="nil"/>
            </w:tcMar>
          </w:tcPr>
          <w:p w14:paraId="52EE280A" w14:textId="77777777" w:rsidR="00520A86" w:rsidRPr="007E1B57" w:rsidRDefault="00000000" w:rsidP="00EA22AE">
            <w:pPr>
              <w:pStyle w:val="Guidelinesnormalparagraph"/>
              <w:rPr>
                <w:rFonts w:ascii="Calibri" w:hAnsi="Calibri" w:cs="Calibri"/>
                <w:kern w:val="0"/>
                <w:szCs w:val="22"/>
                <w:u w:color="0000FF"/>
                <w:lang w:val="en-GB"/>
              </w:rPr>
            </w:pPr>
            <w:hyperlink r:id="rId58" w:history="1">
              <w:r w:rsidR="00520A86" w:rsidRPr="007E1B57">
                <w:rPr>
                  <w:rFonts w:ascii="Calibri" w:hAnsi="Calibri" w:cs="Calibri"/>
                  <w:color w:val="0000FF"/>
                  <w:kern w:val="0"/>
                  <w:szCs w:val="22"/>
                  <w:u w:val="single" w:color="0000FF"/>
                  <w:lang w:val="en-GB"/>
                </w:rPr>
                <w:t>https://www.legislation.qld.gov.au/view/html/inforce/curr</w:t>
              </w:r>
            </w:hyperlink>
            <w:r w:rsidR="00520A86" w:rsidRPr="007E1B57">
              <w:rPr>
                <w:rFonts w:ascii="Calibri" w:hAnsi="Calibri" w:cs="Calibri"/>
                <w:kern w:val="0"/>
                <w:szCs w:val="22"/>
                <w:u w:color="0000FF"/>
                <w:lang w:val="en-GB"/>
              </w:rPr>
              <w:t xml:space="preserve"> </w:t>
            </w:r>
            <w:hyperlink r:id="rId59" w:history="1">
              <w:proofErr w:type="spellStart"/>
              <w:r w:rsidR="00520A86" w:rsidRPr="007E1B57">
                <w:rPr>
                  <w:rFonts w:ascii="Calibri" w:hAnsi="Calibri" w:cs="Calibri"/>
                  <w:color w:val="0000FF"/>
                  <w:kern w:val="0"/>
                  <w:szCs w:val="22"/>
                  <w:u w:val="single" w:color="0000FF"/>
                  <w:lang w:val="en-GB"/>
                </w:rPr>
                <w:t>ent</w:t>
              </w:r>
              <w:proofErr w:type="spellEnd"/>
              <w:r w:rsidR="00520A86" w:rsidRPr="007E1B57">
                <w:rPr>
                  <w:rFonts w:ascii="Calibri" w:hAnsi="Calibri" w:cs="Calibri"/>
                  <w:color w:val="0000FF"/>
                  <w:kern w:val="0"/>
                  <w:szCs w:val="22"/>
                  <w:u w:val="single" w:color="0000FF"/>
                  <w:lang w:val="en-GB"/>
                </w:rPr>
                <w:t>/act-2003-013</w:t>
              </w:r>
            </w:hyperlink>
          </w:p>
        </w:tc>
      </w:tr>
      <w:tr w:rsidR="00520A86" w:rsidRPr="007E1B57" w14:paraId="41B03DAC" w14:textId="77777777">
        <w:tblPrEx>
          <w:tblBorders>
            <w:top w:val="none" w:sz="0" w:space="0" w:color="auto"/>
          </w:tblBorders>
        </w:tblPrEx>
        <w:trPr>
          <w:jc w:val="center"/>
        </w:trPr>
        <w:tc>
          <w:tcPr>
            <w:tcW w:w="3965" w:type="dxa"/>
            <w:tcBorders>
              <w:top w:val="single" w:sz="4" w:space="0" w:color="auto"/>
              <w:bottom w:val="single" w:sz="4" w:space="0" w:color="auto"/>
              <w:right w:val="single" w:sz="4" w:space="0" w:color="auto"/>
            </w:tcBorders>
            <w:tcMar>
              <w:top w:w="100" w:type="nil"/>
              <w:right w:w="100" w:type="nil"/>
            </w:tcMar>
          </w:tcPr>
          <w:p w14:paraId="5CC26614"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SA Coroners Act 2003</w:t>
            </w:r>
          </w:p>
        </w:tc>
        <w:tc>
          <w:tcPr>
            <w:tcW w:w="5045" w:type="dxa"/>
            <w:tcBorders>
              <w:top w:val="single" w:sz="4" w:space="0" w:color="auto"/>
              <w:left w:val="single" w:sz="4" w:space="0" w:color="auto"/>
              <w:bottom w:val="single" w:sz="4" w:space="0" w:color="auto"/>
            </w:tcBorders>
            <w:tcMar>
              <w:top w:w="100" w:type="nil"/>
              <w:right w:w="100" w:type="nil"/>
            </w:tcMar>
          </w:tcPr>
          <w:p w14:paraId="28D2FFE8" w14:textId="77777777" w:rsidR="00520A86" w:rsidRPr="007E1B57" w:rsidRDefault="00000000" w:rsidP="00EA22AE">
            <w:pPr>
              <w:pStyle w:val="Guidelinesnormalparagraph"/>
              <w:rPr>
                <w:rFonts w:ascii="Calibri" w:hAnsi="Calibri" w:cs="Calibri"/>
                <w:kern w:val="0"/>
                <w:szCs w:val="22"/>
                <w:u w:color="0000FF"/>
                <w:lang w:val="en-GB"/>
              </w:rPr>
            </w:pPr>
            <w:hyperlink r:id="rId60" w:history="1">
              <w:r w:rsidR="00520A86" w:rsidRPr="009B3BAC">
                <w:rPr>
                  <w:rStyle w:val="Hyperlink"/>
                  <w:rFonts w:ascii="Calibri" w:hAnsi="Calibri" w:cs="Calibri"/>
                  <w:kern w:val="0"/>
                  <w:szCs w:val="22"/>
                  <w:lang w:val="en-GB"/>
                </w:rPr>
                <w:t>https://www.legislation.sa.gov.au/lz?path=/c/a/coroners%20act%202003</w:t>
              </w:r>
            </w:hyperlink>
            <w:r w:rsidR="00520A86">
              <w:rPr>
                <w:rFonts w:ascii="Calibri" w:hAnsi="Calibri" w:cs="Calibri"/>
                <w:color w:val="0000FF"/>
                <w:kern w:val="0"/>
                <w:szCs w:val="22"/>
                <w:u w:val="single" w:color="0000FF"/>
                <w:lang w:val="en-GB"/>
              </w:rPr>
              <w:t xml:space="preserve"> </w:t>
            </w:r>
          </w:p>
        </w:tc>
      </w:tr>
      <w:tr w:rsidR="00520A86" w:rsidRPr="007E1B57" w14:paraId="5A554FE1" w14:textId="77777777">
        <w:tblPrEx>
          <w:tblBorders>
            <w:top w:val="none" w:sz="0" w:space="0" w:color="auto"/>
          </w:tblBorders>
        </w:tblPrEx>
        <w:trPr>
          <w:jc w:val="center"/>
        </w:trPr>
        <w:tc>
          <w:tcPr>
            <w:tcW w:w="3965" w:type="dxa"/>
            <w:tcBorders>
              <w:top w:val="single" w:sz="4" w:space="0" w:color="auto"/>
              <w:bottom w:val="single" w:sz="4" w:space="0" w:color="auto"/>
              <w:right w:val="single" w:sz="4" w:space="0" w:color="auto"/>
            </w:tcBorders>
            <w:tcMar>
              <w:top w:w="100" w:type="nil"/>
              <w:right w:w="100" w:type="nil"/>
            </w:tcMar>
          </w:tcPr>
          <w:p w14:paraId="213AD9E2"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TAS Coroners Act 1995</w:t>
            </w:r>
          </w:p>
        </w:tc>
        <w:tc>
          <w:tcPr>
            <w:tcW w:w="5045" w:type="dxa"/>
            <w:tcBorders>
              <w:top w:val="single" w:sz="4" w:space="0" w:color="auto"/>
              <w:left w:val="single" w:sz="4" w:space="0" w:color="auto"/>
              <w:bottom w:val="single" w:sz="4" w:space="0" w:color="auto"/>
            </w:tcBorders>
            <w:tcMar>
              <w:top w:w="100" w:type="nil"/>
              <w:right w:w="100" w:type="nil"/>
            </w:tcMar>
          </w:tcPr>
          <w:p w14:paraId="69C58A3E" w14:textId="77777777" w:rsidR="00520A86" w:rsidRPr="007E1B57" w:rsidRDefault="00000000" w:rsidP="00EA22AE">
            <w:pPr>
              <w:pStyle w:val="Guidelinesnormalparagraph"/>
              <w:rPr>
                <w:rFonts w:ascii="Calibri" w:hAnsi="Calibri" w:cs="Calibri"/>
                <w:kern w:val="0"/>
                <w:szCs w:val="22"/>
                <w:u w:color="0000FF"/>
                <w:lang w:val="en-GB"/>
              </w:rPr>
            </w:pPr>
            <w:hyperlink r:id="rId61" w:history="1">
              <w:r w:rsidR="00520A86" w:rsidRPr="007E1B57">
                <w:rPr>
                  <w:rFonts w:ascii="Calibri" w:hAnsi="Calibri" w:cs="Calibri"/>
                  <w:color w:val="0000FF"/>
                  <w:kern w:val="0"/>
                  <w:szCs w:val="22"/>
                  <w:u w:val="single" w:color="0000FF"/>
                  <w:lang w:val="en-GB"/>
                </w:rPr>
                <w:t>https://www.legislation.tas.gov.au/view/html/inforce/curr</w:t>
              </w:r>
            </w:hyperlink>
            <w:r w:rsidR="00520A86" w:rsidRPr="007E1B57">
              <w:rPr>
                <w:rFonts w:ascii="Calibri" w:hAnsi="Calibri" w:cs="Calibri"/>
                <w:kern w:val="0"/>
                <w:szCs w:val="22"/>
                <w:u w:color="0000FF"/>
                <w:lang w:val="en-GB"/>
              </w:rPr>
              <w:t xml:space="preserve"> </w:t>
            </w:r>
            <w:hyperlink r:id="rId62" w:history="1">
              <w:proofErr w:type="spellStart"/>
              <w:r w:rsidR="00520A86" w:rsidRPr="007E1B57">
                <w:rPr>
                  <w:rFonts w:ascii="Calibri" w:hAnsi="Calibri" w:cs="Calibri"/>
                  <w:color w:val="0000FF"/>
                  <w:kern w:val="0"/>
                  <w:szCs w:val="22"/>
                  <w:u w:val="single" w:color="0000FF"/>
                  <w:lang w:val="en-GB"/>
                </w:rPr>
                <w:t>ent</w:t>
              </w:r>
              <w:proofErr w:type="spellEnd"/>
              <w:r w:rsidR="00520A86" w:rsidRPr="007E1B57">
                <w:rPr>
                  <w:rFonts w:ascii="Calibri" w:hAnsi="Calibri" w:cs="Calibri"/>
                  <w:color w:val="0000FF"/>
                  <w:kern w:val="0"/>
                  <w:szCs w:val="22"/>
                  <w:u w:val="single" w:color="0000FF"/>
                  <w:lang w:val="en-GB"/>
                </w:rPr>
                <w:t>/act-1995-073</w:t>
              </w:r>
            </w:hyperlink>
          </w:p>
        </w:tc>
      </w:tr>
      <w:tr w:rsidR="00520A86" w:rsidRPr="007E1B57" w14:paraId="36530D2B" w14:textId="77777777">
        <w:tblPrEx>
          <w:tblBorders>
            <w:top w:val="none" w:sz="0" w:space="0" w:color="auto"/>
          </w:tblBorders>
        </w:tblPrEx>
        <w:trPr>
          <w:jc w:val="center"/>
        </w:trPr>
        <w:tc>
          <w:tcPr>
            <w:tcW w:w="3965" w:type="dxa"/>
            <w:tcBorders>
              <w:top w:val="single" w:sz="4" w:space="0" w:color="auto"/>
              <w:bottom w:val="single" w:sz="4" w:space="0" w:color="auto"/>
              <w:right w:val="single" w:sz="4" w:space="0" w:color="auto"/>
            </w:tcBorders>
            <w:tcMar>
              <w:top w:w="100" w:type="nil"/>
              <w:right w:w="100" w:type="nil"/>
            </w:tcMar>
          </w:tcPr>
          <w:p w14:paraId="15E63F09"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VIC Coroners Act 2008</w:t>
            </w:r>
          </w:p>
        </w:tc>
        <w:tc>
          <w:tcPr>
            <w:tcW w:w="5045" w:type="dxa"/>
            <w:tcBorders>
              <w:top w:val="single" w:sz="4" w:space="0" w:color="auto"/>
              <w:left w:val="single" w:sz="4" w:space="0" w:color="auto"/>
              <w:bottom w:val="single" w:sz="4" w:space="0" w:color="auto"/>
            </w:tcBorders>
            <w:tcMar>
              <w:top w:w="100" w:type="nil"/>
              <w:right w:w="100" w:type="nil"/>
            </w:tcMar>
          </w:tcPr>
          <w:p w14:paraId="3D0CFD02" w14:textId="77777777" w:rsidR="00520A86" w:rsidRPr="007E1B57" w:rsidRDefault="00000000" w:rsidP="00EA22AE">
            <w:pPr>
              <w:pStyle w:val="Guidelinesnormalparagraph"/>
              <w:rPr>
                <w:rFonts w:ascii="Calibri" w:hAnsi="Calibri" w:cs="Calibri"/>
                <w:kern w:val="0"/>
                <w:szCs w:val="22"/>
                <w:u w:color="0000FF"/>
                <w:lang w:val="en-GB"/>
              </w:rPr>
            </w:pPr>
            <w:hyperlink r:id="rId63" w:history="1">
              <w:r w:rsidR="00520A86" w:rsidRPr="007E1B57">
                <w:rPr>
                  <w:rFonts w:ascii="Calibri" w:hAnsi="Calibri" w:cs="Calibri"/>
                  <w:color w:val="0000FF"/>
                  <w:kern w:val="0"/>
                  <w:szCs w:val="22"/>
                  <w:u w:val="single" w:color="0000FF"/>
                  <w:lang w:val="en-GB"/>
                </w:rPr>
                <w:t>https://www.legislation.vic.gov.au/in-force/acts/coroners-</w:t>
              </w:r>
            </w:hyperlink>
            <w:r w:rsidR="00520A86" w:rsidRPr="007E1B57">
              <w:rPr>
                <w:rFonts w:ascii="Calibri" w:hAnsi="Calibri" w:cs="Calibri"/>
                <w:kern w:val="0"/>
                <w:szCs w:val="22"/>
                <w:u w:color="0000FF"/>
                <w:lang w:val="en-GB"/>
              </w:rPr>
              <w:t xml:space="preserve"> </w:t>
            </w:r>
            <w:hyperlink r:id="rId64" w:history="1">
              <w:r w:rsidR="00520A86" w:rsidRPr="007E1B57">
                <w:rPr>
                  <w:rFonts w:ascii="Calibri" w:hAnsi="Calibri" w:cs="Calibri"/>
                  <w:color w:val="0000FF"/>
                  <w:kern w:val="0"/>
                  <w:szCs w:val="22"/>
                  <w:u w:val="single" w:color="0000FF"/>
                  <w:lang w:val="en-GB"/>
                </w:rPr>
                <w:t>act-2008/039</w:t>
              </w:r>
            </w:hyperlink>
          </w:p>
        </w:tc>
      </w:tr>
      <w:tr w:rsidR="00520A86" w:rsidRPr="007E1B57" w14:paraId="63EC6F44" w14:textId="77777777">
        <w:tblPrEx>
          <w:tblBorders>
            <w:top w:val="none" w:sz="0" w:space="0" w:color="auto"/>
            <w:bottom w:val="single" w:sz="4" w:space="0" w:color="auto"/>
          </w:tblBorders>
        </w:tblPrEx>
        <w:trPr>
          <w:jc w:val="center"/>
        </w:trPr>
        <w:tc>
          <w:tcPr>
            <w:tcW w:w="3965" w:type="dxa"/>
            <w:tcBorders>
              <w:top w:val="single" w:sz="4" w:space="0" w:color="auto"/>
              <w:bottom w:val="single" w:sz="4" w:space="0" w:color="auto"/>
              <w:right w:val="single" w:sz="4" w:space="0" w:color="auto"/>
            </w:tcBorders>
            <w:tcMar>
              <w:top w:w="100" w:type="nil"/>
              <w:right w:w="100" w:type="nil"/>
            </w:tcMar>
          </w:tcPr>
          <w:p w14:paraId="2B2D037D"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WA Coroners Act 1996</w:t>
            </w:r>
          </w:p>
        </w:tc>
        <w:tc>
          <w:tcPr>
            <w:tcW w:w="5045" w:type="dxa"/>
            <w:tcBorders>
              <w:top w:val="single" w:sz="4" w:space="0" w:color="auto"/>
              <w:left w:val="single" w:sz="4" w:space="0" w:color="auto"/>
              <w:bottom w:val="single" w:sz="4" w:space="0" w:color="auto"/>
            </w:tcBorders>
            <w:tcMar>
              <w:top w:w="100" w:type="nil"/>
              <w:right w:w="100" w:type="nil"/>
            </w:tcMar>
          </w:tcPr>
          <w:p w14:paraId="78EB9638" w14:textId="77777777" w:rsidR="00520A86" w:rsidRPr="007E1B57" w:rsidRDefault="00000000" w:rsidP="00EA22AE">
            <w:pPr>
              <w:pStyle w:val="Guidelinesnormalparagraph"/>
              <w:rPr>
                <w:rFonts w:ascii="Calibri" w:hAnsi="Calibri" w:cs="Calibri"/>
                <w:kern w:val="0"/>
                <w:szCs w:val="22"/>
                <w:u w:color="0000FF"/>
                <w:lang w:val="en-GB"/>
              </w:rPr>
            </w:pPr>
            <w:hyperlink r:id="rId65" w:history="1">
              <w:r w:rsidR="00520A86" w:rsidRPr="007E1B57">
                <w:rPr>
                  <w:rFonts w:ascii="Calibri" w:hAnsi="Calibri" w:cs="Calibri"/>
                  <w:color w:val="0000FF"/>
                  <w:kern w:val="0"/>
                  <w:szCs w:val="22"/>
                  <w:u w:val="single" w:color="0000FF"/>
                  <w:lang w:val="en-GB"/>
                </w:rPr>
                <w:t>https://www.legislation.wa.gov.au/legislation/statutes.nsf</w:t>
              </w:r>
            </w:hyperlink>
          </w:p>
          <w:p w14:paraId="00EECAF3" w14:textId="77777777" w:rsidR="00520A86" w:rsidRPr="007E1B57" w:rsidRDefault="00000000" w:rsidP="00EA22AE">
            <w:pPr>
              <w:pStyle w:val="Guidelinesnormalparagraph"/>
              <w:rPr>
                <w:rFonts w:ascii="Calibri" w:hAnsi="Calibri" w:cs="Calibri"/>
                <w:kern w:val="0"/>
                <w:szCs w:val="22"/>
                <w:u w:color="0000FF"/>
                <w:lang w:val="en-GB"/>
              </w:rPr>
            </w:pPr>
            <w:hyperlink r:id="rId66" w:history="1">
              <w:r w:rsidR="00520A86" w:rsidRPr="007E1B57">
                <w:rPr>
                  <w:rFonts w:ascii="Calibri" w:hAnsi="Calibri" w:cs="Calibri"/>
                  <w:color w:val="0000FF"/>
                  <w:kern w:val="0"/>
                  <w:szCs w:val="22"/>
                  <w:u w:val="single" w:color="0000FF"/>
                  <w:lang w:val="en-GB"/>
                </w:rPr>
                <w:t>/main_mrtitle_201_homepage.html</w:t>
              </w:r>
            </w:hyperlink>
          </w:p>
        </w:tc>
      </w:tr>
      <w:tr w:rsidR="00520A86" w:rsidRPr="007E1B57" w14:paraId="7F922190" w14:textId="77777777">
        <w:tblPrEx>
          <w:tblBorders>
            <w:top w:val="none" w:sz="0" w:space="0" w:color="auto"/>
            <w:bottom w:val="single" w:sz="4" w:space="0" w:color="auto"/>
          </w:tblBorders>
        </w:tblPrEx>
        <w:trPr>
          <w:jc w:val="center"/>
        </w:trPr>
        <w:tc>
          <w:tcPr>
            <w:tcW w:w="9010" w:type="dxa"/>
            <w:gridSpan w:val="2"/>
            <w:tcBorders>
              <w:top w:val="single" w:sz="4" w:space="0" w:color="auto"/>
              <w:bottom w:val="single" w:sz="4" w:space="0" w:color="auto"/>
            </w:tcBorders>
            <w:tcMar>
              <w:top w:w="100" w:type="nil"/>
              <w:right w:w="100" w:type="nil"/>
            </w:tcMar>
          </w:tcPr>
          <w:p w14:paraId="1B0A9210" w14:textId="56732FE2" w:rsidR="00520A86" w:rsidRDefault="00520A86" w:rsidP="00EA22AE">
            <w:pPr>
              <w:pStyle w:val="Guidelinesnormalparagraph"/>
            </w:pPr>
            <w:r w:rsidRPr="001272A4">
              <w:rPr>
                <w:i/>
                <w:iCs/>
                <w:sz w:val="21"/>
                <w:szCs w:val="22"/>
              </w:rPr>
              <w:t>Please note that the above links are current at the time of writing but may lead to out-of-date versions of legislation in future. As legislation is regularly amended, please check that you are viewing the most current version which should usually be accessible via the website to which these links will direct.</w:t>
            </w:r>
          </w:p>
        </w:tc>
      </w:tr>
    </w:tbl>
    <w:p w14:paraId="07D31D67" w14:textId="77777777" w:rsidR="006C6EBA" w:rsidRPr="006720E4" w:rsidRDefault="006C6EBA" w:rsidP="00EA22AE">
      <w:pPr>
        <w:spacing w:after="120"/>
        <w:rPr>
          <w:rFonts w:ascii="Calibri" w:hAnsi="Calibri" w:cs="Calibri"/>
          <w:bCs/>
          <w:sz w:val="22"/>
          <w:szCs w:val="22"/>
        </w:rPr>
      </w:pPr>
    </w:p>
    <w:p w14:paraId="491B9B09" w14:textId="77777777" w:rsidR="006C6EBA" w:rsidRPr="006720E4" w:rsidRDefault="006C6EBA" w:rsidP="00EA22AE">
      <w:pPr>
        <w:pStyle w:val="Heading3"/>
        <w:spacing w:after="120"/>
      </w:pPr>
      <w:bookmarkStart w:id="1596" w:name="_Ethical_considerations_in_5"/>
      <w:bookmarkStart w:id="1597" w:name="_Toc70241760"/>
      <w:bookmarkStart w:id="1598" w:name="_Toc70243394"/>
      <w:bookmarkStart w:id="1599" w:name="_Toc70414852"/>
      <w:bookmarkStart w:id="1600" w:name="_Toc70844176"/>
      <w:bookmarkStart w:id="1601" w:name="_Toc72615108"/>
      <w:bookmarkStart w:id="1602" w:name="_Toc73129831"/>
      <w:bookmarkStart w:id="1603" w:name="_Toc73301700"/>
      <w:bookmarkStart w:id="1604" w:name="_Toc73302206"/>
      <w:bookmarkStart w:id="1605" w:name="_Toc73303339"/>
      <w:bookmarkStart w:id="1606" w:name="_Toc73303581"/>
      <w:bookmarkStart w:id="1607" w:name="_Toc74080698"/>
      <w:bookmarkStart w:id="1608" w:name="_Toc74081006"/>
      <w:bookmarkStart w:id="1609" w:name="_Toc74081236"/>
      <w:bookmarkStart w:id="1610" w:name="_Toc74081484"/>
      <w:bookmarkStart w:id="1611" w:name="_Toc74171067"/>
      <w:bookmarkStart w:id="1612" w:name="_Toc74172261"/>
      <w:bookmarkStart w:id="1613" w:name="_Toc74172797"/>
      <w:bookmarkStart w:id="1614" w:name="_Toc74238741"/>
      <w:bookmarkStart w:id="1615" w:name="_Toc79406356"/>
      <w:bookmarkStart w:id="1616" w:name="_Toc82773541"/>
      <w:bookmarkStart w:id="1617" w:name="_Toc82773894"/>
      <w:bookmarkStart w:id="1618" w:name="_Toc63683416"/>
      <w:bookmarkEnd w:id="1596"/>
      <w:r w:rsidRPr="006720E4">
        <w:t>Ethical considerations in deceased donation decision-making</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43177EF6" w14:textId="6C554E59" w:rsidR="006C6EBA" w:rsidRPr="006720E4" w:rsidRDefault="006C6EBA" w:rsidP="00EA22AE">
      <w:pPr>
        <w:spacing w:after="120"/>
        <w:rPr>
          <w:rFonts w:ascii="Calibri" w:hAnsi="Calibri" w:cs="Calibri"/>
          <w:bCs/>
          <w:sz w:val="22"/>
          <w:szCs w:val="22"/>
        </w:rPr>
      </w:pPr>
      <w:r w:rsidRPr="006720E4">
        <w:rPr>
          <w:rFonts w:ascii="Calibri" w:hAnsi="Calibri" w:cs="Calibri"/>
          <w:bCs/>
          <w:sz w:val="22"/>
          <w:szCs w:val="22"/>
        </w:rPr>
        <w:t xml:space="preserve">In Australia consent or authorisation is always sought from the SANOK (see </w:t>
      </w:r>
      <w:hyperlink w:anchor="_Consent_for_deceased_2" w:history="1">
        <w:r w:rsidRPr="006720E4">
          <w:rPr>
            <w:rStyle w:val="Hyperlink"/>
            <w:rFonts w:ascii="Calibri" w:hAnsi="Calibri" w:cs="Calibri"/>
            <w:bCs/>
            <w:sz w:val="22"/>
            <w:szCs w:val="22"/>
          </w:rPr>
          <w:t xml:space="preserve">Chapter </w:t>
        </w:r>
        <w:r w:rsidR="00751666" w:rsidRPr="006720E4">
          <w:rPr>
            <w:rStyle w:val="Hyperlink"/>
            <w:rFonts w:ascii="Calibri" w:hAnsi="Calibri" w:cs="Calibri"/>
            <w:bCs/>
            <w:sz w:val="22"/>
            <w:szCs w:val="22"/>
          </w:rPr>
          <w:t>4</w:t>
        </w:r>
        <w:r w:rsidRPr="006720E4">
          <w:rPr>
            <w:rStyle w:val="Hyperlink"/>
            <w:rFonts w:ascii="Calibri" w:hAnsi="Calibri" w:cs="Calibri"/>
            <w:bCs/>
            <w:sz w:val="22"/>
            <w:szCs w:val="22"/>
          </w:rPr>
          <w:t>.4.1</w:t>
        </w:r>
      </w:hyperlink>
      <w:r w:rsidRPr="006720E4">
        <w:rPr>
          <w:rFonts w:ascii="Calibri" w:hAnsi="Calibri" w:cs="Calibri"/>
          <w:bCs/>
          <w:sz w:val="22"/>
          <w:szCs w:val="22"/>
        </w:rPr>
        <w:t xml:space="preserve">) before deceased donation proceeds – even if the deceased has registered their wish to donate and it is therefore lawful for donation to proceed. People are therefore encouraged not only to register their donation wishes on the AODR but also to notify their family and friends when registering on the AODR and explain the specifics of their intention to be a donor. The reasons for this are discussed in </w:t>
      </w:r>
      <w:hyperlink w:anchor="_Importance_of_family" w:history="1">
        <w:r w:rsidRPr="006720E4">
          <w:rPr>
            <w:rStyle w:val="Hyperlink"/>
            <w:rFonts w:ascii="Calibri" w:hAnsi="Calibri" w:cs="Calibri"/>
            <w:bCs/>
            <w:sz w:val="22"/>
            <w:szCs w:val="22"/>
          </w:rPr>
          <w:t xml:space="preserve">Chapter </w:t>
        </w:r>
        <w:r w:rsidR="00751666" w:rsidRPr="006720E4">
          <w:rPr>
            <w:rStyle w:val="Hyperlink"/>
            <w:rFonts w:ascii="Calibri" w:hAnsi="Calibri" w:cs="Calibri"/>
            <w:bCs/>
            <w:sz w:val="22"/>
            <w:szCs w:val="22"/>
          </w:rPr>
          <w:t>4</w:t>
        </w:r>
        <w:r w:rsidRPr="006720E4">
          <w:rPr>
            <w:rStyle w:val="Hyperlink"/>
            <w:rFonts w:ascii="Calibri" w:hAnsi="Calibri" w:cs="Calibri"/>
            <w:bCs/>
            <w:sz w:val="22"/>
            <w:szCs w:val="22"/>
          </w:rPr>
          <w:t>.4.2.1</w:t>
        </w:r>
      </w:hyperlink>
      <w:r w:rsidRPr="006720E4">
        <w:rPr>
          <w:rFonts w:ascii="Calibri" w:hAnsi="Calibri" w:cs="Calibri"/>
          <w:bCs/>
          <w:sz w:val="22"/>
          <w:szCs w:val="22"/>
        </w:rPr>
        <w:t>)</w:t>
      </w:r>
    </w:p>
    <w:p w14:paraId="776E8346" w14:textId="4CF38A47" w:rsidR="006C6EBA" w:rsidRPr="006720E4" w:rsidRDefault="006C6EBA" w:rsidP="00EA22AE">
      <w:pPr>
        <w:spacing w:after="120"/>
        <w:rPr>
          <w:rFonts w:ascii="Calibri" w:hAnsi="Calibri" w:cs="Calibri"/>
          <w:bCs/>
          <w:sz w:val="22"/>
          <w:szCs w:val="22"/>
        </w:rPr>
      </w:pPr>
      <w:r w:rsidRPr="006720E4">
        <w:rPr>
          <w:rFonts w:ascii="Calibri" w:hAnsi="Calibri" w:cs="Calibri"/>
          <w:bCs/>
          <w:sz w:val="22"/>
          <w:szCs w:val="22"/>
        </w:rPr>
        <w:t xml:space="preserve">Similarly, if a person hasn’t registered, or has registered a preference not to donate, their family will be consulted to make or confirm a decision. Refusal of donation when the potential donor is registered on the AODR and consent for donation when a potential donor has previously indicated a preference not to donate are explored in </w:t>
      </w:r>
      <w:hyperlink w:anchor="_Refusal_of_donation" w:history="1">
        <w:r w:rsidRPr="006720E4">
          <w:rPr>
            <w:rStyle w:val="Hyperlink"/>
            <w:rFonts w:ascii="Calibri" w:hAnsi="Calibri" w:cs="Calibri"/>
            <w:bCs/>
            <w:sz w:val="22"/>
            <w:szCs w:val="22"/>
          </w:rPr>
          <w:t xml:space="preserve">Chapter </w:t>
        </w:r>
        <w:r w:rsidR="00751666" w:rsidRPr="006720E4">
          <w:rPr>
            <w:rStyle w:val="Hyperlink"/>
            <w:rFonts w:ascii="Calibri" w:hAnsi="Calibri" w:cs="Calibri"/>
            <w:bCs/>
            <w:sz w:val="22"/>
            <w:szCs w:val="22"/>
          </w:rPr>
          <w:t>4</w:t>
        </w:r>
        <w:r w:rsidRPr="006720E4">
          <w:rPr>
            <w:rStyle w:val="Hyperlink"/>
            <w:rFonts w:ascii="Calibri" w:hAnsi="Calibri" w:cs="Calibri"/>
            <w:bCs/>
            <w:sz w:val="22"/>
            <w:szCs w:val="22"/>
          </w:rPr>
          <w:t>.4.2.3</w:t>
        </w:r>
      </w:hyperlink>
      <w:r w:rsidRPr="006720E4">
        <w:rPr>
          <w:rFonts w:ascii="Calibri" w:hAnsi="Calibri" w:cs="Calibri"/>
          <w:bCs/>
          <w:sz w:val="22"/>
          <w:szCs w:val="22"/>
        </w:rPr>
        <w:t xml:space="preserve"> and </w:t>
      </w:r>
      <w:hyperlink w:anchor="_Donation_decision-making_on" w:history="1">
        <w:r w:rsidRPr="006720E4">
          <w:rPr>
            <w:rStyle w:val="Hyperlink"/>
            <w:rFonts w:ascii="Calibri" w:hAnsi="Calibri" w:cs="Calibri"/>
            <w:bCs/>
            <w:sz w:val="22"/>
            <w:szCs w:val="22"/>
          </w:rPr>
          <w:t xml:space="preserve">Chapter </w:t>
        </w:r>
        <w:r w:rsidR="00751666" w:rsidRPr="006720E4">
          <w:rPr>
            <w:rStyle w:val="Hyperlink"/>
            <w:rFonts w:ascii="Calibri" w:hAnsi="Calibri" w:cs="Calibri"/>
            <w:bCs/>
            <w:sz w:val="22"/>
            <w:szCs w:val="22"/>
          </w:rPr>
          <w:t>4</w:t>
        </w:r>
        <w:r w:rsidRPr="006720E4">
          <w:rPr>
            <w:rStyle w:val="Hyperlink"/>
            <w:rFonts w:ascii="Calibri" w:hAnsi="Calibri" w:cs="Calibri"/>
            <w:bCs/>
            <w:sz w:val="22"/>
            <w:szCs w:val="22"/>
          </w:rPr>
          <w:t>.4.2.4</w:t>
        </w:r>
      </w:hyperlink>
      <w:r w:rsidRPr="006720E4">
        <w:rPr>
          <w:rFonts w:ascii="Calibri" w:hAnsi="Calibri" w:cs="Calibri"/>
          <w:bCs/>
          <w:sz w:val="22"/>
          <w:szCs w:val="22"/>
        </w:rPr>
        <w:t xml:space="preserve"> respectively.</w:t>
      </w:r>
    </w:p>
    <w:p w14:paraId="65AF0173" w14:textId="6D89917C" w:rsidR="006C6EBA" w:rsidRPr="006720E4" w:rsidRDefault="00000000" w:rsidP="00EA22AE">
      <w:pPr>
        <w:spacing w:after="120"/>
        <w:rPr>
          <w:rFonts w:ascii="Calibri" w:hAnsi="Calibri" w:cs="Calibri"/>
          <w:bCs/>
          <w:sz w:val="22"/>
          <w:szCs w:val="22"/>
        </w:rPr>
      </w:pPr>
      <w:hyperlink w:anchor="_Approach_to_substitute" w:history="1">
        <w:r w:rsidR="006C6EBA" w:rsidRPr="006720E4">
          <w:rPr>
            <w:rStyle w:val="Hyperlink"/>
            <w:rFonts w:ascii="Calibri" w:hAnsi="Calibri" w:cs="Calibri"/>
            <w:bCs/>
            <w:sz w:val="22"/>
            <w:szCs w:val="22"/>
          </w:rPr>
          <w:t xml:space="preserve">Chapter </w:t>
        </w:r>
        <w:r w:rsidR="00751666" w:rsidRPr="006720E4">
          <w:rPr>
            <w:rStyle w:val="Hyperlink"/>
            <w:rFonts w:ascii="Calibri" w:hAnsi="Calibri" w:cs="Calibri"/>
            <w:bCs/>
            <w:sz w:val="22"/>
            <w:szCs w:val="22"/>
          </w:rPr>
          <w:t>4</w:t>
        </w:r>
        <w:r w:rsidR="006C6EBA" w:rsidRPr="006720E4">
          <w:rPr>
            <w:rStyle w:val="Hyperlink"/>
            <w:rFonts w:ascii="Calibri" w:hAnsi="Calibri" w:cs="Calibri"/>
            <w:bCs/>
            <w:sz w:val="22"/>
            <w:szCs w:val="22"/>
          </w:rPr>
          <w:t>.4.2.2</w:t>
        </w:r>
      </w:hyperlink>
      <w:r w:rsidR="006C6EBA" w:rsidRPr="006720E4">
        <w:rPr>
          <w:rFonts w:ascii="Calibri" w:hAnsi="Calibri" w:cs="Calibri"/>
          <w:bCs/>
          <w:sz w:val="22"/>
          <w:szCs w:val="22"/>
        </w:rPr>
        <w:t xml:space="preserve"> outlines the ethical considerations that should guide people in making a decision about deceased donation on behalf of a potential </w:t>
      </w:r>
      <w:r w:rsidR="006C6EBA" w:rsidRPr="004B64BA">
        <w:rPr>
          <w:rFonts w:ascii="Calibri" w:hAnsi="Calibri" w:cs="Calibri"/>
          <w:bCs/>
          <w:sz w:val="22"/>
          <w:szCs w:val="22"/>
        </w:rPr>
        <w:t xml:space="preserve">donor. </w:t>
      </w:r>
      <w:r w:rsidR="006C6EBA" w:rsidRPr="004B64BA">
        <w:rPr>
          <w:rFonts w:ascii="Calibri" w:hAnsi="Calibri" w:cs="Calibri"/>
          <w:sz w:val="22"/>
          <w:szCs w:val="22"/>
        </w:rPr>
        <w:t xml:space="preserve">See </w:t>
      </w:r>
      <w:hyperlink w:anchor="_Conflicts_of_interest_1" w:history="1">
        <w:r w:rsidR="006C6EBA" w:rsidRPr="004B64BA">
          <w:rPr>
            <w:rStyle w:val="Hyperlink"/>
            <w:rFonts w:ascii="Calibri" w:hAnsi="Calibri" w:cs="Calibri"/>
            <w:sz w:val="22"/>
            <w:szCs w:val="22"/>
          </w:rPr>
          <w:t>Chapter</w:t>
        </w:r>
      </w:hyperlink>
      <w:r w:rsidR="006C6EBA" w:rsidRPr="004B64BA">
        <w:rPr>
          <w:rStyle w:val="Hyperlink"/>
          <w:rFonts w:ascii="Calibri" w:hAnsi="Calibri" w:cs="Calibri"/>
          <w:sz w:val="22"/>
          <w:szCs w:val="22"/>
        </w:rPr>
        <w:t xml:space="preserve"> 1</w:t>
      </w:r>
      <w:r w:rsidR="00751666" w:rsidRPr="004B64BA">
        <w:rPr>
          <w:rStyle w:val="Hyperlink"/>
          <w:rFonts w:ascii="Calibri" w:hAnsi="Calibri" w:cs="Calibri"/>
          <w:sz w:val="22"/>
          <w:szCs w:val="22"/>
        </w:rPr>
        <w:t>1</w:t>
      </w:r>
      <w:r w:rsidR="006C6EBA" w:rsidRPr="004B64BA">
        <w:rPr>
          <w:rStyle w:val="Hyperlink"/>
          <w:rFonts w:ascii="Calibri" w:hAnsi="Calibri" w:cs="Calibri"/>
          <w:sz w:val="22"/>
          <w:szCs w:val="22"/>
        </w:rPr>
        <w:t>.3</w:t>
      </w:r>
      <w:r w:rsidR="006C6EBA" w:rsidRPr="004B64BA">
        <w:rPr>
          <w:rFonts w:ascii="Calibri" w:hAnsi="Calibri" w:cs="Calibri"/>
          <w:sz w:val="22"/>
          <w:szCs w:val="22"/>
        </w:rPr>
        <w:t xml:space="preserve"> for discussion</w:t>
      </w:r>
      <w:r w:rsidR="006C6EBA" w:rsidRPr="006720E4">
        <w:rPr>
          <w:rFonts w:ascii="Calibri" w:hAnsi="Calibri" w:cs="Calibri"/>
          <w:sz w:val="22"/>
          <w:szCs w:val="22"/>
        </w:rPr>
        <w:t xml:space="preserve"> of management of potential conflicts of interest in the context of deceased donation decision-making.</w:t>
      </w:r>
    </w:p>
    <w:p w14:paraId="05D77DB6" w14:textId="77777777" w:rsidR="006C6EBA" w:rsidRPr="006720E4" w:rsidRDefault="006C6EBA" w:rsidP="00EA22AE">
      <w:pPr>
        <w:pStyle w:val="Heading4"/>
        <w:spacing w:after="120"/>
      </w:pPr>
      <w:bookmarkStart w:id="1619" w:name="_Importance_of_family"/>
      <w:bookmarkStart w:id="1620" w:name="_Toc82773542"/>
      <w:bookmarkStart w:id="1621" w:name="_Toc82773895"/>
      <w:bookmarkEnd w:id="1619"/>
      <w:r w:rsidRPr="006720E4">
        <w:t>Importance of family consultation in deceased donation decision-making</w:t>
      </w:r>
      <w:bookmarkEnd w:id="1620"/>
      <w:bookmarkEnd w:id="1621"/>
    </w:p>
    <w:p w14:paraId="36FE55EE" w14:textId="77777777" w:rsidR="006C6EBA" w:rsidRPr="006720E4" w:rsidRDefault="006C6EBA" w:rsidP="00EA22AE">
      <w:pPr>
        <w:spacing w:after="120"/>
        <w:rPr>
          <w:rFonts w:ascii="Calibri" w:hAnsi="Calibri" w:cs="Calibri"/>
          <w:bCs/>
          <w:sz w:val="22"/>
          <w:szCs w:val="22"/>
        </w:rPr>
      </w:pPr>
      <w:r w:rsidRPr="006720E4">
        <w:rPr>
          <w:rFonts w:ascii="Calibri" w:hAnsi="Calibri" w:cs="Calibri"/>
          <w:bCs/>
          <w:sz w:val="22"/>
          <w:szCs w:val="22"/>
        </w:rPr>
        <w:t xml:space="preserve">Consent or authorisation of donation is always sought from the SANOK before deceased donation proceeds, even if the potential donor is registered, in order to ensure that donation decision is what that person would want. </w:t>
      </w:r>
    </w:p>
    <w:p w14:paraId="563368BF" w14:textId="77777777" w:rsidR="006C6EBA" w:rsidRPr="006720E4" w:rsidRDefault="006C6EBA" w:rsidP="00EA22AE">
      <w:pPr>
        <w:spacing w:after="120"/>
        <w:rPr>
          <w:rFonts w:ascii="Calibri" w:hAnsi="Calibri" w:cs="Calibri"/>
          <w:bCs/>
          <w:sz w:val="22"/>
          <w:szCs w:val="22"/>
        </w:rPr>
      </w:pPr>
      <w:r w:rsidRPr="006720E4">
        <w:rPr>
          <w:rFonts w:ascii="Calibri" w:hAnsi="Calibri" w:cs="Calibri"/>
          <w:bCs/>
          <w:sz w:val="22"/>
          <w:szCs w:val="22"/>
        </w:rPr>
        <w:t xml:space="preserve">Although registering as a donor is an important indication of a person’s willingness to become a donor, the self-directed nature of joining the registry means that it is not possible to ensure that all </w:t>
      </w:r>
      <w:r w:rsidRPr="006720E4">
        <w:rPr>
          <w:rFonts w:ascii="Calibri" w:hAnsi="Calibri" w:cs="Calibri"/>
          <w:bCs/>
          <w:sz w:val="22"/>
          <w:szCs w:val="22"/>
        </w:rPr>
        <w:lastRenderedPageBreak/>
        <w:t>those who register have made a fully informed, voluntary, and competent decision to donate. In contrast, when people make formal advance directives in healthcare, which are intended to guide or determine decision-making about their healthcare if they are no longer able to participate directly in decision-making, these directives are made with safeguards designed to ensure the person is making a legally valid decision.</w:t>
      </w:r>
    </w:p>
    <w:p w14:paraId="0D4646B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People who are considering joining the AODR are encouraged to read information about donation in order to make an informed decision. However, unlike when a person makes a decision about undergoing a particular medical treatment, the process of donor registration does not necessarily involve other people. There is no health professional involved, for example, to ensure that the person joining the registry has decision-making capacity, that they have received and understood the relevant information, and that they are making a voluntary decision.</w:t>
      </w:r>
    </w:p>
    <w:p w14:paraId="5C12F64D" w14:textId="7B82EDDC" w:rsidR="006C6EBA" w:rsidRPr="006720E4" w:rsidRDefault="006C6EBA" w:rsidP="00EA22AE">
      <w:pPr>
        <w:pStyle w:val="Heading4"/>
        <w:spacing w:after="120"/>
      </w:pPr>
      <w:bookmarkStart w:id="1622" w:name="_Approach_to_substitute"/>
      <w:bookmarkStart w:id="1623" w:name="_Toc82773543"/>
      <w:bookmarkStart w:id="1624" w:name="_Toc82773896"/>
      <w:bookmarkEnd w:id="1622"/>
      <w:r w:rsidRPr="006720E4">
        <w:t>Approach to substitute decision-making in deceased donation</w:t>
      </w:r>
      <w:bookmarkEnd w:id="1623"/>
      <w:bookmarkEnd w:id="1624"/>
    </w:p>
    <w:p w14:paraId="5E7FC76E" w14:textId="68EBFD7E" w:rsidR="006C6EBA" w:rsidRPr="006720E4" w:rsidRDefault="006C6EBA" w:rsidP="00EA22AE">
      <w:pPr>
        <w:spacing w:after="120"/>
        <w:rPr>
          <w:rFonts w:ascii="Calibri" w:hAnsi="Calibri" w:cs="Calibri"/>
          <w:sz w:val="22"/>
          <w:szCs w:val="22"/>
        </w:rPr>
      </w:pPr>
      <w:bookmarkStart w:id="1625" w:name="_Toc70414853"/>
      <w:bookmarkStart w:id="1626" w:name="_Toc70844177"/>
      <w:bookmarkStart w:id="1627" w:name="_Toc72615109"/>
      <w:bookmarkStart w:id="1628" w:name="_Toc73129832"/>
      <w:bookmarkStart w:id="1629" w:name="_Toc73301701"/>
      <w:bookmarkStart w:id="1630" w:name="_Toc73302207"/>
      <w:bookmarkStart w:id="1631" w:name="_Toc73303340"/>
      <w:bookmarkStart w:id="1632" w:name="_Toc74081485"/>
      <w:bookmarkStart w:id="1633" w:name="_Toc74172262"/>
      <w:bookmarkStart w:id="1634" w:name="_Toc74172798"/>
      <w:r w:rsidRPr="006720E4">
        <w:rPr>
          <w:rFonts w:ascii="Calibri" w:hAnsi="Calibri" w:cs="Calibri"/>
          <w:sz w:val="22"/>
          <w:szCs w:val="22"/>
        </w:rPr>
        <w:t>The principles and considerations that underpin substitute decision-making more generally in healthcare are also applicable when making a decision about deceased donation on behalf of another person.</w:t>
      </w:r>
    </w:p>
    <w:p w14:paraId="6712B088" w14:textId="1A35B37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noted in </w:t>
      </w:r>
      <w:hyperlink w:anchor="_Adults_lacking_decision-making" w:history="1">
        <w:r w:rsidRPr="006720E4">
          <w:rPr>
            <w:rStyle w:val="Hyperlink"/>
            <w:rFonts w:ascii="Calibri" w:hAnsi="Calibri" w:cs="Calibri"/>
            <w:sz w:val="22"/>
            <w:szCs w:val="22"/>
          </w:rPr>
          <w:t xml:space="preserve">Chapter </w:t>
        </w:r>
        <w:r w:rsidR="00721BFD" w:rsidRPr="006720E4">
          <w:rPr>
            <w:rStyle w:val="Hyperlink"/>
            <w:rFonts w:ascii="Calibri" w:hAnsi="Calibri" w:cs="Calibri"/>
            <w:sz w:val="22"/>
            <w:szCs w:val="22"/>
          </w:rPr>
          <w:t>5</w:t>
        </w:r>
        <w:r w:rsidRPr="006720E4">
          <w:rPr>
            <w:rStyle w:val="Hyperlink"/>
            <w:rFonts w:ascii="Calibri" w:hAnsi="Calibri" w:cs="Calibri"/>
            <w:sz w:val="22"/>
            <w:szCs w:val="22"/>
          </w:rPr>
          <w:t>.3.2</w:t>
        </w:r>
      </w:hyperlink>
      <w:r w:rsidRPr="006720E4">
        <w:rPr>
          <w:rFonts w:ascii="Calibri" w:hAnsi="Calibri" w:cs="Calibri"/>
          <w:sz w:val="22"/>
          <w:szCs w:val="22"/>
        </w:rPr>
        <w:t>, substitute decision-making involves striving to make decisions that are consistent with the known or expected values and preferences of the person on behalf of whom a decision is being made – sometimes referred to as a “</w:t>
      </w:r>
      <w:hyperlink w:anchor="_Glossary_2" w:history="1">
        <w:r w:rsidRPr="006720E4">
          <w:rPr>
            <w:rStyle w:val="Hyperlink"/>
            <w:rFonts w:ascii="Calibri" w:hAnsi="Calibri" w:cs="Calibri"/>
            <w:sz w:val="22"/>
            <w:szCs w:val="22"/>
          </w:rPr>
          <w:t>substituted judgement</w:t>
        </w:r>
      </w:hyperlink>
      <w:r w:rsidRPr="006720E4">
        <w:rPr>
          <w:rFonts w:ascii="Calibri" w:hAnsi="Calibri" w:cs="Calibri"/>
          <w:sz w:val="22"/>
          <w:szCs w:val="22"/>
        </w:rPr>
        <w:t>” approach to decision-making. It is also important to consider the welfare and interests of the person on whose behalf a decision is being made – sometimes referred to as the “</w:t>
      </w:r>
      <w:hyperlink w:anchor="_Glossary_2" w:history="1">
        <w:r w:rsidRPr="006720E4">
          <w:rPr>
            <w:rStyle w:val="Hyperlink"/>
            <w:rFonts w:ascii="Calibri" w:hAnsi="Calibri" w:cs="Calibri"/>
            <w:sz w:val="22"/>
            <w:szCs w:val="22"/>
          </w:rPr>
          <w:t>best interests</w:t>
        </w:r>
      </w:hyperlink>
      <w:r w:rsidRPr="006720E4">
        <w:rPr>
          <w:rFonts w:ascii="Calibri" w:hAnsi="Calibri" w:cs="Calibri"/>
          <w:sz w:val="22"/>
          <w:szCs w:val="22"/>
        </w:rPr>
        <w:t>” approach to decision-making. Consideration of the best interests of the person becomes particularly important in cases where it may not be possible to know or estimate the likely values or preferences of the person with regards to the decision being made.</w:t>
      </w:r>
    </w:p>
    <w:bookmarkEnd w:id="1625"/>
    <w:bookmarkEnd w:id="1626"/>
    <w:bookmarkEnd w:id="1627"/>
    <w:bookmarkEnd w:id="1628"/>
    <w:bookmarkEnd w:id="1629"/>
    <w:bookmarkEnd w:id="1630"/>
    <w:bookmarkEnd w:id="1631"/>
    <w:bookmarkEnd w:id="1632"/>
    <w:bookmarkEnd w:id="1633"/>
    <w:bookmarkEnd w:id="1634"/>
    <w:p w14:paraId="530B4EFC" w14:textId="7BB6E5FD"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In registering or otherwise expressing a wish to become a deceased donor</w:t>
      </w:r>
      <w:r w:rsidRPr="006720E4">
        <w:rPr>
          <w:rFonts w:ascii="Calibri" w:hAnsi="Calibri" w:cs="Calibri"/>
          <w:sz w:val="22"/>
          <w:szCs w:val="22"/>
        </w:rPr>
        <w:t xml:space="preserve"> if this is possible, people communicate an important goal that should be considered carefully by donation decision-makers. Donation decision-makers will need to consider this goal in the light of an individual’s circumstances at the time of their death. For example, decision-makers may need to consider this goal in the context of other goals relating to the person’s end-of-life care. They may also need to make decisions about specific aspects of donation opportunities which the potential donor may not have considered at the time they expressed their wish to donate. These decisions might include deciding: </w:t>
      </w:r>
    </w:p>
    <w:p w14:paraId="73E203DE" w14:textId="77777777" w:rsidR="006C6EBA" w:rsidRPr="006720E4" w:rsidRDefault="006C6EBA" w:rsidP="00C3783C">
      <w:pPr>
        <w:pStyle w:val="ListParagraph"/>
        <w:numPr>
          <w:ilvl w:val="0"/>
          <w:numId w:val="53"/>
        </w:numPr>
        <w:spacing w:after="120"/>
        <w:contextualSpacing w:val="0"/>
        <w:rPr>
          <w:rFonts w:cs="Calibri"/>
          <w:szCs w:val="22"/>
        </w:rPr>
      </w:pPr>
      <w:r w:rsidRPr="006720E4">
        <w:rPr>
          <w:rFonts w:cs="Calibri"/>
          <w:szCs w:val="22"/>
        </w:rPr>
        <w:t xml:space="preserve">which organs and tissues will be donated, </w:t>
      </w:r>
    </w:p>
    <w:p w14:paraId="40BB522F" w14:textId="32A20F5A" w:rsidR="006C6EBA" w:rsidRPr="006720E4" w:rsidRDefault="006C6EBA" w:rsidP="00C3783C">
      <w:pPr>
        <w:pStyle w:val="ListParagraph"/>
        <w:numPr>
          <w:ilvl w:val="0"/>
          <w:numId w:val="53"/>
        </w:numPr>
        <w:spacing w:after="120"/>
        <w:contextualSpacing w:val="0"/>
        <w:rPr>
          <w:rFonts w:cs="Calibri"/>
          <w:szCs w:val="22"/>
        </w:rPr>
      </w:pPr>
      <w:r w:rsidRPr="006720E4">
        <w:rPr>
          <w:rFonts w:cs="Calibri"/>
          <w:szCs w:val="22"/>
        </w:rPr>
        <w:t>whether donations may be used in research if they cannot be used in transplantation, and</w:t>
      </w:r>
    </w:p>
    <w:p w14:paraId="6D4CBCB3" w14:textId="74D97564" w:rsidR="006C6EBA" w:rsidRPr="006720E4" w:rsidRDefault="006C6EBA" w:rsidP="00C3783C">
      <w:pPr>
        <w:pStyle w:val="ListParagraph"/>
        <w:numPr>
          <w:ilvl w:val="0"/>
          <w:numId w:val="53"/>
        </w:numPr>
        <w:spacing w:after="120"/>
        <w:contextualSpacing w:val="0"/>
        <w:rPr>
          <w:rFonts w:cs="Calibri"/>
          <w:szCs w:val="22"/>
        </w:rPr>
      </w:pPr>
      <w:r w:rsidRPr="006720E4">
        <w:rPr>
          <w:rFonts w:cs="Calibri"/>
          <w:szCs w:val="22"/>
        </w:rPr>
        <w:t xml:space="preserve">whether clinical interventions that might help to facilitate donation should be performed </w:t>
      </w:r>
      <w:r w:rsidRPr="004B64BA">
        <w:rPr>
          <w:rFonts w:cs="Calibri"/>
          <w:szCs w:val="22"/>
        </w:rPr>
        <w:t xml:space="preserve">(see </w:t>
      </w:r>
      <w:hyperlink w:anchor="_Pre-mortem_interventions_for_1" w:history="1">
        <w:r w:rsidRPr="004B64BA">
          <w:rPr>
            <w:rStyle w:val="Hyperlink"/>
            <w:rFonts w:cs="Calibri"/>
            <w:szCs w:val="22"/>
          </w:rPr>
          <w:t>Chapter 1</w:t>
        </w:r>
        <w:r w:rsidR="00263F25" w:rsidRPr="004B64BA">
          <w:rPr>
            <w:rStyle w:val="Hyperlink"/>
            <w:rFonts w:cs="Calibri"/>
            <w:szCs w:val="22"/>
          </w:rPr>
          <w:t>1</w:t>
        </w:r>
        <w:r w:rsidRPr="004B64BA">
          <w:rPr>
            <w:rStyle w:val="Hyperlink"/>
            <w:rFonts w:cs="Calibri"/>
            <w:szCs w:val="22"/>
          </w:rPr>
          <w:t>.4</w:t>
        </w:r>
      </w:hyperlink>
      <w:r w:rsidRPr="004B64BA">
        <w:rPr>
          <w:rFonts w:cs="Calibri"/>
          <w:szCs w:val="22"/>
        </w:rPr>
        <w:t>).</w:t>
      </w:r>
      <w:r w:rsidRPr="006720E4">
        <w:rPr>
          <w:rFonts w:cs="Calibri"/>
          <w:szCs w:val="22"/>
        </w:rPr>
        <w:t xml:space="preserve"> </w:t>
      </w:r>
    </w:p>
    <w:p w14:paraId="33F000E3" w14:textId="77777777"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If a person has not registered as a donor or discussed their donation preferences</w:t>
      </w:r>
      <w:r w:rsidRPr="006720E4">
        <w:rPr>
          <w:rFonts w:ascii="Calibri" w:hAnsi="Calibri" w:cs="Calibri"/>
          <w:sz w:val="22"/>
          <w:szCs w:val="22"/>
        </w:rPr>
        <w:t xml:space="preserve"> with their family, donation decision-makers will need to make a decision by considering what they know about the person.</w:t>
      </w:r>
    </w:p>
    <w:p w14:paraId="195EC0A3" w14:textId="7AAF412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Relevant </w:t>
      </w:r>
      <w:r w:rsidRPr="006720E4">
        <w:rPr>
          <w:rFonts w:ascii="Calibri" w:hAnsi="Calibri" w:cs="Calibri"/>
          <w:b/>
          <w:bCs/>
          <w:sz w:val="22"/>
          <w:szCs w:val="22"/>
        </w:rPr>
        <w:t>information</w:t>
      </w:r>
      <w:r w:rsidRPr="006720E4">
        <w:rPr>
          <w:rFonts w:ascii="Calibri" w:hAnsi="Calibri" w:cs="Calibri"/>
          <w:sz w:val="22"/>
          <w:szCs w:val="22"/>
        </w:rPr>
        <w:t xml:space="preserve"> that should be provided to the donation decision-maker includes information about the possible export or use of donations in </w:t>
      </w:r>
      <w:r w:rsidRPr="004B64BA">
        <w:rPr>
          <w:rFonts w:ascii="Calibri" w:hAnsi="Calibri" w:cs="Calibri"/>
          <w:sz w:val="22"/>
          <w:szCs w:val="22"/>
        </w:rPr>
        <w:t xml:space="preserve">research (see </w:t>
      </w:r>
      <w:hyperlink w:anchor="_Information_about_potential" w:history="1">
        <w:r w:rsidRPr="004B64BA">
          <w:rPr>
            <w:rStyle w:val="Hyperlink"/>
            <w:rFonts w:ascii="Calibri" w:hAnsi="Calibri" w:cs="Calibri"/>
            <w:sz w:val="22"/>
            <w:szCs w:val="22"/>
          </w:rPr>
          <w:t xml:space="preserve">Chapter </w:t>
        </w:r>
        <w:r w:rsidR="00263F25" w:rsidRPr="004B64BA">
          <w:rPr>
            <w:rStyle w:val="Hyperlink"/>
            <w:rFonts w:ascii="Calibri" w:hAnsi="Calibri" w:cs="Calibri"/>
            <w:sz w:val="22"/>
            <w:szCs w:val="22"/>
          </w:rPr>
          <w:t>4</w:t>
        </w:r>
        <w:r w:rsidRPr="004B64BA">
          <w:rPr>
            <w:rStyle w:val="Hyperlink"/>
            <w:rFonts w:ascii="Calibri" w:hAnsi="Calibri" w:cs="Calibri"/>
            <w:sz w:val="22"/>
            <w:szCs w:val="22"/>
          </w:rPr>
          <w:t>.1.3.1</w:t>
        </w:r>
      </w:hyperlink>
      <w:r w:rsidRPr="004B64BA">
        <w:rPr>
          <w:rFonts w:ascii="Calibri" w:hAnsi="Calibri" w:cs="Calibri"/>
          <w:sz w:val="22"/>
          <w:szCs w:val="22"/>
        </w:rPr>
        <w:t>) As well</w:t>
      </w:r>
      <w:r w:rsidRPr="006720E4">
        <w:rPr>
          <w:rFonts w:ascii="Calibri" w:hAnsi="Calibri" w:cs="Calibri"/>
          <w:sz w:val="22"/>
          <w:szCs w:val="22"/>
        </w:rPr>
        <w:t xml:space="preserve"> as information about:</w:t>
      </w:r>
    </w:p>
    <w:p w14:paraId="6310DB38" w14:textId="6F9A0E8C" w:rsidR="006C6EBA" w:rsidRPr="006720E4" w:rsidRDefault="006C6EBA" w:rsidP="00C3783C">
      <w:pPr>
        <w:pStyle w:val="ListParagraph"/>
        <w:numPr>
          <w:ilvl w:val="0"/>
          <w:numId w:val="53"/>
        </w:numPr>
        <w:spacing w:after="120"/>
        <w:contextualSpacing w:val="0"/>
        <w:rPr>
          <w:rFonts w:cs="Calibri"/>
          <w:szCs w:val="22"/>
        </w:rPr>
      </w:pPr>
      <w:r w:rsidRPr="006720E4">
        <w:rPr>
          <w:rFonts w:cs="Calibri"/>
          <w:szCs w:val="22"/>
        </w:rPr>
        <w:t xml:space="preserve">any potential interventions before or after death to facilitate donation or increase the probability of donated organs or tissues being successfully transplanted, </w:t>
      </w:r>
    </w:p>
    <w:p w14:paraId="18B6E16B" w14:textId="77777777" w:rsidR="006C6EBA" w:rsidRPr="006720E4" w:rsidRDefault="006C6EBA" w:rsidP="00C3783C">
      <w:pPr>
        <w:pStyle w:val="ListParagraph"/>
        <w:numPr>
          <w:ilvl w:val="0"/>
          <w:numId w:val="53"/>
        </w:numPr>
        <w:spacing w:after="120"/>
        <w:contextualSpacing w:val="0"/>
        <w:rPr>
          <w:rFonts w:cs="Calibri"/>
          <w:szCs w:val="22"/>
        </w:rPr>
      </w:pPr>
      <w:r w:rsidRPr="006720E4">
        <w:rPr>
          <w:rFonts w:cs="Calibri"/>
          <w:szCs w:val="22"/>
        </w:rPr>
        <w:t xml:space="preserve">relevant donation pathways and processes, </w:t>
      </w:r>
    </w:p>
    <w:p w14:paraId="3AF272D4" w14:textId="77777777" w:rsidR="006C6EBA" w:rsidRPr="006720E4" w:rsidRDefault="006C6EBA" w:rsidP="00C3783C">
      <w:pPr>
        <w:pStyle w:val="ListParagraph"/>
        <w:numPr>
          <w:ilvl w:val="0"/>
          <w:numId w:val="53"/>
        </w:numPr>
        <w:spacing w:after="120"/>
        <w:contextualSpacing w:val="0"/>
        <w:rPr>
          <w:rFonts w:cs="Calibri"/>
          <w:szCs w:val="22"/>
        </w:rPr>
      </w:pPr>
      <w:r w:rsidRPr="006720E4">
        <w:rPr>
          <w:rFonts w:cs="Calibri"/>
          <w:szCs w:val="22"/>
        </w:rPr>
        <w:lastRenderedPageBreak/>
        <w:t xml:space="preserve">expected burdens and benefits of donation as these relate to the potential donor, including the potential benefits of donation for transplant recipients as these may relate to the potential donors goals and values. </w:t>
      </w:r>
    </w:p>
    <w:p w14:paraId="022C0842" w14:textId="77777777"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The potential impact of donation decisions on relevant friends and family should also be discussed and considered, however priority should be given to consideration of the potential donor’s likely preferences, all things considered.</w:t>
      </w:r>
    </w:p>
    <w:p w14:paraId="6E458C43" w14:textId="77777777" w:rsidR="006C6EBA" w:rsidRPr="006720E4" w:rsidRDefault="006C6EBA" w:rsidP="00EA22AE">
      <w:pPr>
        <w:pStyle w:val="Heading4"/>
        <w:spacing w:after="120"/>
      </w:pPr>
      <w:bookmarkStart w:id="1635" w:name="_Refusal_of_donation"/>
      <w:bookmarkStart w:id="1636" w:name="_Toc63683418"/>
      <w:bookmarkStart w:id="1637" w:name="_Toc70414854"/>
      <w:bookmarkStart w:id="1638" w:name="_Toc70844178"/>
      <w:bookmarkStart w:id="1639" w:name="_Toc72615110"/>
      <w:bookmarkStart w:id="1640" w:name="_Toc73129833"/>
      <w:bookmarkStart w:id="1641" w:name="_Toc73301702"/>
      <w:bookmarkStart w:id="1642" w:name="_Toc73302208"/>
      <w:bookmarkStart w:id="1643" w:name="_Toc73303341"/>
      <w:bookmarkStart w:id="1644" w:name="_Toc74081486"/>
      <w:bookmarkStart w:id="1645" w:name="_Toc74172263"/>
      <w:bookmarkStart w:id="1646" w:name="_Toc74172799"/>
      <w:bookmarkStart w:id="1647" w:name="_Toc82773544"/>
      <w:bookmarkStart w:id="1648" w:name="_Toc82773897"/>
      <w:bookmarkEnd w:id="1635"/>
      <w:r w:rsidRPr="006720E4">
        <w:t>Refusal of donation on behalf of a person who has registered a wish to donate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6720E4">
        <w:t xml:space="preserve"> </w:t>
      </w:r>
    </w:p>
    <w:p w14:paraId="7D22E0B2" w14:textId="4FA9A7E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most cases where a person has registered their wish to donate their organs or tissues after death, the person asked to formally make a donation decision on their behalf at the time of their death will consent to donation. In some cases, however, family members including the SANOK may wish to decline donation despite evidence that donation is what the person would have wanted. </w:t>
      </w:r>
    </w:p>
    <w:p w14:paraId="3E131542" w14:textId="5B72512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Refusal of donation on behalf of a registered donor, is sometimes referred to as </w:t>
      </w:r>
      <w:r w:rsidRPr="006720E4">
        <w:rPr>
          <w:rFonts w:ascii="Calibri" w:hAnsi="Calibri" w:cs="Calibri"/>
          <w:b/>
          <w:bCs/>
          <w:sz w:val="22"/>
          <w:szCs w:val="22"/>
        </w:rPr>
        <w:t>family veto</w:t>
      </w:r>
      <w:r w:rsidRPr="006720E4">
        <w:rPr>
          <w:rFonts w:ascii="Calibri" w:hAnsi="Calibri" w:cs="Calibri"/>
          <w:sz w:val="22"/>
          <w:szCs w:val="22"/>
        </w:rPr>
        <w:t xml:space="preserve"> or </w:t>
      </w:r>
      <w:r w:rsidRPr="006720E4">
        <w:rPr>
          <w:rFonts w:ascii="Calibri" w:hAnsi="Calibri" w:cs="Calibri"/>
          <w:b/>
          <w:bCs/>
          <w:sz w:val="22"/>
          <w:szCs w:val="22"/>
        </w:rPr>
        <w:t>family override</w:t>
      </w:r>
      <w:r w:rsidRPr="006720E4">
        <w:rPr>
          <w:rFonts w:ascii="Calibri" w:hAnsi="Calibri" w:cs="Calibri"/>
          <w:sz w:val="22"/>
          <w:szCs w:val="22"/>
        </w:rPr>
        <w:t xml:space="preserve"> of donor consent.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10.1503/cmaj.160752","ISSN":"14882329","PMID":"27920112","author":[{"dropping-particle":"","family":"Toews","given":"Maeghan","non-dropping-particle":"","parse-names":false,"suffix":""},{"dropping-particle":"","family":"Caulfield","given":"Timothy","non-dropping-particle":"","parse-names":false,"suffix":""}],"container-title":"Canadian Medical Association Journal","id":"ITEM-1","issue":"17-18","issued":{"date-parts":[["2016"]]},"page":"E436-E437","title":"Evaluating the \"family veto\" of consent for organ donation","type":"article-journal","volume":"188"},"uris":["http://www.mendeley.com/documents/?uuid=26c57873-9774-4f19-8465-d5f862a3e0b8"]},{"id":"ITEM-2","itemData":{"DOI":"10.1111/bioe.12661","ISSN":"14678519","PMID":"31598984","abstract":"The wishes of registered organ donors are regularly set aside when family members object to donation. This genuine overruling of the wishes of the deceased raises difficult ethical questions. A successful argument for providing the family with a veto must (a) provide reason to disregard the wishes of the dead, and (b) establish why the family should be allowed to decide. One branch of justification seeks to reconcile the family veto with important ideas about respecting property rights, preserving autonomy, and preventing harm. These arguments are ultimately unsuccessful. Another branch of arguments is consequentialist, pointing out the negative consequences of removing the veto. Whether construed as concerning family distress or as a potential drop in the organs available, these arguments are unsuccessful; the first fails to recognize the tremendous distress associated with waiting for an organ, while the second has little supporting evidence. A final section considers and rejects whether combining some of the arguments just examined could justify the family veto. We should thus remove the family veto in organ donation.","author":[{"dropping-particle":"","family":"Albertsen","given":"Andreas","non-dropping-particle":"","parse-names":false,"suffix":""}],"container-title":"Bioethics","id":"ITEM-2","issue":"April 2018","issued":{"date-parts":[["2019"]]},"page":"272-280","title":"Against the family veto in organ procurement: Why the wishes of the dead should prevail when the living and the deceased disagree on organ donation","type":"article-journal","volume":"46"},"uris":["http://www.mendeley.com/documents/?uuid=e23829df-4a1e-48b6-82c2-a1bbadb5db2c"]},{"id":"ITEM-3","itemData":{"DOI":"10.1097/TP.0000000000001536","ISBN":"0000000000","ISSN":"00411337","PMID":"27764030","abstract":"Millions of people want to donate their organs after they die for transplantation, andmany of themhave registered their wish to do so or told their family and friends about their decision. For most of them, however, this wish is unlikely to be fulfilled, as only a small number of deaths (1%in the United Kingdom) occur in circumstances where the opportunity to donate organs is possible. Even for those who do die in the right way and have recorded their wishes or live in a jurisdiction with a presumed consent system, donation often does not go ahead because of another issue: their families refuse to allow donation to proceed. In some jurisdictions, the rate of family overrule is over 10%. In this article, we provide a systematic ethical analysis of the family overrule of donation of solid organs by deceased patients, and examine arguments both in favor of and against allowing relatives to veto the potential donor's intentions. First, we provide a brief review of the different consent systems in various European countries, and the ramifications for family overrule. Next, we describe and discuss the arguments in favor of permitting donation intentions to be overruled, and then the arguments against doing so. The pro arguments are: overrule minimises family distress and staff stress; families need to cooperate for donation to take place; familiesmight have evidence regarding refusal; and failure to permit overrules could weaken trust in the donation system. The con arguments are: overrule violates the patient's wishes; the family is too distressed and will regret the decision; overruling harms other patients; and regulations prohibit overrule. We conclude with a general discussion and recommendations for dealing with families who wish to overrule donation. Overall, overrule should only rarely be permitted.","author":[{"dropping-particle":"","family":"Shaw","given":"David","non-dropping-particle":"","parse-names":false,"suffix":""},{"dropping-particle":"","family":"Georgieva","given":"Denie","non-dropping-particle":"","parse-names":false,"suffix":""},{"dropping-particle":"","family":"Haase","given":"Bernadette","non-dropping-particle":"","parse-names":false,"suffix":""},{"dropping-particle":"","family":"Gardiner","given":"Dale","non-dropping-particle":"","parse-names":false,"suffix":""},{"dropping-particle":"","family":"Lewis","given":"Penney","non-dropping-particle":"","parse-names":false,"suffix":""},{"dropping-particle":"","family":"Jansen","given":"Nichon","non-dropping-particle":"","parse-names":false,"suffix":""},{"dropping-particle":"","family":"Wind","given":"Tineke","non-dropping-particle":"","parse-names":false,"suffix":""},{"dropping-particle":"","family":"Samuel","given":"Undine","non-dropping-particle":"","parse-names":false,"suffix":""},{"dropping-particle":"","family":"McDonald","given":"Maryon","non-dropping-particle":"","parse-names":false,"suffix":""},{"dropping-particle":"","family":"Ploeg","given":"Rutger","non-dropping-particle":"","parse-names":false,"suffix":""}],"container-title":"Transplantation","id":"ITEM-3","issue":"3","issued":{"date-parts":[["2017"]]},"page":"482-487","title":"Family over rules? an ethical analysis of allowing families to overrule donation intentions","type":"article-journal","volume":"101"},"uris":["http://www.mendeley.com/documents/?uuid=13e9f2bd-c55f-4c44-b598-78bede0a7354"]},{"id":"ITEM-4","itemData":{"DOI":"10.1111/imj.12029","ISSN":"14440903","PMID":"23402483","abstract":"Some countries such as Australia, Spain, Norway, Italy and Canada allow next of kin to override the consent of registered organ donor candidates if they personally do not concur with the donation desire of their relative. This form of surrogate decision-making represents a double standard in terms of the principle of substituted judgment (the surrogate's duty). Further, double-standard surrogate decision-making in the setting of organ donation is a slippery slope to unethical surrogate decision-making while patients are alive. Concerns about family distress and donor candidate revocation of consent can still be managed without permitting double-standard surrogate decision-making. © 2013 The Authors. Internal Medicine Journal © 2013 Royal Australasian College of Physicians.","author":[{"dropping-particle":"","family":"Bramstedt","given":"K. A.","non-dropping-particle":"","parse-names":false,"suffix":""}],"container-title":"Internal Medicine Journal","id":"ITEM-4","issue":"2","issued":{"date-parts":[["2013"]]},"page":"120-123","title":"Family refusals of registered consents: The disruption of organ donation by double-standard surrogate decision-making","type":"article-journal","volume":"43"},"uris":["http://www.mendeley.com/documents/?uuid=dc860f42-289b-44cd-93e8-01810204a4fd"]}],"mendeley":{"formattedCitation":"(58–61)","plainTextFormattedCitation":"(58–61)","previouslyFormattedCitation":"(58–61)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(58–61)</w:t>
      </w:r>
      <w:r w:rsidRPr="006720E4">
        <w:rPr>
          <w:rFonts w:ascii="Calibri" w:hAnsi="Calibri" w:cs="Calibri"/>
          <w:sz w:val="22"/>
          <w:szCs w:val="22"/>
        </w:rPr>
        <w:fldChar w:fldCharType="end"/>
      </w:r>
      <w:r w:rsidRPr="006720E4">
        <w:rPr>
          <w:rFonts w:ascii="Calibri" w:hAnsi="Calibri" w:cs="Calibri"/>
          <w:sz w:val="22"/>
          <w:szCs w:val="22"/>
        </w:rPr>
        <w:t xml:space="preserve"> It raises concerns about a lack of respect for the potential donor’s autonomy and about the impact of a missed opportunity for donation for those who might otherwise have benefitted from transplantation of this person’s organs or tissues. </w:t>
      </w:r>
    </w:p>
    <w:p w14:paraId="7D2363E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first priority in managing such a situation should be to ensure that the donation decision-maker is making a voluntary, informed, and competent decision, just as they should be supported to do when making a decision on behalf of someone who is not a registered donor. Providing appropriate emotional support to families making difficult decisions at a very challenging time is essential. It is also important to explain the significance of donor registration and to encourage decision-makers to respect the known preferences and values of the person on whose behalf they are making a decision.</w:t>
      </w:r>
    </w:p>
    <w:p w14:paraId="51BCC0C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donation decision-makers have reason to believe that their loved one did not make an informed decision when joining the registry, this should be taken seriously. </w:t>
      </w:r>
    </w:p>
    <w:p w14:paraId="513D6CB0" w14:textId="2BF31D5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in some cases it might be reasonable to conclude that although a person had indicated their willingness to become a donor, they may have made such a decision based on a particular understanding of the donation process which may not be applicable in the context of their own death. There may also be evidence that a person changed their mind after registering. </w:t>
      </w:r>
    </w:p>
    <w:p w14:paraId="3C7F6B3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Even if is possible that a potential donor did not make a fully informed decision about donation, their decision to join the donor registry may be considered a clear statement of their values and preferences, generally speaking, with regards to donation. Providing relevant information for donation decision-makers to consider together with that information about the potential donor’s values is important.</w:t>
      </w:r>
    </w:p>
    <w:p w14:paraId="7F40D73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While the benefits of donation and the importance of respecting a potential donor’s expressed goal to become a donor should be given significant consideration, consideration should also be given to the potential impact of donation decisions on the potential donor’s family at a very difficult time. </w:t>
      </w:r>
    </w:p>
    <w:p w14:paraId="758C9E89" w14:textId="77777777" w:rsidR="006C6EBA" w:rsidRPr="006720E4" w:rsidRDefault="006C6EBA" w:rsidP="00EA22AE">
      <w:pPr>
        <w:pStyle w:val="Heading4"/>
        <w:spacing w:after="120"/>
      </w:pPr>
      <w:bookmarkStart w:id="1649" w:name="_Donation_decision-making_on"/>
      <w:bookmarkStart w:id="1650" w:name="_Toc63683419"/>
      <w:bookmarkStart w:id="1651" w:name="_Toc70414855"/>
      <w:bookmarkStart w:id="1652" w:name="_Toc70844179"/>
      <w:bookmarkStart w:id="1653" w:name="_Toc72615111"/>
      <w:bookmarkStart w:id="1654" w:name="_Toc73129834"/>
      <w:bookmarkStart w:id="1655" w:name="_Toc73301703"/>
      <w:bookmarkStart w:id="1656" w:name="_Toc73302209"/>
      <w:bookmarkStart w:id="1657" w:name="_Toc73303342"/>
      <w:bookmarkStart w:id="1658" w:name="_Toc74081487"/>
      <w:bookmarkStart w:id="1659" w:name="_Toc74172264"/>
      <w:bookmarkStart w:id="1660" w:name="_Toc74172800"/>
      <w:bookmarkStart w:id="1661" w:name="_Toc82773545"/>
      <w:bookmarkStart w:id="1662" w:name="_Toc82773898"/>
      <w:bookmarkEnd w:id="1649"/>
      <w:r w:rsidRPr="006720E4">
        <w:t>Donation decision-making on behalf of a person who has indicated an objection to donat</w:t>
      </w:r>
      <w:bookmarkEnd w:id="1650"/>
      <w:r w:rsidRPr="006720E4">
        <w:t>ion</w:t>
      </w:r>
      <w:bookmarkEnd w:id="1651"/>
      <w:bookmarkEnd w:id="1652"/>
      <w:bookmarkEnd w:id="1653"/>
      <w:bookmarkEnd w:id="1654"/>
      <w:bookmarkEnd w:id="1655"/>
      <w:bookmarkEnd w:id="1656"/>
      <w:bookmarkEnd w:id="1657"/>
      <w:bookmarkEnd w:id="1658"/>
      <w:bookmarkEnd w:id="1659"/>
      <w:bookmarkEnd w:id="1660"/>
      <w:bookmarkEnd w:id="1661"/>
      <w:bookmarkEnd w:id="1662"/>
    </w:p>
    <w:p w14:paraId="2EAAD3E6" w14:textId="28BA8C9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cases, donation decision-makers may be asked to confirm a decision on behalf of a </w:t>
      </w:r>
      <w:r w:rsidRPr="006720E4">
        <w:rPr>
          <w:rFonts w:ascii="Calibri" w:hAnsi="Calibri" w:cs="Calibri"/>
          <w:b/>
          <w:bCs/>
          <w:sz w:val="22"/>
          <w:szCs w:val="22"/>
        </w:rPr>
        <w:t>person who has previously documented an objection to donation or expressed a wish not to become a donor</w:t>
      </w:r>
      <w:r w:rsidRPr="006720E4">
        <w:rPr>
          <w:rFonts w:ascii="Calibri" w:hAnsi="Calibri" w:cs="Calibri"/>
          <w:sz w:val="22"/>
          <w:szCs w:val="22"/>
        </w:rPr>
        <w:t xml:space="preserve">. Occasionally, decision-makers may override a previously expressed objection and approve donation, if there is reason to believe an earlier decision to refuse donation was invalid or inconsistent with the potential donor’s likely wishes at the time of their death. </w:t>
      </w:r>
    </w:p>
    <w:p w14:paraId="6A8FE83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As outlined in the context of decision-making on behalf of those who have registered a positive preference to donate, or whose wishes may be unknown, it is important that donation decision-</w:t>
      </w:r>
      <w:r w:rsidRPr="006720E4">
        <w:rPr>
          <w:rFonts w:ascii="Calibri" w:hAnsi="Calibri" w:cs="Calibri"/>
          <w:sz w:val="22"/>
          <w:szCs w:val="22"/>
        </w:rPr>
        <w:lastRenderedPageBreak/>
        <w:t xml:space="preserve">makers reflect carefully on what they know about the person in the light of the situation in which a decision is being made. </w:t>
      </w:r>
    </w:p>
    <w:p w14:paraId="2DCC284D" w14:textId="17B171B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example, if considerable time has passed since the person expressed a wish not to donate, decision-makers should consider whether it is possible that the person changed their mind. Although previously expressed wishes to donate or not to donate are often a helpful guide for decision-makers, they may not always reflect what a person would want in a specific context. People’s values and preferences and the information that preferences are based on may change over time. Donation decision-making at the time of a person’s death should be based on information that is current in that specific context, and the person’s known values and preferences should be considered in the light of this context.</w:t>
      </w:r>
    </w:p>
    <w:p w14:paraId="0C32CCCB" w14:textId="77777777" w:rsidR="006C6EBA" w:rsidRPr="006720E4" w:rsidRDefault="006C6EBA" w:rsidP="00EA22AE">
      <w:pPr>
        <w:pStyle w:val="Heading3"/>
        <w:spacing w:after="120"/>
      </w:pPr>
      <w:bookmarkStart w:id="1663" w:name="_Disputes_in_deceased"/>
      <w:bookmarkStart w:id="1664" w:name="_Toc70241761"/>
      <w:bookmarkStart w:id="1665" w:name="_Toc70243395"/>
      <w:bookmarkStart w:id="1666" w:name="_Toc70414856"/>
      <w:bookmarkStart w:id="1667" w:name="_Toc70844180"/>
      <w:bookmarkStart w:id="1668" w:name="_Toc72615112"/>
      <w:bookmarkStart w:id="1669" w:name="_Toc73129835"/>
      <w:bookmarkStart w:id="1670" w:name="_Toc73301704"/>
      <w:bookmarkStart w:id="1671" w:name="_Toc73302210"/>
      <w:bookmarkStart w:id="1672" w:name="_Toc73303343"/>
      <w:bookmarkStart w:id="1673" w:name="_Toc73303582"/>
      <w:bookmarkStart w:id="1674" w:name="_Toc74080699"/>
      <w:bookmarkStart w:id="1675" w:name="_Toc74081007"/>
      <w:bookmarkStart w:id="1676" w:name="_Toc74081237"/>
      <w:bookmarkStart w:id="1677" w:name="_Toc74081488"/>
      <w:bookmarkStart w:id="1678" w:name="_Toc74171068"/>
      <w:bookmarkStart w:id="1679" w:name="_Toc74172265"/>
      <w:bookmarkStart w:id="1680" w:name="_Toc74172801"/>
      <w:bookmarkStart w:id="1681" w:name="_Toc74238742"/>
      <w:bookmarkStart w:id="1682" w:name="_Toc79406357"/>
      <w:bookmarkStart w:id="1683" w:name="_Toc82773546"/>
      <w:bookmarkStart w:id="1684" w:name="_Toc82773899"/>
      <w:bookmarkEnd w:id="1663"/>
      <w:r w:rsidRPr="006720E4">
        <w:t>Disputes in deceased donation decision-making</w:t>
      </w:r>
      <w:bookmarkEnd w:id="1618"/>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13E751C7" w14:textId="4B2F14C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families or other individuals are tasked with making decisions on behalf of a person who has died or who faces imminent death, decision-making may be complicated if there is disagreement between the people making the decision and/or other people who are close family or friends of the potential donor. Disagreements are often about who should be involved in making the decision and/or who should have the final say in the donation decision. Importantly, in some cases the individual who has the legal authority to provide consent to donation after a person has died may be different from the individual legally entitled to make substitute decisions in relation to health care for that person while that person is alive.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{"citationItems":[{"id":"ITEM-1","itemData":{"DOI":"10.1136/medethics-2020-106572","ISSN":"14734257","abstract":"Where a person is unable to make medical decisions for themselves, law and practice allows others to make decisions on their behalf. This is common at the end of a person's life where decision-making capacity is often lost. A further, and separate, decision that is often considered at the time of death (and often preceding death) is whether the person wanted to act as an organ or tissue donor. However, in some jurisdictions, the lawful decision-maker for the donation decision (the 'donation decision-maker') is different from the person who was granted decision-making authority for medical decisions during the person's life. To date, little attention has been given in the literature to the ethical concerns and practical problems that arise where this shift in legal authority occurs. Such a change in decision-making authority is particularly problematic where premortem measures are suggested to maximise the chances of a successful organ donation. This paper examines this shift in decision-making authority and discusses the legal, ethical and practical implications of such frameworks.","author":[{"dropping-particle":"","family":"Then","given":"Shih Ning","non-dropping-particle":"","parse-names":false,"suffix":""},{"dropping-particle":"","family":"Martin","given":"Dominique E.","non-dropping-particle":"","parse-names":false,"suffix":""}],"container-title":"Journal of Medical Ethics","id":"ITEM-1","issued":{"date-parts":[["2020"]]},"page":"1-6","title":"Transitions in decision-making authority at the end of life: A problem of law, ethics and practice in deceased donation","type":"article-journal"},"uris":["http://www.mendeley.com/documents/?uuid=75d121fa-e91d-48fd-a59e-7b3a67d9b619"]}],"mendeley":{"formattedCitation":"(57)","plainTextFormattedCitation":"(57)","previouslyFormattedCitation":"(57)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(57)</w:t>
      </w:r>
      <w:r w:rsidRPr="006720E4">
        <w:rPr>
          <w:rFonts w:ascii="Calibri" w:hAnsi="Calibri" w:cs="Calibri"/>
          <w:sz w:val="22"/>
          <w:szCs w:val="22"/>
        </w:rPr>
        <w:fldChar w:fldCharType="end"/>
      </w:r>
      <w:r w:rsidRPr="006720E4">
        <w:rPr>
          <w:rFonts w:ascii="Calibri" w:hAnsi="Calibri" w:cs="Calibri"/>
          <w:sz w:val="22"/>
          <w:szCs w:val="22"/>
        </w:rPr>
        <w:t xml:space="preserve">  </w:t>
      </w:r>
    </w:p>
    <w:p w14:paraId="2C39047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important to try and resolve disagreement when possible, in order to minimise the risk of distress to family members and ensure that the decision being made is consistent with what the potential donor would have wanted. Even if a person has registered their donation decision, family members may disagree about what a person would have wanted. </w:t>
      </w:r>
    </w:p>
    <w:p w14:paraId="27038277" w14:textId="1933D5B9" w:rsidR="000C15D6" w:rsidRDefault="006C6EBA" w:rsidP="00EA22AE">
      <w:pPr>
        <w:spacing w:after="120"/>
        <w:rPr>
          <w:rFonts w:ascii="Calibri" w:hAnsi="Calibri" w:cs="Calibri"/>
          <w:sz w:val="22"/>
          <w:szCs w:val="22"/>
        </w:rPr>
      </w:pPr>
      <w:r w:rsidRPr="006720E4">
        <w:rPr>
          <w:rFonts w:ascii="Calibri" w:hAnsi="Calibri" w:cs="Calibri"/>
          <w:sz w:val="22"/>
          <w:szCs w:val="22"/>
        </w:rPr>
        <w:t xml:space="preserve">Where there is a disagreement between donation decision-makers who are considered the same level (e.g., brothers and sisters of the deceased) of SANOK (see </w:t>
      </w:r>
      <w:hyperlink w:anchor="_Consent_for_deceased_2" w:history="1">
        <w:r w:rsidR="000C15D6">
          <w:rPr>
            <w:rStyle w:val="Hyperlink"/>
            <w:rFonts w:ascii="Calibri" w:hAnsi="Calibri" w:cs="Calibri"/>
            <w:sz w:val="22"/>
            <w:szCs w:val="22"/>
          </w:rPr>
          <w:t>Box</w:t>
        </w:r>
      </w:hyperlink>
      <w:r w:rsidR="000C15D6">
        <w:rPr>
          <w:rStyle w:val="Hyperlink"/>
          <w:rFonts w:ascii="Calibri" w:hAnsi="Calibri" w:cs="Calibri"/>
          <w:sz w:val="22"/>
          <w:szCs w:val="22"/>
        </w:rPr>
        <w:t xml:space="preserve"> 4.2</w:t>
      </w:r>
      <w:r w:rsidRPr="006720E4">
        <w:rPr>
          <w:rFonts w:ascii="Calibri" w:hAnsi="Calibri" w:cs="Calibri"/>
          <w:sz w:val="22"/>
          <w:szCs w:val="22"/>
        </w:rPr>
        <w:t xml:space="preserve">), the law provides that an objection to donation will be respected over a consent or approval to donate.  </w:t>
      </w:r>
    </w:p>
    <w:p w14:paraId="3A020D80" w14:textId="77777777" w:rsidR="0028232A" w:rsidRDefault="0028232A" w:rsidP="00EA22AE">
      <w:pPr>
        <w:spacing w:after="120"/>
        <w:rPr>
          <w:rFonts w:ascii="Calibri" w:hAnsi="Calibri" w:cs="Calibri"/>
          <w:sz w:val="22"/>
          <w:szCs w:val="22"/>
        </w:rPr>
      </w:pPr>
    </w:p>
    <w:p w14:paraId="250B3180" w14:textId="72ADD2E2" w:rsidR="006C6EBA" w:rsidRPr="00382A41" w:rsidRDefault="000C15D6" w:rsidP="00EA22AE">
      <w:pPr>
        <w:spacing w:after="120"/>
        <w:rPr>
          <w:rFonts w:ascii="Calibri" w:hAnsi="Calibri" w:cs="Calibri"/>
          <w:sz w:val="22"/>
          <w:szCs w:val="22"/>
        </w:rPr>
      </w:pPr>
      <w:r>
        <w:rPr>
          <w:noProof/>
        </w:rPr>
        <mc:AlternateContent>
          <mc:Choice Requires="wps">
            <w:drawing>
              <wp:anchor distT="0" distB="0" distL="114300" distR="114300" simplePos="0" relativeHeight="251658242" behindDoc="0" locked="0" layoutInCell="1" allowOverlap="1" wp14:anchorId="2D085348" wp14:editId="6E96E42D">
                <wp:simplePos x="0" y="0"/>
                <wp:positionH relativeFrom="column">
                  <wp:posOffset>0</wp:posOffset>
                </wp:positionH>
                <wp:positionV relativeFrom="paragraph">
                  <wp:posOffset>0</wp:posOffset>
                </wp:positionV>
                <wp:extent cx="1828800" cy="1828800"/>
                <wp:effectExtent l="12700" t="12700" r="19050" b="12700"/>
                <wp:wrapSquare wrapText="bothSides"/>
                <wp:docPr id="1963301338" name="Text Box 1963301338" descr="P1337TB3#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39C490E1" w14:textId="77777777" w:rsidR="000C15D6" w:rsidRDefault="000C15D6" w:rsidP="00271073">
                            <w:pPr>
                              <w:spacing w:after="80"/>
                              <w:rPr>
                                <w:rFonts w:ascii="Calibri" w:hAnsi="Calibri" w:cs="Calibri"/>
                                <w:b/>
                                <w:bCs/>
                                <w:sz w:val="22"/>
                                <w:szCs w:val="22"/>
                              </w:rPr>
                            </w:pPr>
                            <w:r>
                              <w:rPr>
                                <w:rFonts w:ascii="Calibri" w:hAnsi="Calibri" w:cs="Calibri"/>
                                <w:b/>
                                <w:bCs/>
                                <w:sz w:val="22"/>
                                <w:szCs w:val="22"/>
                              </w:rPr>
                              <w:t xml:space="preserve">Box 4.3 </w:t>
                            </w:r>
                            <w:r w:rsidRPr="00B275A5">
                              <w:rPr>
                                <w:rFonts w:ascii="Calibri" w:hAnsi="Calibri" w:cs="Calibri"/>
                                <w:b/>
                                <w:bCs/>
                                <w:sz w:val="22"/>
                                <w:szCs w:val="22"/>
                              </w:rPr>
                              <w:t xml:space="preserve">Summary of general recommendations for ethical practice in </w:t>
                            </w:r>
                            <w:r>
                              <w:rPr>
                                <w:rFonts w:ascii="Calibri" w:hAnsi="Calibri" w:cs="Calibri"/>
                                <w:b/>
                                <w:bCs/>
                                <w:sz w:val="22"/>
                                <w:szCs w:val="22"/>
                              </w:rPr>
                              <w:t>deceased</w:t>
                            </w:r>
                            <w:r w:rsidRPr="00B275A5">
                              <w:rPr>
                                <w:rFonts w:ascii="Calibri" w:hAnsi="Calibri" w:cs="Calibri"/>
                                <w:b/>
                                <w:bCs/>
                                <w:sz w:val="22"/>
                                <w:szCs w:val="22"/>
                              </w:rPr>
                              <w:t xml:space="preserve"> donation decision-making</w:t>
                            </w:r>
                          </w:p>
                          <w:p w14:paraId="44F6E792" w14:textId="77777777" w:rsidR="000C15D6" w:rsidRPr="006720E4" w:rsidRDefault="000C15D6" w:rsidP="00C3783C">
                            <w:pPr>
                              <w:pStyle w:val="ListParagraph"/>
                              <w:numPr>
                                <w:ilvl w:val="0"/>
                                <w:numId w:val="132"/>
                              </w:numPr>
                              <w:spacing w:after="80"/>
                              <w:rPr>
                                <w:rFonts w:cs="Calibri"/>
                                <w:b/>
                                <w:bCs/>
                                <w:szCs w:val="22"/>
                              </w:rPr>
                            </w:pPr>
                            <w:r w:rsidRPr="006720E4">
                              <w:rPr>
                                <w:rFonts w:cs="Calibri"/>
                                <w:szCs w:val="22"/>
                              </w:rPr>
                              <w:t>Individuals and communities should be supported to make an informed decision about deceased donation during their lives.</w:t>
                            </w:r>
                          </w:p>
                          <w:p w14:paraId="4F1EB217" w14:textId="77777777" w:rsidR="000C15D6" w:rsidRPr="006720E4" w:rsidRDefault="000C15D6" w:rsidP="00C3783C">
                            <w:pPr>
                              <w:pStyle w:val="ListParagraph"/>
                              <w:numPr>
                                <w:ilvl w:val="1"/>
                                <w:numId w:val="132"/>
                              </w:numPr>
                              <w:spacing w:after="80"/>
                              <w:contextualSpacing w:val="0"/>
                              <w:rPr>
                                <w:rFonts w:cs="Calibri"/>
                                <w:b/>
                                <w:bCs/>
                                <w:szCs w:val="22"/>
                              </w:rPr>
                            </w:pPr>
                            <w:r w:rsidRPr="006720E4">
                              <w:rPr>
                                <w:rFonts w:cs="Calibri"/>
                                <w:szCs w:val="22"/>
                              </w:rPr>
                              <w:t>Governments should support education campaigns that promote and inform choice about organ and tissue donation and reach all Australians, including Aboriginal and Torres Strait Islander communities and other culturally and linguistically diverse communities.</w:t>
                            </w:r>
                          </w:p>
                          <w:p w14:paraId="67A30554" w14:textId="77777777" w:rsidR="000C15D6" w:rsidRPr="006720E4" w:rsidRDefault="000C15D6" w:rsidP="00C3783C">
                            <w:pPr>
                              <w:pStyle w:val="ListParagraph"/>
                              <w:numPr>
                                <w:ilvl w:val="1"/>
                                <w:numId w:val="132"/>
                              </w:numPr>
                              <w:spacing w:after="80"/>
                              <w:contextualSpacing w:val="0"/>
                              <w:rPr>
                                <w:rFonts w:cs="Calibri"/>
                                <w:b/>
                                <w:bCs/>
                                <w:szCs w:val="22"/>
                              </w:rPr>
                            </w:pPr>
                            <w:r w:rsidRPr="006720E4">
                              <w:rPr>
                                <w:rFonts w:cs="Calibri"/>
                                <w:szCs w:val="22"/>
                              </w:rPr>
                              <w:t>Health professionals such as general practitioners should encourage and support donation decision-making as part of advance care planning and routine health promotion.</w:t>
                            </w:r>
                          </w:p>
                          <w:p w14:paraId="741053B6" w14:textId="77777777" w:rsidR="000C15D6" w:rsidRPr="000C15D6" w:rsidRDefault="000C15D6" w:rsidP="00C3783C">
                            <w:pPr>
                              <w:pStyle w:val="ListParagraph"/>
                              <w:numPr>
                                <w:ilvl w:val="1"/>
                                <w:numId w:val="132"/>
                              </w:numPr>
                              <w:spacing w:after="80"/>
                              <w:contextualSpacing w:val="0"/>
                              <w:rPr>
                                <w:rFonts w:cs="Calibri"/>
                                <w:b/>
                                <w:bCs/>
                                <w:szCs w:val="22"/>
                              </w:rPr>
                            </w:pPr>
                            <w:r w:rsidRPr="006720E4">
                              <w:rPr>
                                <w:rFonts w:cs="Calibri"/>
                                <w:szCs w:val="22"/>
                              </w:rPr>
                              <w:t xml:space="preserve">Individuals should discuss their values and preferences with regards to deceased donation with their families and consider registering their wishes on the Australian Organ Donation Register (AODR), or by other means of advance planning. </w:t>
                            </w:r>
                          </w:p>
                          <w:p w14:paraId="7AE823D7" w14:textId="77777777" w:rsidR="0028232A" w:rsidRPr="006720E4" w:rsidRDefault="0028232A" w:rsidP="0028232A">
                            <w:pPr>
                              <w:pStyle w:val="ListParagraph"/>
                              <w:spacing w:after="80"/>
                              <w:ind w:left="1080"/>
                              <w:contextualSpacing w:val="0"/>
                              <w:rPr>
                                <w:rFonts w:cs="Calibri"/>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085348" id="Text Box 1963301338" o:spid="_x0000_s1028" type="#_x0000_t202" alt="P1337TB3#y1"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" filled="f" strokecolor="black [3213]" strokeweight="1.5pt">
                <v:textbox style="mso-fit-shape-to-text:t">
                  <w:txbxContent>
                    <w:p w14:paraId="39C490E1" w14:textId="77777777" w:rsidR="000C15D6" w:rsidRDefault="000C15D6" w:rsidP="00271073">
                      <w:pPr>
                        <w:spacing w:after="80"/>
                        <w:rPr>
                          <w:rFonts w:ascii="Calibri" w:hAnsi="Calibri" w:cs="Calibri"/>
                          <w:b/>
                          <w:bCs/>
                          <w:sz w:val="22"/>
                          <w:szCs w:val="22"/>
                        </w:rPr>
                      </w:pPr>
                      <w:r>
                        <w:rPr>
                          <w:rFonts w:ascii="Calibri" w:hAnsi="Calibri" w:cs="Calibri"/>
                          <w:b/>
                          <w:bCs/>
                          <w:sz w:val="22"/>
                          <w:szCs w:val="22"/>
                        </w:rPr>
                        <w:t xml:space="preserve">Box 4.3 </w:t>
                      </w:r>
                      <w:r w:rsidRPr="00B275A5">
                        <w:rPr>
                          <w:rFonts w:ascii="Calibri" w:hAnsi="Calibri" w:cs="Calibri"/>
                          <w:b/>
                          <w:bCs/>
                          <w:sz w:val="22"/>
                          <w:szCs w:val="22"/>
                        </w:rPr>
                        <w:t xml:space="preserve">Summary of general recommendations for ethical practice in </w:t>
                      </w:r>
                      <w:r>
                        <w:rPr>
                          <w:rFonts w:ascii="Calibri" w:hAnsi="Calibri" w:cs="Calibri"/>
                          <w:b/>
                          <w:bCs/>
                          <w:sz w:val="22"/>
                          <w:szCs w:val="22"/>
                        </w:rPr>
                        <w:t>deceased</w:t>
                      </w:r>
                      <w:r w:rsidRPr="00B275A5">
                        <w:rPr>
                          <w:rFonts w:ascii="Calibri" w:hAnsi="Calibri" w:cs="Calibri"/>
                          <w:b/>
                          <w:bCs/>
                          <w:sz w:val="22"/>
                          <w:szCs w:val="22"/>
                        </w:rPr>
                        <w:t xml:space="preserve"> donation decision-making</w:t>
                      </w:r>
                    </w:p>
                    <w:p w14:paraId="44F6E792" w14:textId="77777777" w:rsidR="000C15D6" w:rsidRPr="006720E4" w:rsidRDefault="000C15D6" w:rsidP="00C3783C">
                      <w:pPr>
                        <w:pStyle w:val="ListParagraph"/>
                        <w:numPr>
                          <w:ilvl w:val="0"/>
                          <w:numId w:val="132"/>
                        </w:numPr>
                        <w:spacing w:after="80"/>
                        <w:rPr>
                          <w:rFonts w:cs="Calibri"/>
                          <w:b/>
                          <w:bCs/>
                          <w:szCs w:val="22"/>
                        </w:rPr>
                      </w:pPr>
                      <w:r w:rsidRPr="006720E4">
                        <w:rPr>
                          <w:rFonts w:cs="Calibri"/>
                          <w:szCs w:val="22"/>
                        </w:rPr>
                        <w:t>Individuals and communities should be supported to make an informed decision about deceased donation during their lives.</w:t>
                      </w:r>
                    </w:p>
                    <w:p w14:paraId="4F1EB217" w14:textId="77777777" w:rsidR="000C15D6" w:rsidRPr="006720E4" w:rsidRDefault="000C15D6" w:rsidP="00C3783C">
                      <w:pPr>
                        <w:pStyle w:val="ListParagraph"/>
                        <w:numPr>
                          <w:ilvl w:val="1"/>
                          <w:numId w:val="132"/>
                        </w:numPr>
                        <w:spacing w:after="80"/>
                        <w:contextualSpacing w:val="0"/>
                        <w:rPr>
                          <w:rFonts w:cs="Calibri"/>
                          <w:b/>
                          <w:bCs/>
                          <w:szCs w:val="22"/>
                        </w:rPr>
                      </w:pPr>
                      <w:r w:rsidRPr="006720E4">
                        <w:rPr>
                          <w:rFonts w:cs="Calibri"/>
                          <w:szCs w:val="22"/>
                        </w:rPr>
                        <w:t>Governments should support education campaigns that promote and inform choice about organ and tissue donation and reach all Australians, including Aboriginal and Torres Strait Islander communities and other culturally and linguistically diverse communities.</w:t>
                      </w:r>
                    </w:p>
                    <w:p w14:paraId="67A30554" w14:textId="77777777" w:rsidR="000C15D6" w:rsidRPr="006720E4" w:rsidRDefault="000C15D6" w:rsidP="00C3783C">
                      <w:pPr>
                        <w:pStyle w:val="ListParagraph"/>
                        <w:numPr>
                          <w:ilvl w:val="1"/>
                          <w:numId w:val="132"/>
                        </w:numPr>
                        <w:spacing w:after="80"/>
                        <w:contextualSpacing w:val="0"/>
                        <w:rPr>
                          <w:rFonts w:cs="Calibri"/>
                          <w:b/>
                          <w:bCs/>
                          <w:szCs w:val="22"/>
                        </w:rPr>
                      </w:pPr>
                      <w:r w:rsidRPr="006720E4">
                        <w:rPr>
                          <w:rFonts w:cs="Calibri"/>
                          <w:szCs w:val="22"/>
                        </w:rPr>
                        <w:t>Health professionals such as general practitioners should encourage and support donation decision-making as part of advance care planning and routine health promotion.</w:t>
                      </w:r>
                    </w:p>
                    <w:p w14:paraId="741053B6" w14:textId="77777777" w:rsidR="000C15D6" w:rsidRPr="000C15D6" w:rsidRDefault="000C15D6" w:rsidP="00C3783C">
                      <w:pPr>
                        <w:pStyle w:val="ListParagraph"/>
                        <w:numPr>
                          <w:ilvl w:val="1"/>
                          <w:numId w:val="132"/>
                        </w:numPr>
                        <w:spacing w:after="80"/>
                        <w:contextualSpacing w:val="0"/>
                        <w:rPr>
                          <w:rFonts w:cs="Calibri"/>
                          <w:b/>
                          <w:bCs/>
                          <w:szCs w:val="22"/>
                        </w:rPr>
                      </w:pPr>
                      <w:r w:rsidRPr="006720E4">
                        <w:rPr>
                          <w:rFonts w:cs="Calibri"/>
                          <w:szCs w:val="22"/>
                        </w:rPr>
                        <w:t xml:space="preserve">Individuals should discuss their values and preferences with regards to deceased donation with their families and consider registering their wishes on the Australian Organ Donation Register (AODR), or by other means of advance planning. </w:t>
                      </w:r>
                    </w:p>
                    <w:p w14:paraId="7AE823D7" w14:textId="77777777" w:rsidR="0028232A" w:rsidRPr="006720E4" w:rsidRDefault="0028232A" w:rsidP="0028232A">
                      <w:pPr>
                        <w:pStyle w:val="ListParagraph"/>
                        <w:spacing w:after="80"/>
                        <w:ind w:left="1080"/>
                        <w:contextualSpacing w:val="0"/>
                        <w:rPr>
                          <w:rFonts w:cs="Calibri"/>
                          <w:szCs w:val="22"/>
                        </w:rPr>
                      </w:pPr>
                    </w:p>
                  </w:txbxContent>
                </v:textbox>
                <w10:wrap type="square"/>
              </v:shape>
            </w:pict>
          </mc:Fallback>
        </mc:AlternateContent>
      </w:r>
    </w:p>
    <w:p w14:paraId="38BD1D00" w14:textId="77777777" w:rsidR="006C6EBA" w:rsidRPr="00B275A5" w:rsidRDefault="006C6EBA" w:rsidP="00EA22AE">
      <w:pPr>
        <w:pStyle w:val="ListParagraph"/>
        <w:spacing w:after="120"/>
        <w:contextualSpacing w:val="0"/>
        <w:rPr>
          <w:rFonts w:cs="Calibri"/>
        </w:rPr>
      </w:pPr>
    </w:p>
    <w:p w14:paraId="1E1C6BEC" w14:textId="1739BC1B" w:rsidR="006C6EBA" w:rsidRPr="006720E4" w:rsidRDefault="0028232A" w:rsidP="00EA22AE">
      <w:pPr>
        <w:spacing w:after="120"/>
        <w:rPr>
          <w:rFonts w:ascii="Calibri" w:hAnsi="Calibri" w:cs="Calibri"/>
        </w:rPr>
      </w:pPr>
      <w:r>
        <w:rPr>
          <w:noProof/>
        </w:rPr>
        <w:lastRenderedPageBreak/>
        <mc:AlternateContent>
          <mc:Choice Requires="wps">
            <w:drawing>
              <wp:anchor distT="0" distB="0" distL="114300" distR="114300" simplePos="0" relativeHeight="251658250" behindDoc="0" locked="0" layoutInCell="1" allowOverlap="1" wp14:anchorId="1CF20F68" wp14:editId="760C54E3">
                <wp:simplePos x="0" y="0"/>
                <wp:positionH relativeFrom="column">
                  <wp:posOffset>0</wp:posOffset>
                </wp:positionH>
                <wp:positionV relativeFrom="paragraph">
                  <wp:posOffset>0</wp:posOffset>
                </wp:positionV>
                <wp:extent cx="1828800" cy="1828800"/>
                <wp:effectExtent l="12700" t="12700" r="19050" b="9525"/>
                <wp:wrapSquare wrapText="bothSides"/>
                <wp:docPr id="1250377405" name="Text Box 1250377405" descr="P1339TB11#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004F51FF" w14:textId="7872FC09" w:rsidR="0028232A" w:rsidRPr="0028232A" w:rsidRDefault="0028232A" w:rsidP="00C3783C">
                            <w:pPr>
                              <w:pStyle w:val="ListParagraph"/>
                              <w:numPr>
                                <w:ilvl w:val="0"/>
                                <w:numId w:val="132"/>
                              </w:numPr>
                              <w:spacing w:after="80"/>
                              <w:contextualSpacing w:val="0"/>
                              <w:rPr>
                                <w:rFonts w:cs="Calibri"/>
                                <w:b/>
                                <w:bCs/>
                                <w:szCs w:val="22"/>
                              </w:rPr>
                            </w:pPr>
                            <w:r w:rsidRPr="006720E4">
                              <w:rPr>
                                <w:rFonts w:cs="Calibri"/>
                                <w:szCs w:val="22"/>
                              </w:rPr>
                              <w:t>Individuals who are responsible for making a decision about deceased donation on behalf of a person who has died or whose death is imminent,</w:t>
                            </w:r>
                            <w:r w:rsidRPr="006720E4">
                              <w:rPr>
                                <w:rFonts w:cs="Calibri"/>
                                <w:b/>
                                <w:bCs/>
                                <w:szCs w:val="22"/>
                              </w:rPr>
                              <w:t xml:space="preserve"> </w:t>
                            </w:r>
                            <w:r w:rsidRPr="006720E4">
                              <w:rPr>
                                <w:rFonts w:cs="Calibri"/>
                                <w:szCs w:val="22"/>
                              </w:rPr>
                              <w:t>should strive to do so in accordance with the known or expected values and preferences of the potential donor, where these are based on an understanding of relevant information and with consideration for other known or expected values, preferences or goals with regards to end-of-life care</w:t>
                            </w:r>
                            <w:r>
                              <w:rPr>
                                <w:rFonts w:cs="Calibri"/>
                                <w:szCs w:val="22"/>
                              </w:rPr>
                              <w:t>.</w:t>
                            </w:r>
                          </w:p>
                          <w:p w14:paraId="3BE016D7" w14:textId="77777777" w:rsidR="0028232A" w:rsidRDefault="0028232A" w:rsidP="00C3783C">
                            <w:pPr>
                              <w:pStyle w:val="ListParagraph"/>
                              <w:numPr>
                                <w:ilvl w:val="1"/>
                                <w:numId w:val="132"/>
                              </w:numPr>
                              <w:spacing w:after="80"/>
                              <w:contextualSpacing w:val="0"/>
                              <w:rPr>
                                <w:rFonts w:cs="Calibri"/>
                                <w:szCs w:val="22"/>
                              </w:rPr>
                            </w:pPr>
                            <w:r w:rsidRPr="006720E4">
                              <w:rPr>
                                <w:rFonts w:cs="Calibri"/>
                                <w:szCs w:val="22"/>
                              </w:rPr>
                              <w:t>When a decision is made about deceased donation at the end of a person’s life, donor registration status should routinely be checked (via the AODR) and any documented information regarding end-of-life care preferences should be consulted in order to ensure that the individual’s preferences and interests with regards to donation are carefully considered.</w:t>
                            </w:r>
                          </w:p>
                          <w:p w14:paraId="388405D2" w14:textId="35A0DBA6" w:rsidR="0028232A" w:rsidRPr="0028232A" w:rsidRDefault="0028232A" w:rsidP="00C3783C">
                            <w:pPr>
                              <w:pStyle w:val="ListParagraph"/>
                              <w:numPr>
                                <w:ilvl w:val="1"/>
                                <w:numId w:val="132"/>
                              </w:numPr>
                              <w:spacing w:after="80"/>
                              <w:rPr>
                                <w:rFonts w:cs="Calibri"/>
                                <w:b/>
                                <w:bCs/>
                                <w:szCs w:val="22"/>
                              </w:rPr>
                            </w:pPr>
                            <w:r w:rsidRPr="006720E4">
                              <w:rPr>
                                <w:rFonts w:cs="Calibri"/>
                                <w:szCs w:val="22"/>
                              </w:rPr>
                              <w:t>Donation specialists should provide guidance and support to decision-makers with regards to the importance of considering and respecting the potential donor’s preferences.</w:t>
                            </w:r>
                          </w:p>
                          <w:p w14:paraId="52EE1D67" w14:textId="77777777" w:rsidR="0028232A" w:rsidRPr="006720E4" w:rsidRDefault="0028232A" w:rsidP="00C3783C">
                            <w:pPr>
                              <w:pStyle w:val="ListParagraph"/>
                              <w:numPr>
                                <w:ilvl w:val="1"/>
                                <w:numId w:val="132"/>
                              </w:numPr>
                              <w:spacing w:after="80"/>
                              <w:rPr>
                                <w:rFonts w:cs="Calibri"/>
                                <w:b/>
                                <w:bCs/>
                                <w:szCs w:val="22"/>
                              </w:rPr>
                            </w:pPr>
                            <w:r w:rsidRPr="006720E4">
                              <w:rPr>
                                <w:rFonts w:cs="Calibri"/>
                                <w:szCs w:val="22"/>
                              </w:rPr>
                              <w:t>Deceased donation decision-makers should be encouraged to make a decision that is consistent with the expected values and preferences of the potential donor in the specific setting.</w:t>
                            </w:r>
                          </w:p>
                          <w:p w14:paraId="13EAD568" w14:textId="77777777" w:rsidR="0028232A" w:rsidRPr="00E87C43" w:rsidRDefault="0028232A" w:rsidP="00C3783C">
                            <w:pPr>
                              <w:pStyle w:val="ListParagraph"/>
                              <w:numPr>
                                <w:ilvl w:val="1"/>
                                <w:numId w:val="132"/>
                              </w:numPr>
                              <w:spacing w:after="80"/>
                              <w:rPr>
                                <w:rFonts w:cs="Calibri"/>
                                <w:szCs w:val="22"/>
                              </w:rPr>
                            </w:pPr>
                            <w:r w:rsidRPr="006720E4">
                              <w:rPr>
                                <w:rFonts w:cs="Calibri"/>
                                <w:szCs w:val="22"/>
                              </w:rPr>
                              <w:t xml:space="preserve">Donation specialists should seek to determine the donation decision-makers’ </w:t>
                            </w:r>
                            <w:r w:rsidRPr="006720E4">
                              <w:rPr>
                                <w:rFonts w:cs="Calibri"/>
                                <w:sz w:val="21"/>
                                <w:szCs w:val="21"/>
                              </w:rPr>
                              <w:t xml:space="preserve">reasoning </w:t>
                            </w:r>
                            <w:r w:rsidRPr="006720E4">
                              <w:rPr>
                                <w:rFonts w:cs="Calibri"/>
                                <w:szCs w:val="22"/>
                              </w:rPr>
                              <w:t>to assist them in determining the individual’s likely preferences regarding donation in the specific setting.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F20F68" id="Text Box 1250377405" o:spid="_x0000_s1029" type="#_x0000_t202" alt="P1339TB11#y1" style="position:absolute;margin-left:0;margin-top:0;width:2in;height:2in;z-index:2516582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" filled="f" strokecolor="black [3213]" strokeweight="1.5pt">
                <v:textbox style="mso-fit-shape-to-text:t">
                  <w:txbxContent>
                    <w:p w14:paraId="004F51FF" w14:textId="7872FC09" w:rsidR="0028232A" w:rsidRPr="0028232A" w:rsidRDefault="0028232A" w:rsidP="00C3783C">
                      <w:pPr>
                        <w:pStyle w:val="ListParagraph"/>
                        <w:numPr>
                          <w:ilvl w:val="0"/>
                          <w:numId w:val="132"/>
                        </w:numPr>
                        <w:spacing w:after="80"/>
                        <w:contextualSpacing w:val="0"/>
                        <w:rPr>
                          <w:rFonts w:cs="Calibri"/>
                          <w:b/>
                          <w:bCs/>
                          <w:szCs w:val="22"/>
                        </w:rPr>
                      </w:pPr>
                      <w:r w:rsidRPr="006720E4">
                        <w:rPr>
                          <w:rFonts w:cs="Calibri"/>
                          <w:szCs w:val="22"/>
                        </w:rPr>
                        <w:t>Individuals who are responsible for making a decision about deceased donation on behalf of a person who has died or whose death is imminent,</w:t>
                      </w:r>
                      <w:r w:rsidRPr="006720E4">
                        <w:rPr>
                          <w:rFonts w:cs="Calibri"/>
                          <w:b/>
                          <w:bCs/>
                          <w:szCs w:val="22"/>
                        </w:rPr>
                        <w:t xml:space="preserve"> </w:t>
                      </w:r>
                      <w:r w:rsidRPr="006720E4">
                        <w:rPr>
                          <w:rFonts w:cs="Calibri"/>
                          <w:szCs w:val="22"/>
                        </w:rPr>
                        <w:t>should strive to do so in accordance with the known or expected values and preferences of the potential donor, where these are based on an understanding of relevant information and with consideration for other known or expected values, preferences or goals with regards to end-of-life care</w:t>
                      </w:r>
                      <w:r>
                        <w:rPr>
                          <w:rFonts w:cs="Calibri"/>
                          <w:szCs w:val="22"/>
                        </w:rPr>
                        <w:t>.</w:t>
                      </w:r>
                    </w:p>
                    <w:p w14:paraId="3BE016D7" w14:textId="77777777" w:rsidR="0028232A" w:rsidRDefault="0028232A" w:rsidP="00C3783C">
                      <w:pPr>
                        <w:pStyle w:val="ListParagraph"/>
                        <w:numPr>
                          <w:ilvl w:val="1"/>
                          <w:numId w:val="132"/>
                        </w:numPr>
                        <w:spacing w:after="80"/>
                        <w:contextualSpacing w:val="0"/>
                        <w:rPr>
                          <w:rFonts w:cs="Calibri"/>
                          <w:szCs w:val="22"/>
                        </w:rPr>
                      </w:pPr>
                      <w:r w:rsidRPr="006720E4">
                        <w:rPr>
                          <w:rFonts w:cs="Calibri"/>
                          <w:szCs w:val="22"/>
                        </w:rPr>
                        <w:t>When a decision is made about deceased donation at the end of a person’s life, donor registration status should routinely be checked (via the AODR) and any documented information regarding end-of-life care preferences should be consulted in order to ensure that the individual’s preferences and interests with regards to donation are carefully considered.</w:t>
                      </w:r>
                    </w:p>
                    <w:p w14:paraId="388405D2" w14:textId="35A0DBA6" w:rsidR="0028232A" w:rsidRPr="0028232A" w:rsidRDefault="0028232A" w:rsidP="00C3783C">
                      <w:pPr>
                        <w:pStyle w:val="ListParagraph"/>
                        <w:numPr>
                          <w:ilvl w:val="1"/>
                          <w:numId w:val="132"/>
                        </w:numPr>
                        <w:spacing w:after="80"/>
                        <w:rPr>
                          <w:rFonts w:cs="Calibri"/>
                          <w:b/>
                          <w:bCs/>
                          <w:szCs w:val="22"/>
                        </w:rPr>
                      </w:pPr>
                      <w:r w:rsidRPr="006720E4">
                        <w:rPr>
                          <w:rFonts w:cs="Calibri"/>
                          <w:szCs w:val="22"/>
                        </w:rPr>
                        <w:t>Donation specialists should provide guidance and support to decision-makers with regards to the importance of considering and respecting the potential donor’s preferences.</w:t>
                      </w:r>
                    </w:p>
                    <w:p w14:paraId="52EE1D67" w14:textId="77777777" w:rsidR="0028232A" w:rsidRPr="006720E4" w:rsidRDefault="0028232A" w:rsidP="00C3783C">
                      <w:pPr>
                        <w:pStyle w:val="ListParagraph"/>
                        <w:numPr>
                          <w:ilvl w:val="1"/>
                          <w:numId w:val="132"/>
                        </w:numPr>
                        <w:spacing w:after="80"/>
                        <w:rPr>
                          <w:rFonts w:cs="Calibri"/>
                          <w:b/>
                          <w:bCs/>
                          <w:szCs w:val="22"/>
                        </w:rPr>
                      </w:pPr>
                      <w:r w:rsidRPr="006720E4">
                        <w:rPr>
                          <w:rFonts w:cs="Calibri"/>
                          <w:szCs w:val="22"/>
                        </w:rPr>
                        <w:t>Deceased donation decision-makers should be encouraged to make a decision that is consistent with the expected values and preferences of the potential donor in the specific setting.</w:t>
                      </w:r>
                    </w:p>
                    <w:p w14:paraId="13EAD568" w14:textId="77777777" w:rsidR="0028232A" w:rsidRPr="00E87C43" w:rsidRDefault="0028232A" w:rsidP="00C3783C">
                      <w:pPr>
                        <w:pStyle w:val="ListParagraph"/>
                        <w:numPr>
                          <w:ilvl w:val="1"/>
                          <w:numId w:val="132"/>
                        </w:numPr>
                        <w:spacing w:after="80"/>
                        <w:rPr>
                          <w:rFonts w:cs="Calibri"/>
                          <w:szCs w:val="22"/>
                        </w:rPr>
                      </w:pPr>
                      <w:r w:rsidRPr="006720E4">
                        <w:rPr>
                          <w:rFonts w:cs="Calibri"/>
                          <w:szCs w:val="22"/>
                        </w:rPr>
                        <w:t xml:space="preserve">Donation specialists should seek to determine the donation decision-makers’ </w:t>
                      </w:r>
                      <w:r w:rsidRPr="006720E4">
                        <w:rPr>
                          <w:rFonts w:cs="Calibri"/>
                          <w:sz w:val="21"/>
                          <w:szCs w:val="21"/>
                        </w:rPr>
                        <w:t xml:space="preserve">reasoning </w:t>
                      </w:r>
                      <w:r w:rsidRPr="006720E4">
                        <w:rPr>
                          <w:rFonts w:cs="Calibri"/>
                          <w:szCs w:val="22"/>
                        </w:rPr>
                        <w:t>to assist them in determining the individual’s likely preferences regarding donation in the specific setting.</w:t>
                      </w:r>
                    </w:p>
                  </w:txbxContent>
                </v:textbox>
                <w10:wrap type="square"/>
              </v:shape>
            </w:pict>
          </mc:Fallback>
        </mc:AlternateContent>
      </w:r>
    </w:p>
    <w:p w14:paraId="4364F2D5" w14:textId="77777777" w:rsidR="006C6EBA" w:rsidRPr="006720E4" w:rsidRDefault="006C6EBA" w:rsidP="00EA22AE">
      <w:pPr>
        <w:spacing w:after="120"/>
        <w:rPr>
          <w:rFonts w:ascii="Calibri" w:hAnsi="Calibri" w:cs="Calibri"/>
        </w:rPr>
      </w:pPr>
    </w:p>
    <w:p w14:paraId="12C4B4C4" w14:textId="77777777" w:rsidR="006C6EBA" w:rsidRPr="006720E4" w:rsidRDefault="006C6EBA" w:rsidP="00EA22AE">
      <w:pPr>
        <w:spacing w:after="120"/>
        <w:rPr>
          <w:rFonts w:ascii="Calibri" w:hAnsi="Calibri" w:cs="Calibri"/>
          <w:b/>
          <w:bCs/>
          <w:color w:val="4472C4" w:themeColor="accent1"/>
          <w:sz w:val="32"/>
          <w:szCs w:val="32"/>
          <w:u w:val="single"/>
        </w:rPr>
      </w:pPr>
      <w:bookmarkStart w:id="1685" w:name="_Chapter_4_-"/>
      <w:bookmarkStart w:id="1686" w:name="_Risks_and_benefits"/>
      <w:bookmarkStart w:id="1687" w:name="_Toc63683485"/>
      <w:bookmarkStart w:id="1688" w:name="_Toc70241833"/>
      <w:bookmarkStart w:id="1689" w:name="_Toc70243468"/>
      <w:bookmarkStart w:id="1690" w:name="_Toc70328771"/>
      <w:bookmarkStart w:id="1691" w:name="_Toc70334001"/>
      <w:bookmarkStart w:id="1692" w:name="_Toc70414955"/>
      <w:bookmarkStart w:id="1693" w:name="_Toc70538902"/>
      <w:bookmarkStart w:id="1694" w:name="_Toc70539578"/>
      <w:bookmarkStart w:id="1695" w:name="_Toc72615212"/>
      <w:bookmarkStart w:id="1696" w:name="_Toc73129941"/>
      <w:bookmarkStart w:id="1697" w:name="_Toc73301816"/>
      <w:bookmarkStart w:id="1698" w:name="_Toc73302322"/>
      <w:bookmarkStart w:id="1699" w:name="_Toc73303455"/>
      <w:bookmarkStart w:id="1700" w:name="_Toc73303669"/>
      <w:bookmarkStart w:id="1701" w:name="_Toc74080786"/>
      <w:bookmarkStart w:id="1702" w:name="_Toc74081094"/>
      <w:bookmarkStart w:id="1703" w:name="_Toc74081324"/>
      <w:bookmarkStart w:id="1704" w:name="_Toc74081600"/>
      <w:bookmarkStart w:id="1705" w:name="_Toc74171155"/>
      <w:bookmarkStart w:id="1706" w:name="_Toc74172377"/>
      <w:bookmarkStart w:id="1707" w:name="_Toc74172913"/>
      <w:bookmarkStart w:id="1708" w:name="_Toc74238829"/>
      <w:bookmarkStart w:id="1709" w:name="_Toc79330852"/>
      <w:bookmarkStart w:id="1710" w:name="_Toc79331232"/>
      <w:bookmarkStart w:id="1711" w:name="_Toc78304799"/>
      <w:bookmarkStart w:id="1712" w:name="_Toc79406358"/>
      <w:bookmarkStart w:id="1713" w:name="_Toc63683420"/>
      <w:bookmarkStart w:id="1714" w:name="_Toc70241762"/>
      <w:bookmarkStart w:id="1715" w:name="_Toc70243397"/>
      <w:bookmarkStart w:id="1716" w:name="_Toc70328735"/>
      <w:bookmarkStart w:id="1717" w:name="_Toc70333965"/>
      <w:bookmarkStart w:id="1718" w:name="_Toc70414859"/>
      <w:bookmarkStart w:id="1719" w:name="_Toc70844182"/>
      <w:bookmarkStart w:id="1720" w:name="_Toc70858990"/>
      <w:bookmarkStart w:id="1721" w:name="_Toc70861091"/>
      <w:bookmarkStart w:id="1722" w:name="_Toc70876575"/>
      <w:bookmarkStart w:id="1723" w:name="_Toc72615114"/>
      <w:bookmarkStart w:id="1724" w:name="_Toc73129837"/>
      <w:bookmarkStart w:id="1725" w:name="_Toc73301706"/>
      <w:bookmarkStart w:id="1726" w:name="_Toc73302212"/>
      <w:bookmarkStart w:id="1727" w:name="_Toc73303345"/>
      <w:bookmarkStart w:id="1728" w:name="_Toc73303584"/>
      <w:bookmarkStart w:id="1729" w:name="_Toc74080701"/>
      <w:bookmarkStart w:id="1730" w:name="_Toc74081009"/>
      <w:bookmarkStart w:id="1731" w:name="_Toc74081239"/>
      <w:bookmarkStart w:id="1732" w:name="_Toc74081490"/>
      <w:bookmarkStart w:id="1733" w:name="_Toc74171070"/>
      <w:bookmarkStart w:id="1734" w:name="_Toc74172267"/>
      <w:bookmarkStart w:id="1735" w:name="_Toc74172803"/>
      <w:bookmarkStart w:id="1736" w:name="_Toc74238744"/>
      <w:bookmarkStart w:id="1737" w:name="_Toc78304766"/>
      <w:bookmarkEnd w:id="1685"/>
      <w:bookmarkEnd w:id="1686"/>
      <w:r w:rsidRPr="006720E4">
        <w:rPr>
          <w:rFonts w:ascii="Calibri" w:hAnsi="Calibri" w:cs="Calibri"/>
        </w:rPr>
        <w:br w:type="page"/>
      </w:r>
    </w:p>
    <w:p w14:paraId="1F577F73" w14:textId="77777777" w:rsidR="006C6EBA" w:rsidRPr="006720E4" w:rsidRDefault="006C6EBA" w:rsidP="00EA22AE">
      <w:pPr>
        <w:pStyle w:val="Heading1"/>
      </w:pPr>
      <w:bookmarkStart w:id="1738" w:name="_Donation_and_transplantation_1"/>
      <w:bookmarkStart w:id="1739" w:name="_Toc82773547"/>
      <w:bookmarkStart w:id="1740" w:name="_Toc82773900"/>
      <w:bookmarkStart w:id="1741" w:name="_Toc128314201"/>
      <w:bookmarkStart w:id="1742" w:name="_Toc135131445"/>
      <w:bookmarkEnd w:id="1738"/>
      <w:r w:rsidRPr="006720E4">
        <w:lastRenderedPageBreak/>
        <w:t>Donation and transplantation in children and adults who lack decision-making capacity</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39"/>
      <w:bookmarkEnd w:id="1740"/>
      <w:bookmarkEnd w:id="1741"/>
      <w:bookmarkEnd w:id="1742"/>
    </w:p>
    <w:p w14:paraId="7AC113C0" w14:textId="64D92BD3" w:rsidR="006C6EBA" w:rsidRPr="006720E4" w:rsidRDefault="006C6EBA" w:rsidP="00EA22AE">
      <w:pPr>
        <w:spacing w:after="120"/>
        <w:jc w:val="both"/>
        <w:rPr>
          <w:rFonts w:ascii="Calibri" w:hAnsi="Calibri" w:cs="Calibri"/>
          <w:sz w:val="22"/>
          <w:szCs w:val="22"/>
        </w:rPr>
      </w:pPr>
      <w:r w:rsidRPr="006720E4">
        <w:rPr>
          <w:rFonts w:ascii="Calibri" w:hAnsi="Calibri" w:cs="Calibri"/>
          <w:sz w:val="22"/>
          <w:szCs w:val="22"/>
        </w:rPr>
        <w:t>This chapter explores special ethical considerations in the context of donation and transplantation involving children or adults who lack decision-making capacity. Although rare, this group may occasionally be considered as potential living donors of cells, tissues, or organs; children in particular may be considered as donors of HSCs to siblings. More frequently they may be considered as transplant candidates.</w:t>
      </w:r>
    </w:p>
    <w:p w14:paraId="5C1F96B2" w14:textId="0BDC2FC0" w:rsidR="006C6EBA" w:rsidRPr="006720E4" w:rsidRDefault="006C6EBA" w:rsidP="00EA22AE">
      <w:pPr>
        <w:spacing w:after="120"/>
        <w:jc w:val="both"/>
        <w:rPr>
          <w:rFonts w:ascii="Calibri" w:hAnsi="Calibri" w:cs="Calibri"/>
          <w:color w:val="0563C1" w:themeColor="hyperlink"/>
          <w:sz w:val="22"/>
          <w:szCs w:val="22"/>
          <w:u w:val="single"/>
        </w:rPr>
      </w:pPr>
      <w:r w:rsidRPr="006720E4">
        <w:rPr>
          <w:rFonts w:ascii="Calibri" w:hAnsi="Calibri" w:cs="Calibri"/>
          <w:sz w:val="22"/>
          <w:szCs w:val="22"/>
        </w:rPr>
        <w:t>In the first section, general considerations in decision-making involving children or adults lacking capacity are outlined. Legal aspects of substitute decision-making are then reviewed followed by ethical approaches to substitute decision-making. In the following sections specific ethical considerations relating to transplantation and living and deceased donation by children and adults lacking c</w:t>
      </w:r>
      <w:r w:rsidRPr="00CB5556">
        <w:rPr>
          <w:rFonts w:ascii="Calibri" w:hAnsi="Calibri" w:cs="Calibri"/>
          <w:sz w:val="22"/>
          <w:szCs w:val="22"/>
        </w:rPr>
        <w:t xml:space="preserve">apacity are discussed. This chapter should be read in conjunction with </w:t>
      </w:r>
      <w:hyperlink w:anchor="_Decision-making_and_consent_2" w:history="1">
        <w:r w:rsidR="00DC7D46" w:rsidRPr="00CB5556">
          <w:rPr>
            <w:rStyle w:val="Hyperlink"/>
            <w:rFonts w:ascii="Calibri" w:hAnsi="Calibri" w:cs="Calibri"/>
            <w:sz w:val="22"/>
            <w:szCs w:val="22"/>
          </w:rPr>
          <w:t>Chapter 4</w:t>
        </w:r>
      </w:hyperlink>
      <w:r w:rsidRPr="00CB5556">
        <w:rPr>
          <w:rFonts w:ascii="Calibri" w:hAnsi="Calibri" w:cs="Calibri"/>
          <w:sz w:val="22"/>
          <w:szCs w:val="22"/>
        </w:rPr>
        <w:t xml:space="preserve"> and</w:t>
      </w:r>
      <w:r w:rsidR="00DC7D46" w:rsidRPr="00CB5556">
        <w:rPr>
          <w:rFonts w:ascii="Calibri" w:hAnsi="Calibri" w:cs="Calibri"/>
          <w:sz w:val="22"/>
          <w:szCs w:val="22"/>
        </w:rPr>
        <w:t xml:space="preserve"> </w:t>
      </w:r>
      <w:hyperlink w:anchor="_Risks_and_benefits_1" w:history="1">
        <w:r w:rsidR="00CB5556" w:rsidRPr="00CB5556">
          <w:rPr>
            <w:rStyle w:val="Hyperlink"/>
            <w:rFonts w:ascii="Calibri" w:hAnsi="Calibri" w:cs="Calibri"/>
            <w:sz w:val="22"/>
            <w:szCs w:val="22"/>
          </w:rPr>
          <w:t>Chapter 6</w:t>
        </w:r>
      </w:hyperlink>
      <w:r w:rsidR="00DC7D46" w:rsidRPr="00CB5556">
        <w:rPr>
          <w:rFonts w:ascii="Calibri" w:hAnsi="Calibri" w:cs="Calibri"/>
          <w:sz w:val="22"/>
          <w:szCs w:val="22"/>
        </w:rPr>
        <w:t xml:space="preserve">. </w:t>
      </w:r>
      <w:r w:rsidRPr="00CB5556">
        <w:rPr>
          <w:rFonts w:ascii="Calibri" w:hAnsi="Calibri" w:cs="Calibri"/>
          <w:sz w:val="22"/>
          <w:szCs w:val="22"/>
        </w:rPr>
        <w:t>Further</w:t>
      </w:r>
      <w:r w:rsidRPr="006720E4">
        <w:rPr>
          <w:rFonts w:ascii="Calibri" w:hAnsi="Calibri" w:cs="Calibri"/>
          <w:sz w:val="22"/>
          <w:szCs w:val="22"/>
        </w:rPr>
        <w:t xml:space="preserve"> readings and resources relating to this chapter are available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1DB4E103" w14:textId="77777777" w:rsidR="006C6EBA" w:rsidRPr="006720E4" w:rsidRDefault="006C6EBA" w:rsidP="00EA22AE">
      <w:pPr>
        <w:pStyle w:val="Heading2"/>
        <w:spacing w:after="120"/>
      </w:pPr>
      <w:bookmarkStart w:id="1743" w:name="_Involvement_of_children"/>
      <w:bookmarkStart w:id="1744" w:name="_Toc63683487"/>
      <w:bookmarkStart w:id="1745" w:name="_Toc70241835"/>
      <w:bookmarkStart w:id="1746" w:name="_Toc70243470"/>
      <w:bookmarkStart w:id="1747" w:name="_Toc70328772"/>
      <w:bookmarkStart w:id="1748" w:name="_Toc70334002"/>
      <w:bookmarkStart w:id="1749" w:name="_Toc70414956"/>
      <w:bookmarkStart w:id="1750" w:name="_Toc70538903"/>
      <w:bookmarkStart w:id="1751" w:name="_Toc70539579"/>
      <w:bookmarkStart w:id="1752" w:name="_Toc72615213"/>
      <w:bookmarkStart w:id="1753" w:name="_Toc73129942"/>
      <w:bookmarkStart w:id="1754" w:name="_Toc73301817"/>
      <w:bookmarkStart w:id="1755" w:name="_Toc73302323"/>
      <w:bookmarkStart w:id="1756" w:name="_Toc73303456"/>
      <w:bookmarkStart w:id="1757" w:name="_Toc73303670"/>
      <w:bookmarkStart w:id="1758" w:name="_Toc74080787"/>
      <w:bookmarkStart w:id="1759" w:name="_Toc74081095"/>
      <w:bookmarkStart w:id="1760" w:name="_Toc74081325"/>
      <w:bookmarkStart w:id="1761" w:name="_Toc74081601"/>
      <w:bookmarkStart w:id="1762" w:name="_Toc74171156"/>
      <w:bookmarkStart w:id="1763" w:name="_Toc74172378"/>
      <w:bookmarkStart w:id="1764" w:name="_Toc74172914"/>
      <w:bookmarkStart w:id="1765" w:name="_Toc74238830"/>
      <w:bookmarkStart w:id="1766" w:name="_Toc78304800"/>
      <w:bookmarkStart w:id="1767" w:name="_Toc79330853"/>
      <w:bookmarkStart w:id="1768" w:name="_Toc79331233"/>
      <w:bookmarkStart w:id="1769" w:name="_Toc79406359"/>
      <w:bookmarkStart w:id="1770" w:name="_Toc82773548"/>
      <w:bookmarkStart w:id="1771" w:name="_Toc82773901"/>
      <w:bookmarkStart w:id="1772" w:name="_Toc128314202"/>
      <w:bookmarkStart w:id="1773" w:name="_Toc135131446"/>
      <w:bookmarkEnd w:id="1743"/>
      <w:r w:rsidRPr="006720E4">
        <w:t>Involvement of children and adults who may lack capacity in decision-making</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3F28E703" w14:textId="560E974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It should not be assumed that adults who are cognitively impaired or children who are below 18 years of age are incapable of making their own medical decisions, including decisions about potential opportunities for donation or transplantation. Individuals may have capacity to give consent for some, if not all, decisions relating to donation and transplantation.</w:t>
      </w:r>
    </w:p>
    <w:p w14:paraId="1F333D67" w14:textId="5DFCF68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loss of decision-making capacity is temporary, then deferring decisions about donation or transplantation until the person has the capacity to consent on their own behalf should be considered where possible.</w:t>
      </w:r>
    </w:p>
    <w:p w14:paraId="0BC74DB2" w14:textId="77777777" w:rsidR="006C6EBA" w:rsidRPr="006720E4" w:rsidRDefault="006C6EBA" w:rsidP="00EA22AE">
      <w:pPr>
        <w:pStyle w:val="Heading3"/>
        <w:spacing w:after="120"/>
      </w:pPr>
      <w:bookmarkStart w:id="1774" w:name="_Determining_capacity_for"/>
      <w:bookmarkStart w:id="1775" w:name="_Toc70414957"/>
      <w:bookmarkStart w:id="1776" w:name="_Toc70538904"/>
      <w:bookmarkStart w:id="1777" w:name="_Toc72615214"/>
      <w:bookmarkStart w:id="1778" w:name="_Toc73129943"/>
      <w:bookmarkStart w:id="1779" w:name="_Toc73301818"/>
      <w:bookmarkStart w:id="1780" w:name="_Toc73302324"/>
      <w:bookmarkStart w:id="1781" w:name="_Toc73303457"/>
      <w:bookmarkStart w:id="1782" w:name="_Toc73303671"/>
      <w:bookmarkStart w:id="1783" w:name="_Toc74080788"/>
      <w:bookmarkStart w:id="1784" w:name="_Toc74081096"/>
      <w:bookmarkStart w:id="1785" w:name="_Toc74081326"/>
      <w:bookmarkStart w:id="1786" w:name="_Toc74081602"/>
      <w:bookmarkStart w:id="1787" w:name="_Toc74171157"/>
      <w:bookmarkStart w:id="1788" w:name="_Toc74172379"/>
      <w:bookmarkStart w:id="1789" w:name="_Toc74172915"/>
      <w:bookmarkStart w:id="1790" w:name="_Toc74238831"/>
      <w:bookmarkStart w:id="1791" w:name="_Toc79406360"/>
      <w:bookmarkStart w:id="1792" w:name="_Toc82773549"/>
      <w:bookmarkStart w:id="1793" w:name="_Toc82773902"/>
      <w:bookmarkEnd w:id="1774"/>
      <w:r w:rsidRPr="006720E4">
        <w:t>Determining capacity for decision-making</w:t>
      </w:r>
      <w:bookmarkEnd w:id="1775"/>
      <w:bookmarkEnd w:id="1776"/>
      <w:bookmarkEnd w:id="1777"/>
      <w:r w:rsidRPr="006720E4">
        <w:t xml:space="preserve"> in children</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77FC5EC2" w14:textId="4C8A145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decision-making capacity of children should be carefully evaluated by suitably qualified professionals. These may be health professionals involved in care of the child or other health professionals. In some cases, assessment of capacity may require involvement of a multidisciplinary team. </w:t>
      </w:r>
    </w:p>
    <w:p w14:paraId="27CC220D" w14:textId="683A7CFB" w:rsidR="006C6EBA" w:rsidRPr="006720E4" w:rsidRDefault="006C6EBA" w:rsidP="00EA22AE">
      <w:pPr>
        <w:pStyle w:val="Heading3"/>
        <w:spacing w:after="120"/>
      </w:pPr>
      <w:bookmarkStart w:id="1794" w:name="_Children_who_may"/>
      <w:bookmarkStart w:id="1795" w:name="_Toc70414958"/>
      <w:bookmarkStart w:id="1796" w:name="_Toc70538905"/>
      <w:bookmarkStart w:id="1797" w:name="_Toc72615215"/>
      <w:bookmarkStart w:id="1798" w:name="_Toc73129944"/>
      <w:bookmarkStart w:id="1799" w:name="_Toc73301819"/>
      <w:bookmarkStart w:id="1800" w:name="_Toc73302325"/>
      <w:bookmarkStart w:id="1801" w:name="_Toc73303458"/>
      <w:bookmarkStart w:id="1802" w:name="_Toc73303672"/>
      <w:bookmarkStart w:id="1803" w:name="_Toc74080789"/>
      <w:bookmarkStart w:id="1804" w:name="_Toc74081097"/>
      <w:bookmarkStart w:id="1805" w:name="_Toc74081327"/>
      <w:bookmarkStart w:id="1806" w:name="_Toc74081603"/>
      <w:bookmarkStart w:id="1807" w:name="_Toc74171158"/>
      <w:bookmarkStart w:id="1808" w:name="_Toc74172380"/>
      <w:bookmarkStart w:id="1809" w:name="_Toc74172916"/>
      <w:bookmarkStart w:id="1810" w:name="_Toc74238832"/>
      <w:bookmarkStart w:id="1811" w:name="_Toc79406361"/>
      <w:bookmarkStart w:id="1812" w:name="_Toc82773550"/>
      <w:bookmarkStart w:id="1813" w:name="_Toc82773903"/>
      <w:bookmarkEnd w:id="1794"/>
      <w:r w:rsidRPr="006720E4">
        <w:t>Children who may have decision-making capacity</w:t>
      </w:r>
      <w:bookmarkEnd w:id="1795"/>
      <w:r w:rsidRPr="006720E4">
        <w:t xml:space="preserve"> and the law</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5D432403" w14:textId="26D9984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Generally, children under 18 years old are not assumed to have decision-making capacity with regards to their own medical treatment. However, some children - typically adolescents - may be considered competent in specific circumstances to make some of their own health care decisions or specific legislation may exist that applies a presumption of decision-making capacity at a younger age.</w:t>
      </w:r>
    </w:p>
    <w:p w14:paraId="73C97861" w14:textId="5AC5769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term </w:t>
      </w:r>
      <w:hyperlink w:anchor="_Glossary_2" w:history="1">
        <w:r w:rsidRPr="006720E4">
          <w:rPr>
            <w:rStyle w:val="Hyperlink"/>
            <w:rFonts w:ascii="Calibri" w:hAnsi="Calibri" w:cs="Calibri"/>
            <w:i/>
            <w:iCs/>
            <w:sz w:val="22"/>
            <w:szCs w:val="22"/>
          </w:rPr>
          <w:t>Gillick</w:t>
        </w:r>
        <w:r w:rsidRPr="006720E4">
          <w:rPr>
            <w:rStyle w:val="Hyperlink"/>
            <w:rFonts w:ascii="Calibri" w:hAnsi="Calibri" w:cs="Calibri"/>
            <w:sz w:val="22"/>
            <w:szCs w:val="22"/>
          </w:rPr>
          <w:t>-competent</w:t>
        </w:r>
      </w:hyperlink>
      <w:r w:rsidRPr="006720E4">
        <w:rPr>
          <w:rFonts w:ascii="Calibri" w:hAnsi="Calibri" w:cs="Calibri"/>
          <w:sz w:val="22"/>
          <w:szCs w:val="22"/>
        </w:rPr>
        <w:t xml:space="preserve"> refers to a child who is assessed as having a sufficient understanding and intelligence to enable the child to understand fully what is proposed with regards to a specific clinical decision. Such children are sometimes referred to as “mature minors”.</w:t>
      </w:r>
    </w:p>
    <w:p w14:paraId="131C13A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adolescent age group, the capacity to make decisions about transplantation should be determined on an individual basis. Responsibility for determining this capacity rests with the multidisciplinary team involved in the care of the individual. </w:t>
      </w:r>
    </w:p>
    <w:p w14:paraId="372AD598" w14:textId="1DADD1E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Where a child is assessed as being </w:t>
      </w:r>
      <w:r w:rsidRPr="006720E4">
        <w:rPr>
          <w:rFonts w:ascii="Calibri" w:hAnsi="Calibri" w:cs="Calibri"/>
          <w:i/>
          <w:iCs/>
          <w:sz w:val="22"/>
          <w:szCs w:val="22"/>
        </w:rPr>
        <w:t>Gillick</w:t>
      </w:r>
      <w:r w:rsidRPr="006720E4">
        <w:rPr>
          <w:rFonts w:ascii="Calibri" w:hAnsi="Calibri" w:cs="Calibri"/>
          <w:sz w:val="22"/>
          <w:szCs w:val="22"/>
        </w:rPr>
        <w:t xml:space="preserve">-competent they can consent or refuse consent to treatment that is offered to them, including a proposed transplant procedure. Where a dispute arises regarding whether a child is </w:t>
      </w:r>
      <w:r w:rsidRPr="006720E4">
        <w:rPr>
          <w:rFonts w:ascii="Calibri" w:hAnsi="Calibri" w:cs="Calibri"/>
          <w:i/>
          <w:iCs/>
          <w:sz w:val="22"/>
          <w:szCs w:val="22"/>
        </w:rPr>
        <w:t>Gillick</w:t>
      </w:r>
      <w:r w:rsidRPr="006720E4">
        <w:rPr>
          <w:rFonts w:ascii="Calibri" w:hAnsi="Calibri" w:cs="Calibri"/>
          <w:sz w:val="22"/>
          <w:szCs w:val="22"/>
        </w:rPr>
        <w:t xml:space="preserve">-competent for the decision they have made, usual processes for resolving disputes should be </w:t>
      </w:r>
      <w:r w:rsidRPr="009B495F">
        <w:rPr>
          <w:rFonts w:ascii="Calibri" w:hAnsi="Calibri" w:cs="Calibri"/>
          <w:sz w:val="22"/>
          <w:szCs w:val="22"/>
        </w:rPr>
        <w:t xml:space="preserve">adopted (see </w:t>
      </w:r>
      <w:hyperlink w:anchor="_Resolving_conflict_or" w:history="1">
        <w:r w:rsidRPr="009B495F">
          <w:rPr>
            <w:rStyle w:val="Hyperlink"/>
            <w:rFonts w:ascii="Calibri" w:hAnsi="Calibri" w:cs="Calibri"/>
            <w:sz w:val="22"/>
            <w:szCs w:val="22"/>
          </w:rPr>
          <w:t xml:space="preserve">Chapter </w:t>
        </w:r>
        <w:r w:rsidR="009D06B8" w:rsidRPr="009B495F">
          <w:rPr>
            <w:rStyle w:val="Hyperlink"/>
            <w:rFonts w:ascii="Calibri" w:hAnsi="Calibri" w:cs="Calibri"/>
            <w:sz w:val="22"/>
            <w:szCs w:val="22"/>
          </w:rPr>
          <w:t>3</w:t>
        </w:r>
        <w:r w:rsidRPr="009B495F">
          <w:rPr>
            <w:rStyle w:val="Hyperlink"/>
            <w:rFonts w:ascii="Calibri" w:hAnsi="Calibri" w:cs="Calibri"/>
            <w:sz w:val="22"/>
            <w:szCs w:val="22"/>
          </w:rPr>
          <w:t>.</w:t>
        </w:r>
        <w:r w:rsidR="009B495F">
          <w:rPr>
            <w:rStyle w:val="Hyperlink"/>
            <w:rFonts w:ascii="Calibri" w:hAnsi="Calibri" w:cs="Calibri"/>
            <w:sz w:val="22"/>
            <w:szCs w:val="22"/>
          </w:rPr>
          <w:t>4</w:t>
        </w:r>
        <w:r w:rsidRPr="009B495F">
          <w:rPr>
            <w:rStyle w:val="Hyperlink"/>
            <w:rFonts w:ascii="Calibri" w:hAnsi="Calibri" w:cs="Calibri"/>
            <w:sz w:val="22"/>
            <w:szCs w:val="22"/>
          </w:rPr>
          <w:t>.6)</w:t>
        </w:r>
      </w:hyperlink>
      <w:r w:rsidRPr="009B495F">
        <w:rPr>
          <w:rFonts w:ascii="Calibri" w:hAnsi="Calibri" w:cs="Calibri"/>
          <w:sz w:val="22"/>
          <w:szCs w:val="22"/>
        </w:rPr>
        <w:t xml:space="preserve"> but</w:t>
      </w:r>
      <w:r w:rsidRPr="006720E4">
        <w:rPr>
          <w:rFonts w:ascii="Calibri" w:hAnsi="Calibri" w:cs="Calibri"/>
          <w:sz w:val="22"/>
          <w:szCs w:val="22"/>
        </w:rPr>
        <w:t xml:space="preserve"> if there is no resolution </w:t>
      </w:r>
      <w:r w:rsidRPr="006720E4">
        <w:rPr>
          <w:rFonts w:ascii="Calibri" w:hAnsi="Calibri" w:cs="Calibri"/>
          <w:sz w:val="22"/>
          <w:szCs w:val="22"/>
        </w:rPr>
        <w:lastRenderedPageBreak/>
        <w:t xml:space="preserve">or an urgent decision is needed an application can be made to a court to make a decision regarding whether the treatment is in that child’s best interests.  </w:t>
      </w:r>
    </w:p>
    <w:p w14:paraId="0150FF97" w14:textId="7034095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Although mature minors are permitted to consent to treatment on their own behalf, including transplantation, if a mature minor consents to living donation this consent alone is not sufficient for donation to proceed. Depending on the nature of the donation (i.e., organs or HSCs), legislation may mandate that certain conditions be fulfilled, or a Court order may be necessary to approve the procedure. This is because living organ and tissue donation are not of therapeutic benefit to the minors themselves. The exceptional conditions under which children may be permitted to become living donors are </w:t>
      </w:r>
      <w:r w:rsidRPr="009B495F">
        <w:rPr>
          <w:rFonts w:ascii="Calibri" w:hAnsi="Calibri" w:cs="Calibri"/>
          <w:sz w:val="22"/>
          <w:szCs w:val="22"/>
        </w:rPr>
        <w:t xml:space="preserve">outlined in </w:t>
      </w:r>
      <w:hyperlink w:anchor="_Living_donation_by" w:history="1">
        <w:r w:rsidRPr="009B495F">
          <w:rPr>
            <w:rStyle w:val="Hyperlink"/>
            <w:rFonts w:ascii="Calibri" w:hAnsi="Calibri" w:cs="Calibri"/>
            <w:sz w:val="22"/>
            <w:szCs w:val="22"/>
          </w:rPr>
          <w:t xml:space="preserve">Chapter </w:t>
        </w:r>
        <w:r w:rsidR="009D06B8" w:rsidRPr="009B495F">
          <w:rPr>
            <w:rStyle w:val="Hyperlink"/>
            <w:rFonts w:ascii="Calibri" w:hAnsi="Calibri" w:cs="Calibri"/>
            <w:sz w:val="22"/>
            <w:szCs w:val="22"/>
          </w:rPr>
          <w:t>5</w:t>
        </w:r>
        <w:r w:rsidRPr="009B495F">
          <w:rPr>
            <w:rStyle w:val="Hyperlink"/>
            <w:rFonts w:ascii="Calibri" w:hAnsi="Calibri" w:cs="Calibri"/>
            <w:sz w:val="22"/>
            <w:szCs w:val="22"/>
          </w:rPr>
          <w:t>.5</w:t>
        </w:r>
      </w:hyperlink>
      <w:r w:rsidRPr="009B495F">
        <w:rPr>
          <w:rFonts w:ascii="Calibri" w:hAnsi="Calibri" w:cs="Calibri"/>
          <w:sz w:val="22"/>
          <w:szCs w:val="22"/>
        </w:rPr>
        <w:t>.</w:t>
      </w:r>
    </w:p>
    <w:p w14:paraId="1B69EF64" w14:textId="77777777" w:rsidR="006C6EBA" w:rsidRPr="006720E4" w:rsidRDefault="006C6EBA" w:rsidP="00EA22AE">
      <w:pPr>
        <w:pStyle w:val="Heading3"/>
        <w:spacing w:after="120"/>
      </w:pPr>
      <w:bookmarkStart w:id="1814" w:name="_Supporting_involvement_of"/>
      <w:bookmarkStart w:id="1815" w:name="_Toc72615216"/>
      <w:bookmarkStart w:id="1816" w:name="_Toc73129945"/>
      <w:bookmarkStart w:id="1817" w:name="_Toc73301820"/>
      <w:bookmarkStart w:id="1818" w:name="_Toc73302326"/>
      <w:bookmarkStart w:id="1819" w:name="_Toc73303459"/>
      <w:bookmarkStart w:id="1820" w:name="_Toc73303673"/>
      <w:bookmarkStart w:id="1821" w:name="_Toc74080790"/>
      <w:bookmarkStart w:id="1822" w:name="_Toc74081098"/>
      <w:bookmarkStart w:id="1823" w:name="_Toc74081328"/>
      <w:bookmarkStart w:id="1824" w:name="_Toc74081604"/>
      <w:bookmarkStart w:id="1825" w:name="_Toc74171159"/>
      <w:bookmarkStart w:id="1826" w:name="_Toc74172381"/>
      <w:bookmarkStart w:id="1827" w:name="_Toc74172917"/>
      <w:bookmarkStart w:id="1828" w:name="_Toc74238833"/>
      <w:bookmarkStart w:id="1829" w:name="_Toc79406362"/>
      <w:bookmarkStart w:id="1830" w:name="_Toc82773551"/>
      <w:bookmarkStart w:id="1831" w:name="_Toc82773904"/>
      <w:bookmarkStart w:id="1832" w:name="_Toc70414962"/>
      <w:bookmarkStart w:id="1833" w:name="_Toc70538906"/>
      <w:bookmarkEnd w:id="1814"/>
      <w:r w:rsidRPr="006720E4">
        <w:t>Determining decision-making capacity in adults</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14:paraId="4A11974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Adults are normally presumed to have decision-making capacity. However, there will be circumstances where adults may have difficulty in making decisions for themselves and capacity to make transplantation or donation decisions need to be determined. </w:t>
      </w:r>
    </w:p>
    <w:p w14:paraId="1FE4B2B5" w14:textId="579A8CF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Use of a supported decision-making approach (see </w:t>
      </w:r>
      <w:hyperlink w:anchor="_Supported_decision-making" w:history="1">
        <w:r w:rsidRPr="006720E4">
          <w:rPr>
            <w:rStyle w:val="Hyperlink"/>
            <w:rFonts w:ascii="Calibri" w:hAnsi="Calibri" w:cs="Calibri"/>
            <w:sz w:val="22"/>
            <w:szCs w:val="22"/>
          </w:rPr>
          <w:t xml:space="preserve">Chapter </w:t>
        </w:r>
        <w:r w:rsidR="009D06B8">
          <w:rPr>
            <w:rStyle w:val="Hyperlink"/>
            <w:rFonts w:ascii="Calibri" w:hAnsi="Calibri" w:cs="Calibri"/>
            <w:sz w:val="22"/>
            <w:szCs w:val="22"/>
          </w:rPr>
          <w:t>5</w:t>
        </w:r>
        <w:r w:rsidRPr="006720E4">
          <w:rPr>
            <w:rStyle w:val="Hyperlink"/>
            <w:rFonts w:ascii="Calibri" w:hAnsi="Calibri" w:cs="Calibri"/>
            <w:sz w:val="22"/>
            <w:szCs w:val="22"/>
          </w:rPr>
          <w:t>.1.3.1</w:t>
        </w:r>
      </w:hyperlink>
      <w:r w:rsidRPr="006720E4">
        <w:rPr>
          <w:rFonts w:ascii="Calibri" w:hAnsi="Calibri" w:cs="Calibri"/>
          <w:sz w:val="22"/>
          <w:szCs w:val="22"/>
        </w:rPr>
        <w:t xml:space="preserve">) is recommended for adults who may have a cognitive impairment affecting their decision-making but who may still be able to make a decision or express a preference with sufficient support. </w:t>
      </w:r>
    </w:p>
    <w:p w14:paraId="23A87EF4" w14:textId="77777777" w:rsidR="006C6EBA" w:rsidRPr="006720E4" w:rsidRDefault="006C6EBA" w:rsidP="00EA22AE">
      <w:pPr>
        <w:pStyle w:val="Heading4"/>
        <w:spacing w:after="120"/>
      </w:pPr>
      <w:bookmarkStart w:id="1834" w:name="_Supported_decision-making"/>
      <w:bookmarkStart w:id="1835" w:name="_Toc82773552"/>
      <w:bookmarkStart w:id="1836" w:name="_Toc82773905"/>
      <w:bookmarkEnd w:id="1834"/>
      <w:r w:rsidRPr="006720E4">
        <w:t>Supported decision-making</w:t>
      </w:r>
      <w:bookmarkEnd w:id="1835"/>
      <w:bookmarkEnd w:id="1836"/>
      <w:r w:rsidRPr="006720E4">
        <w:t xml:space="preserve"> </w:t>
      </w:r>
    </w:p>
    <w:p w14:paraId="121B2F22" w14:textId="5F1E18F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“Supported decision-making”</w:t>
      </w:r>
      <w:r w:rsidRPr="006720E4">
        <w:rPr>
          <w:rFonts w:ascii="Calibri" w:hAnsi="Calibri" w:cs="Calibri"/>
          <w:b/>
          <w:bCs/>
          <w:sz w:val="22"/>
          <w:szCs w:val="22"/>
        </w:rPr>
        <w:t xml:space="preserve"> </w:t>
      </w:r>
      <w:r w:rsidRPr="006720E4">
        <w:rPr>
          <w:rFonts w:ascii="Calibri" w:hAnsi="Calibri" w:cs="Calibri"/>
          <w:sz w:val="22"/>
          <w:szCs w:val="22"/>
        </w:rPr>
        <w:t xml:space="preserve">is a human rights concept and practical process referring to the provision of decision-making support to a person to make decisions that reflect as much as possible their ‘will, preference and rights’. It originates from the </w:t>
      </w:r>
      <w:r w:rsidRPr="006720E4">
        <w:rPr>
          <w:rFonts w:ascii="Calibri" w:hAnsi="Calibri" w:cs="Calibri"/>
          <w:i/>
          <w:iCs/>
          <w:sz w:val="22"/>
          <w:szCs w:val="22"/>
        </w:rPr>
        <w:t>United Nations Conventions on Rights of Persons with Disabilities</w:t>
      </w:r>
      <w:r w:rsidR="009D06B8">
        <w:rPr>
          <w:rFonts w:ascii="Calibri" w:hAnsi="Calibri" w:cs="Calibri"/>
          <w:i/>
          <w:iCs/>
          <w:sz w:val="22"/>
          <w:szCs w:val="22"/>
        </w:rPr>
        <w:t>,</w:t>
      </w:r>
      <w:r w:rsidRPr="006720E4">
        <w:rPr>
          <w:rFonts w:ascii="Calibri" w:hAnsi="Calibri" w:cs="Calibri"/>
          <w:i/>
          <w:iCs/>
          <w:sz w:val="22"/>
          <w:szCs w:val="22"/>
        </w:rPr>
        <w:fldChar w:fldCharType="begin" w:fldLock="1"/>
      </w:r>
      <w:r w:rsidRPr="006720E4">
        <w:rPr>
          <w:rFonts w:ascii="Calibri" w:hAnsi="Calibri" w:cs="Calibri"/>
          <w:i/>
          <w:iCs/>
          <w:sz w:val="22"/>
          <w:szCs w:val="22"/>
        </w:rPr>
        <w:instrText>ADDIN CSL_CITATION {"citationItems":[{"id":"ITEM-1","itemData":{"DOI":"10.5463/DCID.v29i4.656","ISSN":"22115242","author":[{"dropping-particle":"","family":"United Nations (UN)","given":"","non-dropping-particle":"","parse-names":false,"suffix":""}],"container-title":"United Nations","id":"ITEM-1","issued":{"date-parts":[["2007"]]},"title":"Convention on the rights of persons with disabilities","type":"legislation"},"uris":["http://www.mendeley.com/documents/?uuid=0ed90bcf-91bd-45ac-b9f5-5a218b3467bc"]}],"mendeley":{"formattedCitation":"(5)","plainTextFormattedCitation":"(5)","previouslyFormattedCitation":"(5)"},"properties":{"noteIndex":0},"schema":"https://github.com/citation-style-language/schema/raw/master/csl-citation.json"}</w:instrText>
      </w:r>
      <w:r w:rsidRPr="006720E4">
        <w:rPr>
          <w:rFonts w:ascii="Calibri" w:hAnsi="Calibri" w:cs="Calibri"/>
          <w:i/>
          <w:iCs/>
          <w:sz w:val="22"/>
          <w:szCs w:val="22"/>
        </w:rPr>
        <w:fldChar w:fldCharType="separate"/>
      </w:r>
      <w:r w:rsidRPr="006720E4">
        <w:rPr>
          <w:rFonts w:ascii="Calibri" w:hAnsi="Calibri" w:cs="Calibri"/>
          <w:iCs/>
          <w:noProof/>
          <w:sz w:val="22"/>
          <w:szCs w:val="22"/>
        </w:rPr>
        <w:t>(5)</w:t>
      </w:r>
      <w:r w:rsidRPr="006720E4">
        <w:rPr>
          <w:rFonts w:ascii="Calibri" w:hAnsi="Calibri" w:cs="Calibri"/>
          <w:i/>
          <w:iCs/>
          <w:sz w:val="22"/>
          <w:szCs w:val="22"/>
        </w:rPr>
        <w:fldChar w:fldCharType="end"/>
      </w:r>
      <w:r w:rsidRPr="006720E4">
        <w:rPr>
          <w:rFonts w:ascii="Calibri" w:hAnsi="Calibri" w:cs="Calibri"/>
          <w:sz w:val="22"/>
          <w:szCs w:val="22"/>
        </w:rPr>
        <w:t xml:space="preserve"> and is particularly relevant for adults with a cognitive impairment. </w:t>
      </w:r>
    </w:p>
    <w:p w14:paraId="37EBF2AF" w14:textId="34DA39B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Rather than making decisions for a person with a cognitive impairment (i.e., substitute decision-making), the emphasis in supported decision-making is on tailoring support for an individual so that their decision-making autonomy is maintained to the maximum extent possible. </w:t>
      </w:r>
    </w:p>
    <w:p w14:paraId="71C9FA6A" w14:textId="32E560C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Support may be in the form of assistance provided by a trusted individual who assists a person to make decisions by collecting information, providing explanations, discussing options, and helping the individual to have their decision-making autonomy respected. Partners, close family members, friends or carers may act in this role for potential recipients or donors. This practical process of utilising different strategies to support a person to exercise their autonomy and make decisions already happens in many relationships in many aspects of life. In Victoria, the supporter role can be legally recognised through a formal appointment. </w:t>
      </w:r>
    </w:p>
    <w:p w14:paraId="6C98A25A" w14:textId="24BE5B5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supported decision-making approach should be tried before resorting to substitute decision-making on behalf of an adult.</w:t>
      </w:r>
    </w:p>
    <w:p w14:paraId="36993BA0" w14:textId="77777777" w:rsidR="006C6EBA" w:rsidRPr="006720E4" w:rsidRDefault="006C6EBA" w:rsidP="00EA22AE">
      <w:pPr>
        <w:pStyle w:val="Heading3"/>
        <w:spacing w:after="120"/>
      </w:pPr>
      <w:bookmarkStart w:id="1837" w:name="_Supporting_involvement_of_1"/>
      <w:bookmarkStart w:id="1838" w:name="_Toc72615217"/>
      <w:bookmarkStart w:id="1839" w:name="_Toc73129946"/>
      <w:bookmarkStart w:id="1840" w:name="_Toc73301821"/>
      <w:bookmarkStart w:id="1841" w:name="_Toc73302327"/>
      <w:bookmarkStart w:id="1842" w:name="_Toc73303460"/>
      <w:bookmarkStart w:id="1843" w:name="_Toc73303674"/>
      <w:bookmarkStart w:id="1844" w:name="_Toc74080791"/>
      <w:bookmarkStart w:id="1845" w:name="_Toc74081099"/>
      <w:bookmarkStart w:id="1846" w:name="_Toc74081329"/>
      <w:bookmarkStart w:id="1847" w:name="_Toc74081605"/>
      <w:bookmarkStart w:id="1848" w:name="_Toc74171160"/>
      <w:bookmarkStart w:id="1849" w:name="_Toc74172382"/>
      <w:bookmarkStart w:id="1850" w:name="_Toc74172918"/>
      <w:bookmarkStart w:id="1851" w:name="_Toc74238834"/>
      <w:bookmarkStart w:id="1852" w:name="_Toc79406363"/>
      <w:bookmarkStart w:id="1853" w:name="_Toc82773553"/>
      <w:bookmarkStart w:id="1854" w:name="_Toc82773906"/>
      <w:bookmarkEnd w:id="1837"/>
      <w:r w:rsidRPr="006720E4">
        <w:t>Involvement of children and adults who may lack capacity in decision-making</w:t>
      </w:r>
      <w:bookmarkEnd w:id="1832"/>
      <w:bookmarkEnd w:id="1833"/>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14:paraId="2F913661" w14:textId="273466C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Even when individuals do not meet the legal standard for capacity to consent, they should still be involved in decision-making as much as possible to promote their autonomy and understanding of the situation as it affects them and others. This also helps to ensure that decisions are made with consideration of their values, beliefs, and preferences.</w:t>
      </w:r>
    </w:p>
    <w:p w14:paraId="70DFE520" w14:textId="4F0C84A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Considering a child’s expressed wishes, if any, becomes particularly important as </w:t>
      </w:r>
      <w:r w:rsidR="0083113C">
        <w:rPr>
          <w:rFonts w:ascii="Calibri" w:hAnsi="Calibri" w:cs="Calibri"/>
          <w:sz w:val="22"/>
          <w:szCs w:val="22"/>
        </w:rPr>
        <w:t xml:space="preserve">a </w:t>
      </w:r>
      <w:r w:rsidRPr="006720E4">
        <w:rPr>
          <w:rFonts w:ascii="Calibri" w:hAnsi="Calibri" w:cs="Calibri"/>
          <w:sz w:val="22"/>
          <w:szCs w:val="22"/>
        </w:rPr>
        <w:t>child mature</w:t>
      </w:r>
      <w:r w:rsidR="0083113C">
        <w:rPr>
          <w:rFonts w:ascii="Calibri" w:hAnsi="Calibri" w:cs="Calibri"/>
          <w:sz w:val="22"/>
          <w:szCs w:val="22"/>
        </w:rPr>
        <w:t>s</w:t>
      </w:r>
      <w:r w:rsidRPr="006720E4">
        <w:rPr>
          <w:rFonts w:ascii="Calibri" w:hAnsi="Calibri" w:cs="Calibri"/>
          <w:sz w:val="22"/>
          <w:szCs w:val="22"/>
        </w:rPr>
        <w:t xml:space="preserve"> and they develop a greater capacity for understanding and a clearer appreciation of the significance of these decisions. As they mature, children may play an increasingly important role in making decisions that affect them.</w:t>
      </w:r>
    </w:p>
    <w:p w14:paraId="5865FE2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Efforts should be made to ensure that information about donation or transplantation is provided to children and adults who may lack capacity that is appropriate for their level of potential understanding. Particular communication strategies may be needed to support their understanding </w:t>
      </w:r>
      <w:r w:rsidRPr="006720E4">
        <w:rPr>
          <w:rFonts w:ascii="Calibri" w:hAnsi="Calibri" w:cs="Calibri"/>
          <w:sz w:val="22"/>
          <w:szCs w:val="22"/>
        </w:rPr>
        <w:lastRenderedPageBreak/>
        <w:t>and assistance should be sought from appropriately qualified health professionals in developing strategies or resources as needed.</w:t>
      </w:r>
    </w:p>
    <w:p w14:paraId="5BD4E06F" w14:textId="77777777" w:rsidR="006C6EBA" w:rsidRPr="006720E4" w:rsidRDefault="006C6EBA" w:rsidP="00EA22AE">
      <w:pPr>
        <w:pStyle w:val="Heading4"/>
        <w:spacing w:after="120"/>
      </w:pPr>
      <w:bookmarkStart w:id="1855" w:name="_The_importance_of"/>
      <w:bookmarkStart w:id="1856" w:name="_Toc70538907"/>
      <w:bookmarkStart w:id="1857" w:name="_Toc72615218"/>
      <w:bookmarkStart w:id="1858" w:name="_Toc73129947"/>
      <w:bookmarkStart w:id="1859" w:name="_Toc73301822"/>
      <w:bookmarkStart w:id="1860" w:name="_Toc73302328"/>
      <w:bookmarkStart w:id="1861" w:name="_Toc73303461"/>
      <w:bookmarkStart w:id="1862" w:name="_Toc73303675"/>
      <w:bookmarkStart w:id="1863" w:name="_Toc74080792"/>
      <w:bookmarkStart w:id="1864" w:name="_Toc74081100"/>
      <w:bookmarkStart w:id="1865" w:name="_Toc74081330"/>
      <w:bookmarkStart w:id="1866" w:name="_Toc74081606"/>
      <w:bookmarkStart w:id="1867" w:name="_Toc74171161"/>
      <w:bookmarkStart w:id="1868" w:name="_Toc74172383"/>
      <w:bookmarkStart w:id="1869" w:name="_Toc74172919"/>
      <w:bookmarkStart w:id="1870" w:name="_Toc74238835"/>
      <w:bookmarkStart w:id="1871" w:name="_Toc82773554"/>
      <w:bookmarkStart w:id="1872" w:name="_Toc82773907"/>
      <w:bookmarkEnd w:id="1855"/>
      <w:r w:rsidRPr="006720E4">
        <w:t>The importance of assent</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14:paraId="10B2E53C" w14:textId="664E79F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Attempts should always be made to obtain </w:t>
      </w:r>
      <w:hyperlink w:anchor="_Glossary_2" w:history="1">
        <w:r w:rsidRPr="0028232A">
          <w:rPr>
            <w:rStyle w:val="Hyperlink"/>
            <w:rFonts w:ascii="Calibri" w:hAnsi="Calibri" w:cs="Calibri"/>
            <w:b/>
            <w:bCs/>
            <w:sz w:val="22"/>
            <w:szCs w:val="22"/>
          </w:rPr>
          <w:t>assent</w:t>
        </w:r>
      </w:hyperlink>
      <w:r w:rsidRPr="006720E4">
        <w:rPr>
          <w:rFonts w:ascii="Calibri" w:hAnsi="Calibri" w:cs="Calibri"/>
          <w:sz w:val="22"/>
          <w:szCs w:val="22"/>
        </w:rPr>
        <w:t xml:space="preserve"> to donation or transplantation from a child or adult lacking capacity. It is recognised that for infants and young children and adults with severe cognitive impairments this may not be possible. </w:t>
      </w:r>
    </w:p>
    <w:p w14:paraId="3A10D948" w14:textId="77777777" w:rsidR="006C6EBA" w:rsidRPr="006720E4" w:rsidRDefault="006C6EBA" w:rsidP="00EA22AE">
      <w:pPr>
        <w:spacing w:after="120"/>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6C6EBA" w:rsidRPr="006720E4" w14:paraId="33823F91" w14:textId="77777777">
        <w:tc>
          <w:tcPr>
            <w:tcW w:w="9010" w:type="dxa"/>
            <w:shd w:val="clear" w:color="auto" w:fill="E7E6E6" w:themeFill="background2"/>
          </w:tcPr>
          <w:p w14:paraId="336C789F" w14:textId="77777777"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What is assent?</w:t>
            </w:r>
          </w:p>
          <w:p w14:paraId="635C40F4" w14:textId="15BC846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Assent is a positive expression of agreement, and not merely the absence of an expressed refusal or objection, from a person who lacks capacity to provide consent.</w:t>
            </w:r>
          </w:p>
          <w:p w14:paraId="6534BEA2" w14:textId="4CF36D4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example, assent from a potential transplant recipient who lacks capacity indicates an agreement to take part in an intervention, in circumstances where obtaining legally valid consent is not possible due to the child’s or adult’s level of decision-making capacity.</w:t>
            </w:r>
          </w:p>
        </w:tc>
      </w:tr>
    </w:tbl>
    <w:p w14:paraId="26CD7B0A" w14:textId="77777777" w:rsidR="006C6EBA" w:rsidRPr="006720E4" w:rsidRDefault="006C6EBA" w:rsidP="00EA22AE">
      <w:pPr>
        <w:spacing w:after="120"/>
        <w:rPr>
          <w:rFonts w:ascii="Calibri" w:hAnsi="Calibri" w:cs="Calibri"/>
          <w:sz w:val="22"/>
          <w:szCs w:val="22"/>
        </w:rPr>
      </w:pPr>
    </w:p>
    <w:p w14:paraId="33F5EE8C" w14:textId="7793619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Attention should also be paid to any signs of objection or </w:t>
      </w:r>
      <w:hyperlink w:anchor="_Glossary_2" w:history="1">
        <w:r w:rsidRPr="006720E4">
          <w:rPr>
            <w:rStyle w:val="Hyperlink"/>
            <w:rFonts w:ascii="Calibri" w:hAnsi="Calibri" w:cs="Calibri"/>
            <w:b/>
            <w:bCs/>
            <w:sz w:val="22"/>
            <w:szCs w:val="22"/>
          </w:rPr>
          <w:t>dissent</w:t>
        </w:r>
      </w:hyperlink>
      <w:r w:rsidRPr="006720E4">
        <w:rPr>
          <w:rFonts w:ascii="Calibri" w:hAnsi="Calibri" w:cs="Calibri"/>
          <w:sz w:val="22"/>
          <w:szCs w:val="22"/>
        </w:rPr>
        <w:t xml:space="preserve"> from a child or adult lacking decision-making capacity with regards to undergoing a clinical procedure, particularly in the context of donation. Managing dissent when a parent or substitute decision-maker has provided legally valid consent for a procedure can present ethical challenges for health professionals. Usually, objections by potential donors should be respected given the non-therapeutic nature of the intervention; this is discussed further </w:t>
      </w:r>
      <w:bookmarkStart w:id="1873" w:name="_Toc70328773"/>
      <w:bookmarkStart w:id="1874" w:name="_Toc70334003"/>
      <w:bookmarkStart w:id="1875" w:name="_Toc70414959"/>
      <w:bookmarkStart w:id="1876" w:name="_Toc63683488"/>
      <w:bookmarkStart w:id="1877" w:name="_Toc70241836"/>
      <w:bookmarkStart w:id="1878" w:name="_Toc70243471"/>
      <w:r w:rsidRPr="006720E4">
        <w:rPr>
          <w:rFonts w:ascii="Calibri" w:hAnsi="Calibri" w:cs="Calibri"/>
          <w:sz w:val="22"/>
          <w:szCs w:val="22"/>
        </w:rPr>
        <w:t xml:space="preserve">in </w:t>
      </w:r>
      <w:hyperlink w:anchor="_Assent_for_living" w:history="1">
        <w:r w:rsidRPr="006720E4">
          <w:rPr>
            <w:rStyle w:val="Hyperlink"/>
            <w:rFonts w:ascii="Calibri" w:hAnsi="Calibri" w:cs="Calibri"/>
            <w:sz w:val="22"/>
            <w:szCs w:val="22"/>
          </w:rPr>
          <w:t xml:space="preserve">Chapter </w:t>
        </w:r>
        <w:r w:rsidR="00C10FEF">
          <w:rPr>
            <w:rStyle w:val="Hyperlink"/>
            <w:rFonts w:ascii="Calibri" w:hAnsi="Calibri" w:cs="Calibri"/>
            <w:sz w:val="22"/>
            <w:szCs w:val="22"/>
          </w:rPr>
          <w:t>5</w:t>
        </w:r>
        <w:r w:rsidRPr="006720E4">
          <w:rPr>
            <w:rStyle w:val="Hyperlink"/>
            <w:rFonts w:ascii="Calibri" w:hAnsi="Calibri" w:cs="Calibri"/>
            <w:sz w:val="22"/>
            <w:szCs w:val="22"/>
          </w:rPr>
          <w:t>.5.2.4</w:t>
        </w:r>
      </w:hyperlink>
      <w:r w:rsidRPr="006720E4">
        <w:rPr>
          <w:rFonts w:ascii="Calibri" w:hAnsi="Calibri" w:cs="Calibri"/>
          <w:sz w:val="22"/>
          <w:szCs w:val="22"/>
        </w:rPr>
        <w:t>.</w:t>
      </w:r>
    </w:p>
    <w:p w14:paraId="7CCD485F" w14:textId="77777777" w:rsidR="006C6EBA" w:rsidRPr="006720E4" w:rsidRDefault="006C6EBA" w:rsidP="00EA22AE">
      <w:pPr>
        <w:pStyle w:val="Heading2"/>
        <w:spacing w:after="120"/>
      </w:pPr>
      <w:bookmarkStart w:id="1879" w:name="_Substitute_decision-making_and"/>
      <w:bookmarkStart w:id="1880" w:name="_Toc79330854"/>
      <w:bookmarkStart w:id="1881" w:name="_Toc79331234"/>
      <w:bookmarkStart w:id="1882" w:name="_Toc79406364"/>
      <w:bookmarkStart w:id="1883" w:name="_Toc82773555"/>
      <w:bookmarkStart w:id="1884" w:name="_Toc82773908"/>
      <w:bookmarkStart w:id="1885" w:name="_Toc128314203"/>
      <w:bookmarkStart w:id="1886" w:name="_Toc135131447"/>
      <w:bookmarkStart w:id="1887" w:name="_Toc70538908"/>
      <w:bookmarkStart w:id="1888" w:name="_Toc70539580"/>
      <w:bookmarkStart w:id="1889" w:name="_Toc73129948"/>
      <w:bookmarkStart w:id="1890" w:name="_Toc73301823"/>
      <w:bookmarkStart w:id="1891" w:name="_Toc73302329"/>
      <w:bookmarkStart w:id="1892" w:name="_Toc73303462"/>
      <w:bookmarkStart w:id="1893" w:name="_Toc73303676"/>
      <w:bookmarkStart w:id="1894" w:name="_Toc74080793"/>
      <w:bookmarkStart w:id="1895" w:name="_Toc74081101"/>
      <w:bookmarkStart w:id="1896" w:name="_Toc74081331"/>
      <w:bookmarkStart w:id="1897" w:name="_Toc74081607"/>
      <w:bookmarkStart w:id="1898" w:name="_Toc74171162"/>
      <w:bookmarkStart w:id="1899" w:name="_Toc74172384"/>
      <w:bookmarkStart w:id="1900" w:name="_Toc74172920"/>
      <w:bookmarkStart w:id="1901" w:name="_Toc74238836"/>
      <w:bookmarkStart w:id="1902" w:name="_Toc78304801"/>
      <w:bookmarkStart w:id="1903" w:name="_Toc72615219"/>
      <w:bookmarkEnd w:id="1879"/>
      <w:r w:rsidRPr="006720E4">
        <w:t>Substitute decision-making and medical treatment laws</w:t>
      </w:r>
      <w:bookmarkEnd w:id="1880"/>
      <w:bookmarkEnd w:id="1881"/>
      <w:bookmarkEnd w:id="1882"/>
      <w:bookmarkEnd w:id="1883"/>
      <w:bookmarkEnd w:id="1884"/>
      <w:bookmarkEnd w:id="1885"/>
      <w:bookmarkEnd w:id="1886"/>
    </w:p>
    <w:bookmarkEnd w:id="1873"/>
    <w:bookmarkEnd w:id="1874"/>
    <w:bookmarkEnd w:id="1875"/>
    <w:bookmarkEnd w:id="1876"/>
    <w:bookmarkEnd w:id="1877"/>
    <w:bookmarkEnd w:id="1878"/>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14:paraId="6A5E6AB5" w14:textId="0733802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Legislation governing how decisions can be made for medical treatment on behalf of adults who lack decision-making capacity to consent themselves is complex and differs across Australia. Laws also exist regarding decision-making on behalf of children who are legal minors (usually &lt;18 years old). </w:t>
      </w:r>
      <w:r w:rsidRPr="00520A86">
        <w:rPr>
          <w:rFonts w:ascii="Calibri" w:hAnsi="Calibri" w:cs="Calibri"/>
          <w:b/>
          <w:bCs/>
          <w:sz w:val="22"/>
          <w:szCs w:val="22"/>
        </w:rPr>
        <w:t xml:space="preserve">Table </w:t>
      </w:r>
      <w:r w:rsidR="002E55B2" w:rsidRPr="00520A86">
        <w:rPr>
          <w:rFonts w:ascii="Calibri" w:hAnsi="Calibri" w:cs="Calibri"/>
          <w:b/>
          <w:bCs/>
          <w:sz w:val="22"/>
          <w:szCs w:val="22"/>
        </w:rPr>
        <w:t>5</w:t>
      </w:r>
      <w:r w:rsidRPr="00520A86">
        <w:rPr>
          <w:rFonts w:ascii="Calibri" w:hAnsi="Calibri" w:cs="Calibri"/>
          <w:b/>
          <w:bCs/>
          <w:sz w:val="22"/>
          <w:szCs w:val="22"/>
        </w:rPr>
        <w:t>.1</w:t>
      </w:r>
      <w:r w:rsidRPr="006720E4">
        <w:rPr>
          <w:rFonts w:ascii="Calibri" w:hAnsi="Calibri" w:cs="Calibri"/>
          <w:sz w:val="22"/>
          <w:szCs w:val="22"/>
        </w:rPr>
        <w:t xml:space="preserve"> summarises the relevant legislation.</w:t>
      </w:r>
    </w:p>
    <w:p w14:paraId="433087E2" w14:textId="3261F8F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Different terminology for substitute decision-makers or documents exists across States and Territories. This section provides a brief overview of legislation relevant to when a transplantation or donation decision needs to be made on behalf of an adult lacking decision-making capacity or a child.</w:t>
      </w:r>
      <w:bookmarkStart w:id="1904" w:name="_Mechanisms_of_substitute"/>
      <w:bookmarkStart w:id="1905" w:name="_Toc70414823"/>
      <w:bookmarkStart w:id="1906" w:name="_Toc70844149"/>
      <w:bookmarkStart w:id="1907" w:name="_Toc72615081"/>
      <w:bookmarkStart w:id="1908" w:name="_Toc73129801"/>
      <w:bookmarkStart w:id="1909" w:name="_Toc73301670"/>
      <w:bookmarkStart w:id="1910" w:name="_Toc73302176"/>
      <w:bookmarkStart w:id="1911" w:name="_Toc73303309"/>
      <w:bookmarkStart w:id="1912" w:name="_Toc74081454"/>
      <w:bookmarkStart w:id="1913" w:name="_Toc74172231"/>
      <w:bookmarkStart w:id="1914" w:name="_Toc74172767"/>
      <w:bookmarkEnd w:id="1904"/>
      <w:r w:rsidRPr="006720E4">
        <w:rPr>
          <w:rFonts w:ascii="Calibri" w:hAnsi="Calibri" w:cs="Calibri"/>
          <w:sz w:val="22"/>
          <w:szCs w:val="22"/>
        </w:rPr>
        <w:t xml:space="preserve"> There may be additional requirements for substitute decision-makers and the need for independent legal oversight in relation to donation decisions on behalf of adults lacking decision-making capacity. These are discussed in detail in </w:t>
      </w:r>
      <w:hyperlink w:anchor="_Legal_aspects_of" w:history="1">
        <w:r w:rsidRPr="006720E4">
          <w:rPr>
            <w:rStyle w:val="Hyperlink"/>
            <w:rFonts w:ascii="Calibri" w:hAnsi="Calibri" w:cs="Calibri"/>
            <w:sz w:val="22"/>
            <w:szCs w:val="22"/>
          </w:rPr>
          <w:t xml:space="preserve">Chapter </w:t>
        </w:r>
        <w:r w:rsidR="00C10FEF">
          <w:rPr>
            <w:rStyle w:val="Hyperlink"/>
            <w:rFonts w:ascii="Calibri" w:hAnsi="Calibri" w:cs="Calibri"/>
            <w:sz w:val="22"/>
            <w:szCs w:val="22"/>
          </w:rPr>
          <w:t>5</w:t>
        </w:r>
        <w:r w:rsidRPr="006720E4">
          <w:rPr>
            <w:rStyle w:val="Hyperlink"/>
            <w:rFonts w:ascii="Calibri" w:hAnsi="Calibri" w:cs="Calibri"/>
            <w:sz w:val="22"/>
            <w:szCs w:val="22"/>
          </w:rPr>
          <w:t>.5.1</w:t>
        </w:r>
      </w:hyperlink>
      <w:r w:rsidRPr="006720E4">
        <w:rPr>
          <w:rFonts w:ascii="Calibri" w:hAnsi="Calibri" w:cs="Calibri"/>
          <w:sz w:val="22"/>
          <w:szCs w:val="22"/>
        </w:rPr>
        <w:t xml:space="preserve">.  </w:t>
      </w:r>
    </w:p>
    <w:p w14:paraId="37D9B2AF" w14:textId="5A7C03C1" w:rsidR="006C6EBA" w:rsidRDefault="006C6EBA" w:rsidP="00EA22AE">
      <w:pPr>
        <w:spacing w:after="120"/>
        <w:rPr>
          <w:rFonts w:ascii="Calibri" w:hAnsi="Calibri" w:cs="Calibri"/>
          <w:sz w:val="22"/>
          <w:szCs w:val="22"/>
        </w:rPr>
      </w:pPr>
      <w:r w:rsidRPr="006720E4">
        <w:rPr>
          <w:rFonts w:ascii="Calibri" w:hAnsi="Calibri" w:cs="Calibri"/>
          <w:sz w:val="22"/>
          <w:szCs w:val="22"/>
        </w:rPr>
        <w:t xml:space="preserve">Ethical concepts underpinning approaches to substitute decision-making on behalf of children and adults lacking decision-making capacity are outlined in </w:t>
      </w:r>
      <w:hyperlink w:anchor="_Children:_Best_interests" w:history="1">
        <w:r w:rsidRPr="006720E4">
          <w:rPr>
            <w:rStyle w:val="Hyperlink"/>
            <w:rFonts w:ascii="Calibri" w:hAnsi="Calibri" w:cs="Calibri"/>
            <w:sz w:val="22"/>
            <w:szCs w:val="22"/>
          </w:rPr>
          <w:t xml:space="preserve">Chapter </w:t>
        </w:r>
        <w:r w:rsidR="002E55B2">
          <w:rPr>
            <w:rStyle w:val="Hyperlink"/>
            <w:rFonts w:ascii="Calibri" w:hAnsi="Calibri" w:cs="Calibri"/>
            <w:sz w:val="22"/>
            <w:szCs w:val="22"/>
          </w:rPr>
          <w:t>5</w:t>
        </w:r>
        <w:r w:rsidRPr="006720E4">
          <w:rPr>
            <w:rStyle w:val="Hyperlink"/>
            <w:rFonts w:ascii="Calibri" w:hAnsi="Calibri" w:cs="Calibri"/>
            <w:sz w:val="22"/>
            <w:szCs w:val="22"/>
          </w:rPr>
          <w:t>.3</w:t>
        </w:r>
      </w:hyperlink>
      <w:r w:rsidRPr="006720E4">
        <w:rPr>
          <w:rFonts w:ascii="Calibri" w:hAnsi="Calibri" w:cs="Calibri"/>
          <w:sz w:val="22"/>
          <w:szCs w:val="22"/>
        </w:rPr>
        <w:t>.</w:t>
      </w:r>
    </w:p>
    <w:p w14:paraId="2E5ED685" w14:textId="77777777" w:rsidR="00520A86" w:rsidRPr="006720E4" w:rsidRDefault="00520A86" w:rsidP="00EA22AE">
      <w:pPr>
        <w:spacing w:after="120"/>
        <w:rPr>
          <w:rFonts w:ascii="Calibri" w:hAnsi="Calibri" w:cs="Calibri"/>
          <w:sz w:val="22"/>
          <w:szCs w:val="22"/>
        </w:rPr>
      </w:pPr>
    </w:p>
    <w:tbl>
      <w:tblPr>
        <w:tblW w:w="0" w:type="auto"/>
        <w:jc w:val="center"/>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3773"/>
        <w:gridCol w:w="5187"/>
      </w:tblGrid>
      <w:tr w:rsidR="00520A86" w:rsidRPr="007E1B57" w14:paraId="4CF9DCBD" w14:textId="77777777">
        <w:trPr>
          <w:jc w:val="center"/>
        </w:trPr>
        <w:tc>
          <w:tcPr>
            <w:tcW w:w="8960" w:type="dxa"/>
            <w:gridSpan w:val="2"/>
            <w:tcBorders>
              <w:top w:val="single" w:sz="4" w:space="0" w:color="auto"/>
              <w:bottom w:val="single" w:sz="4" w:space="0" w:color="auto"/>
            </w:tcBorders>
            <w:shd w:val="clear" w:color="auto" w:fill="E7E6E6"/>
            <w:tcMar>
              <w:top w:w="100" w:type="nil"/>
              <w:right w:w="100" w:type="nil"/>
            </w:tcMar>
          </w:tcPr>
          <w:p w14:paraId="3419630E" w14:textId="59E75DCC" w:rsidR="00520A86" w:rsidRPr="00457B3B" w:rsidRDefault="00520A86" w:rsidP="00EA22AE">
            <w:pPr>
              <w:pStyle w:val="Guidelinesnormalparagraph"/>
              <w:rPr>
                <w:rFonts w:ascii="Calibri" w:hAnsi="Calibri" w:cs="Calibri"/>
                <w:b/>
                <w:bCs/>
                <w:kern w:val="0"/>
                <w:sz w:val="24"/>
                <w:u w:color="0000FF"/>
                <w:lang w:val="en-GB"/>
              </w:rPr>
            </w:pPr>
            <w:r w:rsidRPr="00A9455B">
              <w:rPr>
                <w:rFonts w:ascii="Calibri" w:hAnsi="Calibri" w:cs="Calibri"/>
                <w:b/>
                <w:bCs/>
                <w:kern w:val="0"/>
                <w:sz w:val="24"/>
                <w:u w:color="0000FF"/>
                <w:lang w:val="en-GB"/>
              </w:rPr>
              <w:t xml:space="preserve">Table </w:t>
            </w:r>
            <w:r w:rsidRPr="00457B3B">
              <w:rPr>
                <w:rFonts w:ascii="Calibri" w:hAnsi="Calibri" w:cs="Calibri"/>
                <w:b/>
                <w:bCs/>
                <w:kern w:val="0"/>
                <w:sz w:val="24"/>
                <w:u w:color="0000FF"/>
                <w:lang w:val="en-GB"/>
              </w:rPr>
              <w:t>5.1 - Substitute decision-making and medical treatment legislation</w:t>
            </w:r>
          </w:p>
        </w:tc>
      </w:tr>
      <w:tr w:rsidR="00520A86" w:rsidRPr="007E1B57" w14:paraId="0E4B91E2" w14:textId="77777777">
        <w:tblPrEx>
          <w:tblBorders>
            <w:top w:val="none" w:sz="0" w:space="0" w:color="auto"/>
          </w:tblBorders>
        </w:tblPrEx>
        <w:trPr>
          <w:jc w:val="center"/>
        </w:trPr>
        <w:tc>
          <w:tcPr>
            <w:tcW w:w="3773" w:type="dxa"/>
            <w:tcBorders>
              <w:top w:val="single" w:sz="4" w:space="0" w:color="auto"/>
              <w:bottom w:val="single" w:sz="4" w:space="0" w:color="auto"/>
              <w:right w:val="single" w:sz="4" w:space="0" w:color="auto"/>
            </w:tcBorders>
            <w:tcMar>
              <w:top w:w="100" w:type="nil"/>
              <w:right w:w="100" w:type="nil"/>
            </w:tcMar>
          </w:tcPr>
          <w:p w14:paraId="28961188"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ACT Guardianship and Management of Property Act 1991</w:t>
            </w:r>
          </w:p>
          <w:p w14:paraId="202B6434"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ACT Medical Treatment (Health Directions) Act 2006</w:t>
            </w:r>
          </w:p>
          <w:p w14:paraId="3BAFD18B"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ACT Powers of Attorney Act 2006</w:t>
            </w:r>
          </w:p>
        </w:tc>
        <w:tc>
          <w:tcPr>
            <w:tcW w:w="5187" w:type="dxa"/>
            <w:tcBorders>
              <w:top w:val="single" w:sz="4" w:space="0" w:color="auto"/>
              <w:left w:val="single" w:sz="4" w:space="0" w:color="auto"/>
              <w:bottom w:val="single" w:sz="4" w:space="0" w:color="auto"/>
            </w:tcBorders>
            <w:tcMar>
              <w:top w:w="100" w:type="nil"/>
              <w:right w:w="100" w:type="nil"/>
            </w:tcMar>
          </w:tcPr>
          <w:p w14:paraId="6306933E"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https:/</w:t>
            </w:r>
            <w:hyperlink r:id="rId67" w:history="1">
              <w:r w:rsidRPr="007E1B57">
                <w:rPr>
                  <w:rFonts w:ascii="Calibri" w:hAnsi="Calibri" w:cs="Calibri"/>
                  <w:color w:val="0000FF"/>
                  <w:kern w:val="0"/>
                  <w:szCs w:val="22"/>
                  <w:u w:val="single" w:color="0000FF"/>
                  <w:lang w:val="en-GB"/>
                </w:rPr>
                <w:t>/w</w:t>
              </w:r>
            </w:hyperlink>
            <w:r w:rsidRPr="007E1B57">
              <w:rPr>
                <w:rFonts w:ascii="Calibri" w:hAnsi="Calibri" w:cs="Calibri"/>
                <w:kern w:val="0"/>
                <w:szCs w:val="22"/>
                <w:u w:color="0000FF"/>
                <w:lang w:val="en-GB"/>
              </w:rPr>
              <w:t>w</w:t>
            </w:r>
            <w:hyperlink r:id="rId68" w:history="1">
              <w:r w:rsidRPr="007E1B57">
                <w:rPr>
                  <w:rFonts w:ascii="Calibri" w:hAnsi="Calibri" w:cs="Calibri"/>
                  <w:color w:val="0000FF"/>
                  <w:kern w:val="0"/>
                  <w:szCs w:val="22"/>
                  <w:u w:val="single" w:color="0000FF"/>
                  <w:lang w:val="en-GB"/>
                </w:rPr>
                <w:t>w.legislation.act.gov.au/a/1991-62/</w:t>
              </w:r>
            </w:hyperlink>
            <w:r w:rsidRPr="007E1B57">
              <w:rPr>
                <w:rFonts w:ascii="Calibri" w:hAnsi="Calibri" w:cs="Calibri"/>
                <w:kern w:val="0"/>
                <w:szCs w:val="22"/>
                <w:u w:color="0000FF"/>
                <w:lang w:val="en-GB"/>
              </w:rPr>
              <w:t xml:space="preserve"> </w:t>
            </w:r>
            <w:hyperlink r:id="rId69" w:history="1">
              <w:r w:rsidRPr="007E1B57">
                <w:rPr>
                  <w:rFonts w:ascii="Calibri" w:hAnsi="Calibri" w:cs="Calibri"/>
                  <w:color w:val="0000FF"/>
                  <w:kern w:val="0"/>
                  <w:szCs w:val="22"/>
                  <w:u w:val="single" w:color="0000FF"/>
                  <w:lang w:val="en-GB"/>
                </w:rPr>
                <w:t>https://www.legislation.act.gov.au/a/2006-51/</w:t>
              </w:r>
            </w:hyperlink>
            <w:r w:rsidRPr="007E1B57">
              <w:rPr>
                <w:rFonts w:ascii="Calibri" w:hAnsi="Calibri" w:cs="Calibri"/>
                <w:kern w:val="0"/>
                <w:szCs w:val="22"/>
                <w:u w:color="0000FF"/>
                <w:lang w:val="en-GB"/>
              </w:rPr>
              <w:t xml:space="preserve"> </w:t>
            </w:r>
            <w:hyperlink r:id="rId70" w:history="1">
              <w:r w:rsidRPr="007E1B57">
                <w:rPr>
                  <w:rFonts w:ascii="Calibri" w:hAnsi="Calibri" w:cs="Calibri"/>
                  <w:color w:val="0000FF"/>
                  <w:kern w:val="0"/>
                  <w:szCs w:val="22"/>
                  <w:u w:val="single" w:color="0000FF"/>
                  <w:lang w:val="en-GB"/>
                </w:rPr>
                <w:t>https://www.legislation.act.gov.au/a/2006-50/</w:t>
              </w:r>
            </w:hyperlink>
          </w:p>
        </w:tc>
      </w:tr>
      <w:tr w:rsidR="00520A86" w:rsidRPr="00654FE7" w14:paraId="7B1DDE0E" w14:textId="77777777">
        <w:tblPrEx>
          <w:tblBorders>
            <w:top w:val="none" w:sz="0" w:space="0" w:color="auto"/>
          </w:tblBorders>
        </w:tblPrEx>
        <w:trPr>
          <w:jc w:val="center"/>
        </w:trPr>
        <w:tc>
          <w:tcPr>
            <w:tcW w:w="3773" w:type="dxa"/>
            <w:tcBorders>
              <w:top w:val="single" w:sz="4" w:space="0" w:color="auto"/>
              <w:bottom w:val="single" w:sz="4" w:space="0" w:color="auto"/>
              <w:right w:val="single" w:sz="4" w:space="0" w:color="auto"/>
            </w:tcBorders>
            <w:tcMar>
              <w:top w:w="100" w:type="nil"/>
              <w:right w:w="100" w:type="nil"/>
            </w:tcMar>
          </w:tcPr>
          <w:p w14:paraId="04285536"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NSW Guardianship Act 1987</w:t>
            </w:r>
          </w:p>
        </w:tc>
        <w:tc>
          <w:tcPr>
            <w:tcW w:w="5187" w:type="dxa"/>
            <w:tcBorders>
              <w:top w:val="single" w:sz="4" w:space="0" w:color="auto"/>
              <w:left w:val="single" w:sz="4" w:space="0" w:color="auto"/>
              <w:bottom w:val="single" w:sz="4" w:space="0" w:color="auto"/>
            </w:tcBorders>
            <w:tcMar>
              <w:top w:w="100" w:type="nil"/>
              <w:right w:w="100" w:type="nil"/>
            </w:tcMar>
          </w:tcPr>
          <w:p w14:paraId="1A599E62" w14:textId="77777777" w:rsidR="00520A86" w:rsidRPr="000E3990" w:rsidRDefault="00000000" w:rsidP="00EA22AE">
            <w:pPr>
              <w:pStyle w:val="Guidelinesnormalparagraph"/>
              <w:rPr>
                <w:rFonts w:ascii="Calibri" w:hAnsi="Calibri" w:cs="Calibri"/>
                <w:kern w:val="0"/>
                <w:szCs w:val="22"/>
                <w:u w:color="0000FF"/>
                <w:lang w:val="fr-FR"/>
              </w:rPr>
            </w:pPr>
            <w:hyperlink r:id="rId71" w:history="1">
              <w:r w:rsidR="00520A86" w:rsidRPr="000E3990">
                <w:rPr>
                  <w:rFonts w:ascii="Calibri" w:hAnsi="Calibri" w:cs="Calibri"/>
                  <w:color w:val="0000FF"/>
                  <w:kern w:val="0"/>
                  <w:szCs w:val="22"/>
                  <w:u w:val="single" w:color="0000FF"/>
                  <w:lang w:val="fr-FR"/>
                </w:rPr>
                <w:t>https://legislation.nsw.gov.au/view/html/inforce/current/ac</w:t>
              </w:r>
            </w:hyperlink>
            <w:r w:rsidR="00520A86" w:rsidRPr="000E3990">
              <w:rPr>
                <w:rFonts w:ascii="Calibri" w:hAnsi="Calibri" w:cs="Calibri"/>
                <w:kern w:val="0"/>
                <w:szCs w:val="22"/>
                <w:u w:color="0000FF"/>
                <w:lang w:val="fr-FR"/>
              </w:rPr>
              <w:t xml:space="preserve"> </w:t>
            </w:r>
            <w:hyperlink r:id="rId72" w:history="1">
              <w:r w:rsidR="00520A86" w:rsidRPr="000E3990">
                <w:rPr>
                  <w:rFonts w:ascii="Calibri" w:hAnsi="Calibri" w:cs="Calibri"/>
                  <w:color w:val="0000FF"/>
                  <w:kern w:val="0"/>
                  <w:szCs w:val="22"/>
                  <w:u w:val="single" w:color="0000FF"/>
                  <w:lang w:val="fr-FR"/>
                </w:rPr>
                <w:t>t-1987-257</w:t>
              </w:r>
            </w:hyperlink>
          </w:p>
        </w:tc>
      </w:tr>
      <w:tr w:rsidR="00520A86" w:rsidRPr="007E1B57" w14:paraId="4884E720" w14:textId="77777777">
        <w:tblPrEx>
          <w:tblBorders>
            <w:top w:val="none" w:sz="0" w:space="0" w:color="auto"/>
          </w:tblBorders>
        </w:tblPrEx>
        <w:trPr>
          <w:jc w:val="center"/>
        </w:trPr>
        <w:tc>
          <w:tcPr>
            <w:tcW w:w="3773" w:type="dxa"/>
            <w:tcBorders>
              <w:top w:val="single" w:sz="4" w:space="0" w:color="auto"/>
              <w:bottom w:val="single" w:sz="4" w:space="0" w:color="auto"/>
              <w:right w:val="single" w:sz="4" w:space="0" w:color="auto"/>
            </w:tcBorders>
            <w:tcMar>
              <w:top w:w="100" w:type="nil"/>
              <w:right w:w="100" w:type="nil"/>
            </w:tcMar>
          </w:tcPr>
          <w:p w14:paraId="43DCB1BA"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lastRenderedPageBreak/>
              <w:t>NT Guardianship of Adults Act 2016</w:t>
            </w:r>
          </w:p>
          <w:p w14:paraId="049B031E"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NT Advance Personal Planning Act 2013</w:t>
            </w:r>
          </w:p>
        </w:tc>
        <w:tc>
          <w:tcPr>
            <w:tcW w:w="5187" w:type="dxa"/>
            <w:tcBorders>
              <w:top w:val="single" w:sz="4" w:space="0" w:color="auto"/>
              <w:left w:val="single" w:sz="4" w:space="0" w:color="auto"/>
              <w:bottom w:val="single" w:sz="4" w:space="0" w:color="auto"/>
            </w:tcBorders>
            <w:tcMar>
              <w:top w:w="100" w:type="nil"/>
              <w:right w:w="100" w:type="nil"/>
            </w:tcMar>
          </w:tcPr>
          <w:p w14:paraId="49D34182" w14:textId="77777777" w:rsidR="00520A86" w:rsidRPr="00A9455B" w:rsidRDefault="00000000" w:rsidP="00EA22AE">
            <w:pPr>
              <w:pStyle w:val="Guidelinesnormalparagraph"/>
              <w:rPr>
                <w:rFonts w:ascii="Calibri" w:hAnsi="Calibri" w:cs="Calibri"/>
                <w:color w:val="0000FF"/>
                <w:kern w:val="0"/>
                <w:szCs w:val="22"/>
                <w:u w:val="single" w:color="0000FF"/>
                <w:lang w:val="en-GB"/>
              </w:rPr>
            </w:pPr>
            <w:hyperlink r:id="rId73" w:history="1">
              <w:r w:rsidR="00520A86" w:rsidRPr="007E1B57">
                <w:rPr>
                  <w:rFonts w:ascii="Calibri" w:hAnsi="Calibri" w:cs="Calibri"/>
                  <w:color w:val="0000FF"/>
                  <w:kern w:val="0"/>
                  <w:szCs w:val="22"/>
                  <w:u w:val="single" w:color="0000FF"/>
                  <w:lang w:val="en-GB"/>
                </w:rPr>
                <w:t>https://legislation.nt.gov.au/Legislation/GUARDIANSHIP-OF-</w:t>
              </w:r>
            </w:hyperlink>
            <w:hyperlink r:id="rId74" w:history="1">
              <w:r w:rsidR="00520A86" w:rsidRPr="007E1B57">
                <w:rPr>
                  <w:rFonts w:ascii="Calibri" w:hAnsi="Calibri" w:cs="Calibri"/>
                  <w:color w:val="0000FF"/>
                  <w:kern w:val="0"/>
                  <w:szCs w:val="22"/>
                  <w:u w:val="single" w:color="0000FF"/>
                  <w:lang w:val="en-GB"/>
                </w:rPr>
                <w:t>ADULTS-ACT-2016</w:t>
              </w:r>
            </w:hyperlink>
            <w:r w:rsidR="00520A86">
              <w:rPr>
                <w:rFonts w:ascii="Calibri" w:hAnsi="Calibri" w:cs="Calibri"/>
                <w:color w:val="0000FF"/>
                <w:kern w:val="0"/>
                <w:szCs w:val="22"/>
                <w:u w:val="single" w:color="0000FF"/>
                <w:lang w:val="en-GB"/>
              </w:rPr>
              <w:t xml:space="preserve"> </w:t>
            </w:r>
            <w:hyperlink r:id="rId75" w:history="1">
              <w:r w:rsidR="00520A86" w:rsidRPr="009B3BAC">
                <w:rPr>
                  <w:rStyle w:val="Hyperlink"/>
                  <w:rFonts w:ascii="Calibri" w:hAnsi="Calibri" w:cs="Calibri"/>
                  <w:kern w:val="0"/>
                  <w:szCs w:val="22"/>
                  <w:lang w:val="en-GB"/>
                </w:rPr>
                <w:t>https://legislation.nt.gov.au/Legislation/ADVANCE-PERSONAL-PLANNING-ACT-2013</w:t>
              </w:r>
            </w:hyperlink>
          </w:p>
        </w:tc>
      </w:tr>
      <w:tr w:rsidR="00520A86" w:rsidRPr="007E1B57" w14:paraId="30762225" w14:textId="77777777">
        <w:tblPrEx>
          <w:tblBorders>
            <w:top w:val="none" w:sz="0" w:space="0" w:color="auto"/>
          </w:tblBorders>
        </w:tblPrEx>
        <w:trPr>
          <w:jc w:val="center"/>
        </w:trPr>
        <w:tc>
          <w:tcPr>
            <w:tcW w:w="3773" w:type="dxa"/>
            <w:tcBorders>
              <w:top w:val="single" w:sz="4" w:space="0" w:color="auto"/>
              <w:bottom w:val="single" w:sz="4" w:space="0" w:color="auto"/>
              <w:right w:val="single" w:sz="4" w:space="0" w:color="auto"/>
            </w:tcBorders>
            <w:tcMar>
              <w:top w:w="100" w:type="nil"/>
              <w:right w:w="100" w:type="nil"/>
            </w:tcMar>
          </w:tcPr>
          <w:p w14:paraId="2DA39ABB" w14:textId="77777777" w:rsidR="00520A86"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QLD Guardianship and Administration Act 2000</w:t>
            </w:r>
          </w:p>
          <w:p w14:paraId="7873C52E"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QLD Powers of Attorney Act 1998</w:t>
            </w:r>
          </w:p>
        </w:tc>
        <w:tc>
          <w:tcPr>
            <w:tcW w:w="5187" w:type="dxa"/>
            <w:tcBorders>
              <w:top w:val="single" w:sz="4" w:space="0" w:color="auto"/>
              <w:left w:val="single" w:sz="4" w:space="0" w:color="auto"/>
              <w:bottom w:val="single" w:sz="4" w:space="0" w:color="auto"/>
            </w:tcBorders>
            <w:tcMar>
              <w:top w:w="100" w:type="nil"/>
              <w:right w:w="100" w:type="nil"/>
            </w:tcMar>
          </w:tcPr>
          <w:p w14:paraId="0C608055" w14:textId="77777777" w:rsidR="00520A86" w:rsidRDefault="00000000" w:rsidP="00EA22AE">
            <w:pPr>
              <w:pStyle w:val="Guidelinesnormalparagraph"/>
              <w:rPr>
                <w:rFonts w:ascii="Calibri" w:hAnsi="Calibri" w:cs="Calibri"/>
                <w:color w:val="0000FF"/>
                <w:kern w:val="0"/>
                <w:szCs w:val="22"/>
                <w:u w:val="single" w:color="0000FF"/>
                <w:lang w:val="en-GB"/>
              </w:rPr>
            </w:pPr>
            <w:hyperlink r:id="rId76" w:history="1">
              <w:r w:rsidR="00520A86" w:rsidRPr="007E1B57">
                <w:rPr>
                  <w:rFonts w:ascii="Calibri" w:hAnsi="Calibri" w:cs="Calibri"/>
                  <w:color w:val="0000FF"/>
                  <w:kern w:val="0"/>
                  <w:szCs w:val="22"/>
                  <w:u w:val="single" w:color="0000FF"/>
                  <w:lang w:val="en-GB"/>
                </w:rPr>
                <w:t>https://www.legislation.qld.gov.au/view/html/inforce/curre</w:t>
              </w:r>
            </w:hyperlink>
            <w:r w:rsidR="00520A86" w:rsidRPr="007E1B57">
              <w:rPr>
                <w:rFonts w:ascii="Calibri" w:hAnsi="Calibri" w:cs="Calibri"/>
                <w:kern w:val="0"/>
                <w:szCs w:val="22"/>
                <w:u w:color="0000FF"/>
                <w:lang w:val="en-GB"/>
              </w:rPr>
              <w:t xml:space="preserve"> </w:t>
            </w:r>
            <w:hyperlink r:id="rId77" w:history="1">
              <w:proofErr w:type="spellStart"/>
              <w:r w:rsidR="00520A86" w:rsidRPr="007E1B57">
                <w:rPr>
                  <w:rFonts w:ascii="Calibri" w:hAnsi="Calibri" w:cs="Calibri"/>
                  <w:color w:val="0000FF"/>
                  <w:kern w:val="0"/>
                  <w:szCs w:val="22"/>
                  <w:u w:val="single" w:color="0000FF"/>
                  <w:lang w:val="en-GB"/>
                </w:rPr>
                <w:t>nt</w:t>
              </w:r>
              <w:proofErr w:type="spellEnd"/>
              <w:r w:rsidR="00520A86" w:rsidRPr="007E1B57">
                <w:rPr>
                  <w:rFonts w:ascii="Calibri" w:hAnsi="Calibri" w:cs="Calibri"/>
                  <w:color w:val="0000FF"/>
                  <w:kern w:val="0"/>
                  <w:szCs w:val="22"/>
                  <w:u w:val="single" w:color="0000FF"/>
                  <w:lang w:val="en-GB"/>
                </w:rPr>
                <w:t>/act-2000-008</w:t>
              </w:r>
            </w:hyperlink>
          </w:p>
          <w:p w14:paraId="6D27F1DA" w14:textId="77777777" w:rsidR="00520A86" w:rsidRPr="007E1B57" w:rsidRDefault="00000000" w:rsidP="00EA22AE">
            <w:pPr>
              <w:pStyle w:val="Guidelinesnormalparagraph"/>
              <w:rPr>
                <w:rFonts w:ascii="Calibri" w:hAnsi="Calibri" w:cs="Calibri"/>
                <w:kern w:val="0"/>
                <w:szCs w:val="22"/>
                <w:u w:color="0000FF"/>
                <w:lang w:val="en-GB"/>
              </w:rPr>
            </w:pPr>
            <w:hyperlink r:id="rId78" w:history="1">
              <w:r w:rsidR="00520A86" w:rsidRPr="007E1B57">
                <w:rPr>
                  <w:rFonts w:ascii="Calibri" w:hAnsi="Calibri" w:cs="Calibri"/>
                  <w:color w:val="0000FF"/>
                  <w:kern w:val="0"/>
                  <w:szCs w:val="22"/>
                  <w:u w:val="single" w:color="0000FF"/>
                  <w:lang w:val="en-GB"/>
                </w:rPr>
                <w:t>https://www.legislation.qld.gov.au/view/html/inforce/curre</w:t>
              </w:r>
            </w:hyperlink>
            <w:r w:rsidR="00520A86" w:rsidRPr="007E1B57">
              <w:rPr>
                <w:rFonts w:ascii="Calibri" w:hAnsi="Calibri" w:cs="Calibri"/>
                <w:kern w:val="0"/>
                <w:szCs w:val="22"/>
                <w:u w:color="0000FF"/>
                <w:lang w:val="en-GB"/>
              </w:rPr>
              <w:t xml:space="preserve"> </w:t>
            </w:r>
            <w:hyperlink r:id="rId79" w:history="1">
              <w:proofErr w:type="spellStart"/>
              <w:r w:rsidR="00520A86" w:rsidRPr="007E1B57">
                <w:rPr>
                  <w:rFonts w:ascii="Calibri" w:hAnsi="Calibri" w:cs="Calibri"/>
                  <w:color w:val="0000FF"/>
                  <w:kern w:val="0"/>
                  <w:szCs w:val="22"/>
                  <w:u w:val="single" w:color="0000FF"/>
                  <w:lang w:val="en-GB"/>
                </w:rPr>
                <w:t>nt</w:t>
              </w:r>
              <w:proofErr w:type="spellEnd"/>
              <w:r w:rsidR="00520A86" w:rsidRPr="007E1B57">
                <w:rPr>
                  <w:rFonts w:ascii="Calibri" w:hAnsi="Calibri" w:cs="Calibri"/>
                  <w:color w:val="0000FF"/>
                  <w:kern w:val="0"/>
                  <w:szCs w:val="22"/>
                  <w:u w:val="single" w:color="0000FF"/>
                  <w:lang w:val="en-GB"/>
                </w:rPr>
                <w:t>/act-1998-022</w:t>
              </w:r>
            </w:hyperlink>
          </w:p>
        </w:tc>
      </w:tr>
      <w:tr w:rsidR="00520A86" w:rsidRPr="007E1B57" w14:paraId="390429EC" w14:textId="77777777">
        <w:tblPrEx>
          <w:tblBorders>
            <w:top w:val="none" w:sz="0" w:space="0" w:color="auto"/>
          </w:tblBorders>
        </w:tblPrEx>
        <w:trPr>
          <w:jc w:val="center"/>
        </w:trPr>
        <w:tc>
          <w:tcPr>
            <w:tcW w:w="3773" w:type="dxa"/>
            <w:tcBorders>
              <w:top w:val="single" w:sz="4" w:space="0" w:color="auto"/>
              <w:bottom w:val="single" w:sz="4" w:space="0" w:color="auto"/>
              <w:right w:val="single" w:sz="4" w:space="0" w:color="auto"/>
            </w:tcBorders>
            <w:tcMar>
              <w:top w:w="100" w:type="nil"/>
              <w:right w:w="100" w:type="nil"/>
            </w:tcMar>
          </w:tcPr>
          <w:p w14:paraId="3F08B949" w14:textId="77777777" w:rsidR="00520A86"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SA Guardianship and Administration Act 1993</w:t>
            </w:r>
          </w:p>
          <w:p w14:paraId="4CB9092C"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SA Consent to Medical Treatment and Palliative Care Act 1995</w:t>
            </w:r>
          </w:p>
          <w:p w14:paraId="71A1CD26"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SA Advance Care Directives Act 2013</w:t>
            </w:r>
          </w:p>
        </w:tc>
        <w:tc>
          <w:tcPr>
            <w:tcW w:w="5187" w:type="dxa"/>
            <w:tcBorders>
              <w:top w:val="single" w:sz="4" w:space="0" w:color="auto"/>
              <w:left w:val="single" w:sz="4" w:space="0" w:color="auto"/>
              <w:bottom w:val="single" w:sz="4" w:space="0" w:color="auto"/>
            </w:tcBorders>
            <w:tcMar>
              <w:top w:w="100" w:type="nil"/>
              <w:right w:w="100" w:type="nil"/>
            </w:tcMar>
          </w:tcPr>
          <w:p w14:paraId="674827C8" w14:textId="77777777" w:rsidR="00520A86" w:rsidRDefault="00000000" w:rsidP="00EA22AE">
            <w:pPr>
              <w:pStyle w:val="Guidelinesnormalparagraph"/>
              <w:rPr>
                <w:rFonts w:ascii="Calibri" w:hAnsi="Calibri" w:cs="Calibri"/>
                <w:color w:val="0000FF"/>
                <w:kern w:val="0"/>
                <w:szCs w:val="22"/>
                <w:u w:val="single" w:color="0000FF"/>
                <w:lang w:val="en-GB"/>
              </w:rPr>
            </w:pPr>
            <w:hyperlink r:id="rId80" w:history="1">
              <w:r w:rsidR="00520A86" w:rsidRPr="009B3BAC">
                <w:rPr>
                  <w:rStyle w:val="Hyperlink"/>
                  <w:rFonts w:ascii="Calibri" w:hAnsi="Calibri" w:cs="Calibri"/>
                  <w:kern w:val="0"/>
                  <w:szCs w:val="22"/>
                  <w:lang w:val="en-GB"/>
                </w:rPr>
                <w:t>https://www.legislation.sa.gov.au/lz?path=/c/a/guardianship%20and%20administration%20act%201993</w:t>
              </w:r>
            </w:hyperlink>
          </w:p>
          <w:p w14:paraId="562B22F5" w14:textId="77777777" w:rsidR="00520A86" w:rsidRDefault="00000000" w:rsidP="00EA22AE">
            <w:pPr>
              <w:pStyle w:val="Guidelinesnormalparagraph"/>
              <w:rPr>
                <w:rFonts w:ascii="Calibri" w:hAnsi="Calibri" w:cs="Calibri"/>
                <w:color w:val="0000FF"/>
                <w:kern w:val="0"/>
                <w:szCs w:val="22"/>
                <w:u w:val="single" w:color="0000FF"/>
                <w:lang w:val="en-GB"/>
              </w:rPr>
            </w:pPr>
            <w:hyperlink r:id="rId81" w:history="1">
              <w:r w:rsidR="00520A86" w:rsidRPr="009B3BAC">
                <w:rPr>
                  <w:rStyle w:val="Hyperlink"/>
                  <w:rFonts w:ascii="Calibri" w:hAnsi="Calibri" w:cs="Calibri"/>
                  <w:kern w:val="0"/>
                  <w:szCs w:val="22"/>
                  <w:lang w:val="en-GB"/>
                </w:rPr>
                <w:t>https://www.legislation.sa.gov.au/lz?path=/c/a/consent%20to%20medical%20treatment%20and%20palliative%20care%20act%201995</w:t>
              </w:r>
            </w:hyperlink>
          </w:p>
          <w:p w14:paraId="4FE90225" w14:textId="77777777" w:rsidR="00520A86" w:rsidRPr="007E1B57" w:rsidRDefault="00520A86" w:rsidP="00EA22AE">
            <w:pPr>
              <w:pStyle w:val="Guidelinesnormalparagraph"/>
              <w:rPr>
                <w:rFonts w:ascii="Calibri" w:hAnsi="Calibri" w:cs="Calibri"/>
                <w:kern w:val="0"/>
                <w:szCs w:val="22"/>
                <w:u w:color="0000FF"/>
                <w:lang w:val="en-GB"/>
              </w:rPr>
            </w:pPr>
            <w:r w:rsidRPr="00622F52">
              <w:rPr>
                <w:rFonts w:ascii="Calibri" w:hAnsi="Calibri" w:cs="Calibri"/>
                <w:color w:val="0000FF"/>
                <w:kern w:val="0"/>
                <w:szCs w:val="22"/>
                <w:u w:val="single" w:color="0000FF"/>
                <w:lang w:val="en-GB"/>
              </w:rPr>
              <w:t>https://www.legislation.sa.gov.au/lz?path=/c/a/advance%20care%20directives%20act%202013</w:t>
            </w:r>
          </w:p>
        </w:tc>
      </w:tr>
      <w:tr w:rsidR="00520A86" w:rsidRPr="007E1B57" w14:paraId="285E94E0" w14:textId="77777777">
        <w:tblPrEx>
          <w:tblBorders>
            <w:top w:val="none" w:sz="0" w:space="0" w:color="auto"/>
          </w:tblBorders>
        </w:tblPrEx>
        <w:trPr>
          <w:jc w:val="center"/>
        </w:trPr>
        <w:tc>
          <w:tcPr>
            <w:tcW w:w="3773" w:type="dxa"/>
            <w:tcBorders>
              <w:top w:val="single" w:sz="4" w:space="0" w:color="auto"/>
              <w:bottom w:val="single" w:sz="4" w:space="0" w:color="auto"/>
              <w:right w:val="single" w:sz="4" w:space="0" w:color="auto"/>
            </w:tcBorders>
            <w:tcMar>
              <w:top w:w="100" w:type="nil"/>
              <w:right w:w="100" w:type="nil"/>
            </w:tcMar>
          </w:tcPr>
          <w:p w14:paraId="6FC90C76"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TAS Guardianship and Administration Act 1995</w:t>
            </w:r>
          </w:p>
        </w:tc>
        <w:tc>
          <w:tcPr>
            <w:tcW w:w="5187" w:type="dxa"/>
            <w:tcBorders>
              <w:top w:val="single" w:sz="4" w:space="0" w:color="auto"/>
              <w:left w:val="single" w:sz="4" w:space="0" w:color="auto"/>
              <w:bottom w:val="single" w:sz="4" w:space="0" w:color="auto"/>
            </w:tcBorders>
            <w:tcMar>
              <w:top w:w="100" w:type="nil"/>
              <w:right w:w="100" w:type="nil"/>
            </w:tcMar>
          </w:tcPr>
          <w:p w14:paraId="0EF000E2" w14:textId="77777777" w:rsidR="00520A86" w:rsidRPr="007E1B57" w:rsidRDefault="00000000" w:rsidP="00EA22AE">
            <w:pPr>
              <w:pStyle w:val="Guidelinesnormalparagraph"/>
              <w:rPr>
                <w:rFonts w:ascii="Calibri" w:hAnsi="Calibri" w:cs="Calibri"/>
                <w:kern w:val="0"/>
                <w:szCs w:val="22"/>
                <w:u w:color="0000FF"/>
                <w:lang w:val="en-GB"/>
              </w:rPr>
            </w:pPr>
            <w:hyperlink r:id="rId82" w:history="1">
              <w:r w:rsidR="00520A86" w:rsidRPr="007E1B57">
                <w:rPr>
                  <w:rFonts w:ascii="Calibri" w:hAnsi="Calibri" w:cs="Calibri"/>
                  <w:color w:val="0000FF"/>
                  <w:kern w:val="0"/>
                  <w:szCs w:val="22"/>
                  <w:u w:val="single" w:color="0000FF"/>
                  <w:lang w:val="en-GB"/>
                </w:rPr>
                <w:t>https://www.legislation.tas.gov.au/view/html/inforce/curre</w:t>
              </w:r>
            </w:hyperlink>
            <w:r w:rsidR="00520A86" w:rsidRPr="007E1B57">
              <w:rPr>
                <w:rFonts w:ascii="Calibri" w:hAnsi="Calibri" w:cs="Calibri"/>
                <w:kern w:val="0"/>
                <w:szCs w:val="22"/>
                <w:u w:color="0000FF"/>
                <w:lang w:val="en-GB"/>
              </w:rPr>
              <w:t xml:space="preserve"> </w:t>
            </w:r>
            <w:hyperlink r:id="rId83" w:history="1">
              <w:proofErr w:type="spellStart"/>
              <w:r w:rsidR="00520A86" w:rsidRPr="007E1B57">
                <w:rPr>
                  <w:rFonts w:ascii="Calibri" w:hAnsi="Calibri" w:cs="Calibri"/>
                  <w:color w:val="0000FF"/>
                  <w:kern w:val="0"/>
                  <w:szCs w:val="22"/>
                  <w:u w:val="single" w:color="0000FF"/>
                  <w:lang w:val="en-GB"/>
                </w:rPr>
                <w:t>nt</w:t>
              </w:r>
              <w:proofErr w:type="spellEnd"/>
              <w:r w:rsidR="00520A86" w:rsidRPr="007E1B57">
                <w:rPr>
                  <w:rFonts w:ascii="Calibri" w:hAnsi="Calibri" w:cs="Calibri"/>
                  <w:color w:val="0000FF"/>
                  <w:kern w:val="0"/>
                  <w:szCs w:val="22"/>
                  <w:u w:val="single" w:color="0000FF"/>
                  <w:lang w:val="en-GB"/>
                </w:rPr>
                <w:t>/act-1995-044</w:t>
              </w:r>
            </w:hyperlink>
          </w:p>
        </w:tc>
      </w:tr>
      <w:tr w:rsidR="00520A86" w:rsidRPr="007E1B57" w14:paraId="2240B8C4" w14:textId="77777777">
        <w:tblPrEx>
          <w:tblBorders>
            <w:top w:val="none" w:sz="0" w:space="0" w:color="auto"/>
            <w:bottom w:val="single" w:sz="4" w:space="0" w:color="auto"/>
          </w:tblBorders>
        </w:tblPrEx>
        <w:trPr>
          <w:jc w:val="center"/>
        </w:trPr>
        <w:tc>
          <w:tcPr>
            <w:tcW w:w="3773" w:type="dxa"/>
            <w:tcBorders>
              <w:top w:val="single" w:sz="4" w:space="0" w:color="auto"/>
              <w:bottom w:val="single" w:sz="4" w:space="0" w:color="auto"/>
              <w:right w:val="single" w:sz="4" w:space="0" w:color="auto"/>
            </w:tcBorders>
            <w:tcMar>
              <w:top w:w="100" w:type="nil"/>
              <w:right w:w="100" w:type="nil"/>
            </w:tcMar>
          </w:tcPr>
          <w:p w14:paraId="4F8226BF"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VIC Guardianship and Administration Act 2019</w:t>
            </w:r>
          </w:p>
          <w:p w14:paraId="4F155144"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VIC Medical Treatment Planning and Decisions Act 2016</w:t>
            </w:r>
          </w:p>
        </w:tc>
        <w:tc>
          <w:tcPr>
            <w:tcW w:w="5187" w:type="dxa"/>
            <w:tcBorders>
              <w:top w:val="single" w:sz="4" w:space="0" w:color="auto"/>
              <w:left w:val="single" w:sz="4" w:space="0" w:color="auto"/>
              <w:bottom w:val="single" w:sz="4" w:space="0" w:color="auto"/>
            </w:tcBorders>
            <w:tcMar>
              <w:top w:w="100" w:type="nil"/>
              <w:right w:w="100" w:type="nil"/>
            </w:tcMar>
          </w:tcPr>
          <w:p w14:paraId="7FDB7C69" w14:textId="77777777" w:rsidR="00520A86" w:rsidRPr="007E1B57" w:rsidRDefault="00520A86" w:rsidP="00EA22AE">
            <w:pPr>
              <w:pStyle w:val="Guidelinesnormalparagraph"/>
              <w:rPr>
                <w:rFonts w:ascii="Calibri" w:hAnsi="Calibri" w:cs="Calibri"/>
                <w:kern w:val="0"/>
                <w:szCs w:val="22"/>
                <w:u w:color="0000FF"/>
                <w:lang w:val="en-GB"/>
              </w:rPr>
            </w:pPr>
            <w:r w:rsidRPr="00146A8B">
              <w:rPr>
                <w:rFonts w:ascii="Calibri" w:hAnsi="Calibri" w:cs="Calibri"/>
                <w:color w:val="0000FF"/>
                <w:kern w:val="0"/>
                <w:szCs w:val="22"/>
                <w:u w:val="single" w:color="0000FF"/>
                <w:lang w:val="en-GB"/>
              </w:rPr>
              <w:t>https://www.legislation.vic.gov.au/in-force/acts/guardianship-and-administration-act-2019/006</w:t>
            </w:r>
            <w:hyperlink r:id="rId84" w:history="1">
              <w:r w:rsidRPr="007E1B57">
                <w:rPr>
                  <w:rFonts w:ascii="Calibri" w:hAnsi="Calibri" w:cs="Calibri"/>
                  <w:color w:val="0000FF"/>
                  <w:kern w:val="0"/>
                  <w:szCs w:val="22"/>
                  <w:u w:val="single" w:color="0000FF"/>
                  <w:lang w:val="en-GB"/>
                </w:rPr>
                <w:t>https://www.legislation.vic.gov.au/in-force/acts/medical-</w:t>
              </w:r>
            </w:hyperlink>
            <w:r w:rsidRPr="007E1B57">
              <w:rPr>
                <w:rFonts w:ascii="Calibri" w:hAnsi="Calibri" w:cs="Calibri"/>
                <w:kern w:val="0"/>
                <w:szCs w:val="22"/>
                <w:u w:color="0000FF"/>
                <w:lang w:val="en-GB"/>
              </w:rPr>
              <w:t xml:space="preserve"> </w:t>
            </w:r>
            <w:hyperlink r:id="rId85" w:history="1">
              <w:r w:rsidRPr="007E1B57">
                <w:rPr>
                  <w:rFonts w:ascii="Calibri" w:hAnsi="Calibri" w:cs="Calibri"/>
                  <w:color w:val="0000FF"/>
                  <w:kern w:val="0"/>
                  <w:szCs w:val="22"/>
                  <w:u w:val="single" w:color="0000FF"/>
                  <w:lang w:val="en-GB"/>
                </w:rPr>
                <w:t>treatment-planning-and-decisions-act-2016/008</w:t>
              </w:r>
            </w:hyperlink>
          </w:p>
        </w:tc>
      </w:tr>
      <w:tr w:rsidR="00520A86" w:rsidRPr="007E1B57" w14:paraId="2B96ED0E" w14:textId="77777777">
        <w:tblPrEx>
          <w:tblBorders>
            <w:bottom w:val="single" w:sz="4" w:space="0" w:color="auto"/>
          </w:tblBorders>
        </w:tblPrEx>
        <w:trPr>
          <w:jc w:val="center"/>
        </w:trPr>
        <w:tc>
          <w:tcPr>
            <w:tcW w:w="3773" w:type="dxa"/>
            <w:tcBorders>
              <w:top w:val="single" w:sz="4" w:space="0" w:color="auto"/>
              <w:bottom w:val="single" w:sz="4" w:space="0" w:color="auto"/>
              <w:right w:val="single" w:sz="4" w:space="0" w:color="auto"/>
            </w:tcBorders>
            <w:tcMar>
              <w:top w:w="100" w:type="nil"/>
              <w:right w:w="100" w:type="nil"/>
            </w:tcMar>
          </w:tcPr>
          <w:p w14:paraId="27FCEAFB"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WA Guardianship and Administration Act 1990</w:t>
            </w:r>
          </w:p>
        </w:tc>
        <w:tc>
          <w:tcPr>
            <w:tcW w:w="5187" w:type="dxa"/>
            <w:tcBorders>
              <w:top w:val="single" w:sz="4" w:space="0" w:color="auto"/>
              <w:left w:val="single" w:sz="4" w:space="0" w:color="auto"/>
              <w:bottom w:val="single" w:sz="4" w:space="0" w:color="auto"/>
            </w:tcBorders>
            <w:tcMar>
              <w:top w:w="100" w:type="nil"/>
              <w:right w:w="100" w:type="nil"/>
            </w:tcMar>
          </w:tcPr>
          <w:p w14:paraId="2CCF665E" w14:textId="77777777" w:rsidR="00520A86" w:rsidRPr="007E1B57" w:rsidRDefault="00000000" w:rsidP="00EA22AE">
            <w:pPr>
              <w:pStyle w:val="Guidelinesnormalparagraph"/>
              <w:rPr>
                <w:rFonts w:ascii="Calibri" w:hAnsi="Calibri" w:cs="Calibri"/>
                <w:kern w:val="0"/>
                <w:szCs w:val="22"/>
                <w:u w:color="0000FF"/>
                <w:lang w:val="en-GB"/>
              </w:rPr>
            </w:pPr>
            <w:hyperlink r:id="rId86" w:history="1">
              <w:r w:rsidR="00520A86" w:rsidRPr="009B3BAC">
                <w:rPr>
                  <w:rStyle w:val="Hyperlink"/>
                  <w:rFonts w:ascii="Calibri" w:hAnsi="Calibri" w:cs="Calibri"/>
                  <w:kern w:val="0"/>
                  <w:szCs w:val="22"/>
                  <w:lang w:val="en-GB"/>
                </w:rPr>
                <w:t>https://www.legislation.wa.gov.au/legislation/statutes.nsf/law_a336.html</w:t>
              </w:r>
            </w:hyperlink>
            <w:r w:rsidR="00520A86">
              <w:rPr>
                <w:rFonts w:ascii="Calibri" w:hAnsi="Calibri" w:cs="Calibri"/>
                <w:kern w:val="0"/>
                <w:szCs w:val="22"/>
                <w:u w:color="0000FF"/>
                <w:lang w:val="en-GB"/>
              </w:rPr>
              <w:t xml:space="preserve"> </w:t>
            </w:r>
          </w:p>
        </w:tc>
      </w:tr>
      <w:tr w:rsidR="00520A86" w:rsidRPr="007E1B57" w14:paraId="1F7F463B" w14:textId="77777777">
        <w:tblPrEx>
          <w:tblBorders>
            <w:bottom w:val="single" w:sz="4" w:space="0" w:color="auto"/>
          </w:tblBorders>
        </w:tblPrEx>
        <w:trPr>
          <w:jc w:val="center"/>
        </w:trPr>
        <w:tc>
          <w:tcPr>
            <w:tcW w:w="8960" w:type="dxa"/>
            <w:gridSpan w:val="2"/>
            <w:tcBorders>
              <w:top w:val="single" w:sz="4" w:space="0" w:color="auto"/>
              <w:bottom w:val="single" w:sz="4" w:space="0" w:color="auto"/>
            </w:tcBorders>
            <w:tcMar>
              <w:top w:w="100" w:type="nil"/>
              <w:right w:w="100" w:type="nil"/>
            </w:tcMar>
          </w:tcPr>
          <w:p w14:paraId="581101CF" w14:textId="77777777" w:rsidR="00520A86" w:rsidRDefault="00520A86" w:rsidP="00EA22AE">
            <w:pPr>
              <w:pStyle w:val="Guidelinesnormalparagraph"/>
              <w:rPr>
                <w:rFonts w:ascii="Calibri" w:hAnsi="Calibri" w:cs="Calibri"/>
                <w:kern w:val="0"/>
                <w:szCs w:val="22"/>
                <w:u w:color="0000FF"/>
                <w:lang w:val="en-GB"/>
              </w:rPr>
            </w:pPr>
            <w:r w:rsidRPr="001272A4">
              <w:rPr>
                <w:i/>
                <w:iCs/>
                <w:sz w:val="21"/>
                <w:szCs w:val="22"/>
              </w:rPr>
              <w:t>Please note that the above links are current at the time of writing but may lead to out-of-date versions of legislation in future. As legislation is regularly amended, please check that you are viewing the most current version which should usually be accessible via the website to which these links will direct.</w:t>
            </w:r>
          </w:p>
        </w:tc>
      </w:tr>
    </w:tbl>
    <w:p w14:paraId="5674CEC2" w14:textId="77777777" w:rsidR="006C6EBA" w:rsidRPr="006720E4" w:rsidRDefault="006C6EBA" w:rsidP="00EA22AE">
      <w:pPr>
        <w:spacing w:after="120"/>
        <w:rPr>
          <w:rFonts w:ascii="Calibri" w:hAnsi="Calibri" w:cs="Calibri"/>
          <w:sz w:val="22"/>
          <w:szCs w:val="22"/>
        </w:rPr>
      </w:pPr>
    </w:p>
    <w:p w14:paraId="5A2CC89C" w14:textId="77777777" w:rsidR="006C6EBA" w:rsidRPr="006720E4" w:rsidRDefault="006C6EBA" w:rsidP="00EA22AE">
      <w:pPr>
        <w:pStyle w:val="Heading3"/>
        <w:spacing w:after="120"/>
      </w:pPr>
      <w:bookmarkStart w:id="1915" w:name="_Toc72615084"/>
      <w:bookmarkStart w:id="1916" w:name="_Toc73129804"/>
      <w:bookmarkStart w:id="1917" w:name="_Toc73301673"/>
      <w:bookmarkStart w:id="1918" w:name="_Toc73302179"/>
      <w:bookmarkStart w:id="1919" w:name="_Toc73303312"/>
      <w:bookmarkStart w:id="1920" w:name="_Toc74081457"/>
      <w:bookmarkStart w:id="1921" w:name="_Toc74172234"/>
      <w:bookmarkStart w:id="1922" w:name="_Toc74172770"/>
      <w:bookmarkStart w:id="1923" w:name="_Toc82773556"/>
      <w:bookmarkStart w:id="1924" w:name="_Toc82773909"/>
      <w:r w:rsidRPr="006720E4">
        <w:t>Substitute decision-making on behalf of children</w:t>
      </w:r>
      <w:bookmarkEnd w:id="1915"/>
      <w:bookmarkEnd w:id="1916"/>
      <w:bookmarkEnd w:id="1917"/>
      <w:bookmarkEnd w:id="1918"/>
      <w:bookmarkEnd w:id="1919"/>
      <w:bookmarkEnd w:id="1920"/>
      <w:bookmarkEnd w:id="1921"/>
      <w:bookmarkEnd w:id="1922"/>
      <w:bookmarkEnd w:id="1923"/>
      <w:bookmarkEnd w:id="1924"/>
    </w:p>
    <w:p w14:paraId="0318E43D" w14:textId="4E67007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Generally, medical decisions are lawfully made on behalf of children (under 18 years old) by their parents or legally appointed guardians who have authority in relation to health care. The general principle that parents and legal guardians must apply in making each medical decision is to consider what is in the best interest of the individual child (see </w:t>
      </w:r>
      <w:hyperlink w:anchor="_Children:_Best_interests_1" w:history="1">
        <w:r w:rsidRPr="006720E4">
          <w:rPr>
            <w:rStyle w:val="Hyperlink"/>
            <w:rFonts w:ascii="Calibri" w:hAnsi="Calibri" w:cs="Calibri"/>
            <w:sz w:val="22"/>
            <w:szCs w:val="22"/>
          </w:rPr>
          <w:t xml:space="preserve">Chapter </w:t>
        </w:r>
        <w:r w:rsidR="002E55B2">
          <w:rPr>
            <w:rStyle w:val="Hyperlink"/>
            <w:rFonts w:ascii="Calibri" w:hAnsi="Calibri" w:cs="Calibri"/>
            <w:sz w:val="22"/>
            <w:szCs w:val="22"/>
          </w:rPr>
          <w:t>5</w:t>
        </w:r>
        <w:r w:rsidRPr="006720E4">
          <w:rPr>
            <w:rStyle w:val="Hyperlink"/>
            <w:rFonts w:ascii="Calibri" w:hAnsi="Calibri" w:cs="Calibri"/>
            <w:sz w:val="22"/>
            <w:szCs w:val="22"/>
          </w:rPr>
          <w:t>.3.1</w:t>
        </w:r>
      </w:hyperlink>
      <w:r w:rsidRPr="006720E4">
        <w:rPr>
          <w:rFonts w:ascii="Calibri" w:hAnsi="Calibri" w:cs="Calibri"/>
          <w:sz w:val="22"/>
          <w:szCs w:val="22"/>
        </w:rPr>
        <w:t>).</w:t>
      </w:r>
    </w:p>
    <w:p w14:paraId="6CF8AA49" w14:textId="48D5BEF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more mature children or adolescents may be able to make decisions by themselves where they are assessed as being competent to do so. These children are often described as </w:t>
      </w:r>
      <w:r w:rsidRPr="006720E4">
        <w:rPr>
          <w:rFonts w:ascii="Calibri" w:hAnsi="Calibri" w:cs="Calibri"/>
          <w:i/>
          <w:iCs/>
          <w:sz w:val="22"/>
          <w:szCs w:val="22"/>
        </w:rPr>
        <w:t>Gillick</w:t>
      </w:r>
      <w:r w:rsidRPr="006720E4">
        <w:rPr>
          <w:rFonts w:ascii="Calibri" w:hAnsi="Calibri" w:cs="Calibri"/>
          <w:sz w:val="22"/>
          <w:szCs w:val="22"/>
        </w:rPr>
        <w:t xml:space="preserve"> competent or mature minors. The implications of a determination of </w:t>
      </w:r>
      <w:r w:rsidRPr="006720E4">
        <w:rPr>
          <w:rFonts w:ascii="Calibri" w:hAnsi="Calibri" w:cs="Calibri"/>
          <w:i/>
          <w:iCs/>
          <w:sz w:val="22"/>
          <w:szCs w:val="22"/>
        </w:rPr>
        <w:t>Gillick</w:t>
      </w:r>
      <w:r w:rsidRPr="006720E4">
        <w:rPr>
          <w:rFonts w:ascii="Calibri" w:hAnsi="Calibri" w:cs="Calibri"/>
          <w:sz w:val="22"/>
          <w:szCs w:val="22"/>
        </w:rPr>
        <w:t xml:space="preserve">-competency in the context of transplantation and living donation is discussed in more detail in </w:t>
      </w:r>
      <w:hyperlink w:anchor="_Children_who_may" w:history="1">
        <w:r w:rsidRPr="006720E4">
          <w:rPr>
            <w:rStyle w:val="Hyperlink"/>
            <w:rFonts w:ascii="Calibri" w:hAnsi="Calibri" w:cs="Calibri"/>
            <w:sz w:val="22"/>
            <w:szCs w:val="22"/>
          </w:rPr>
          <w:t xml:space="preserve">Chapter </w:t>
        </w:r>
        <w:r w:rsidR="002E55B2">
          <w:rPr>
            <w:rStyle w:val="Hyperlink"/>
            <w:rFonts w:ascii="Calibri" w:hAnsi="Calibri" w:cs="Calibri"/>
            <w:sz w:val="22"/>
            <w:szCs w:val="22"/>
          </w:rPr>
          <w:t>5</w:t>
        </w:r>
        <w:r w:rsidRPr="006720E4">
          <w:rPr>
            <w:rStyle w:val="Hyperlink"/>
            <w:rFonts w:ascii="Calibri" w:hAnsi="Calibri" w:cs="Calibri"/>
            <w:sz w:val="22"/>
            <w:szCs w:val="22"/>
          </w:rPr>
          <w:t>.1.2</w:t>
        </w:r>
      </w:hyperlink>
      <w:r w:rsidRPr="006720E4">
        <w:rPr>
          <w:rFonts w:ascii="Calibri" w:hAnsi="Calibri" w:cs="Calibri"/>
          <w:sz w:val="22"/>
          <w:szCs w:val="22"/>
        </w:rPr>
        <w:t>.</w:t>
      </w:r>
    </w:p>
    <w:p w14:paraId="1AA9A038" w14:textId="638402B7" w:rsidR="006C6EBA" w:rsidRPr="006720E4" w:rsidRDefault="006C6EBA" w:rsidP="00EA22AE">
      <w:pPr>
        <w:pStyle w:val="Heading3"/>
        <w:spacing w:after="120"/>
      </w:pPr>
      <w:bookmarkStart w:id="1925" w:name="_Mechanisms_of_substitute_1"/>
      <w:bookmarkStart w:id="1926" w:name="_Toc82773557"/>
      <w:bookmarkStart w:id="1927" w:name="_Toc82773910"/>
      <w:bookmarkEnd w:id="1925"/>
      <w:r w:rsidRPr="006720E4">
        <w:t>Mechanisms of substitute decision-making</w:t>
      </w:r>
      <w:bookmarkEnd w:id="1905"/>
      <w:bookmarkEnd w:id="1906"/>
      <w:r w:rsidRPr="006720E4">
        <w:t xml:space="preserve"> for </w:t>
      </w:r>
      <w:bookmarkEnd w:id="1907"/>
      <w:bookmarkEnd w:id="1908"/>
      <w:bookmarkEnd w:id="1909"/>
      <w:bookmarkEnd w:id="1910"/>
      <w:bookmarkEnd w:id="1911"/>
      <w:bookmarkEnd w:id="1912"/>
      <w:bookmarkEnd w:id="1913"/>
      <w:bookmarkEnd w:id="1914"/>
      <w:r w:rsidRPr="006720E4">
        <w:t>adults</w:t>
      </w:r>
      <w:bookmarkEnd w:id="1926"/>
      <w:bookmarkEnd w:id="1927"/>
    </w:p>
    <w:p w14:paraId="78744BE6" w14:textId="28C33D8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There are four main ways in a which a decision can be made on behalf of an adult who lacks decision-making capacity to consent to their own healthcare as summarised in Table </w:t>
      </w:r>
      <w:r w:rsidR="002E55B2">
        <w:rPr>
          <w:rFonts w:ascii="Calibri" w:hAnsi="Calibri" w:cs="Calibri"/>
          <w:sz w:val="22"/>
          <w:szCs w:val="22"/>
        </w:rPr>
        <w:t>5</w:t>
      </w:r>
      <w:r w:rsidRPr="006720E4">
        <w:rPr>
          <w:rFonts w:ascii="Calibri" w:hAnsi="Calibri" w:cs="Calibri"/>
          <w:sz w:val="22"/>
          <w:szCs w:val="22"/>
        </w:rPr>
        <w:t xml:space="preserve">.2. Normally, the options in this table are worked through until one mechanism becomes available. For example, if the adult did not have an advance care directive but had appointed a substitute decision-maker when they had capacity, the law would look to that substitute decision-maker to make a medical decision on behalf of the adult. </w:t>
      </w:r>
    </w:p>
    <w:p w14:paraId="2090A24E" w14:textId="77777777" w:rsidR="006C6EBA" w:rsidRPr="006720E4" w:rsidRDefault="006C6EBA" w:rsidP="00EA22AE">
      <w:pPr>
        <w:spacing w:after="120"/>
        <w:rPr>
          <w:rFonts w:ascii="Calibri" w:hAnsi="Calibri" w:cs="Calibri"/>
          <w:sz w:val="22"/>
          <w:szCs w:val="22"/>
        </w:rPr>
      </w:pPr>
    </w:p>
    <w:tbl>
      <w:tblPr>
        <w:tblStyle w:val="TableGrid"/>
        <w:tblW w:w="0" w:type="auto"/>
        <w:tblLook w:val="04A0" w:firstRow="1" w:lastRow="0" w:firstColumn="1" w:lastColumn="0" w:noHBand="0" w:noVBand="1"/>
      </w:tblPr>
      <w:tblGrid>
        <w:gridCol w:w="2972"/>
        <w:gridCol w:w="6038"/>
      </w:tblGrid>
      <w:tr w:rsidR="006C6EBA" w:rsidRPr="006720E4" w14:paraId="4A0E18C9" w14:textId="77777777">
        <w:tc>
          <w:tcPr>
            <w:tcW w:w="9010" w:type="dxa"/>
            <w:gridSpan w:val="2"/>
            <w:shd w:val="clear" w:color="auto" w:fill="D9D9D9" w:themeFill="background1" w:themeFillShade="D9"/>
          </w:tcPr>
          <w:p w14:paraId="67AF459A" w14:textId="171D44E2"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 xml:space="preserve">Table </w:t>
            </w:r>
            <w:r w:rsidR="002E55B2">
              <w:rPr>
                <w:rFonts w:ascii="Calibri" w:hAnsi="Calibri" w:cs="Calibri"/>
                <w:b/>
                <w:bCs/>
                <w:sz w:val="22"/>
                <w:szCs w:val="22"/>
              </w:rPr>
              <w:t>5</w:t>
            </w:r>
            <w:r w:rsidRPr="006720E4">
              <w:rPr>
                <w:rFonts w:ascii="Calibri" w:hAnsi="Calibri" w:cs="Calibri"/>
                <w:b/>
                <w:bCs/>
                <w:sz w:val="22"/>
                <w:szCs w:val="22"/>
              </w:rPr>
              <w:t>.2 Main legal mechanisms of substitute decision-making for adults</w:t>
            </w:r>
          </w:p>
        </w:tc>
      </w:tr>
      <w:tr w:rsidR="006C6EBA" w:rsidRPr="006720E4" w14:paraId="48E81CD6" w14:textId="77777777">
        <w:tc>
          <w:tcPr>
            <w:tcW w:w="2972" w:type="dxa"/>
            <w:shd w:val="clear" w:color="auto" w:fill="D9D9D9" w:themeFill="background1" w:themeFillShade="D9"/>
          </w:tcPr>
          <w:p w14:paraId="19D9A9D1" w14:textId="77777777"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Advance care directive</w:t>
            </w:r>
          </w:p>
        </w:tc>
        <w:tc>
          <w:tcPr>
            <w:tcW w:w="6038" w:type="dxa"/>
          </w:tcPr>
          <w:p w14:paraId="4E5485C0" w14:textId="2A82BE3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document made in advance of loss of decision-making capacity that outlines the patient’s decisions regarding health care.</w:t>
            </w:r>
            <w:r w:rsidRPr="006720E4">
              <w:rPr>
                <w:rFonts w:ascii="Calibri" w:hAnsi="Calibri" w:cs="Calibri"/>
              </w:rPr>
              <w:t xml:space="preserve"> </w:t>
            </w:r>
            <w:r w:rsidRPr="006720E4">
              <w:rPr>
                <w:rFonts w:ascii="Calibri" w:hAnsi="Calibri" w:cs="Calibri"/>
                <w:sz w:val="22"/>
                <w:szCs w:val="22"/>
              </w:rPr>
              <w:t xml:space="preserve">Only if a situation is specifically dealt with in the document will it apply in a given situation. For example, if there was no consideration of receiving a kidney transplant within an advance care directive, it would not be able to be relied upon to consent to a proposed kidney transplant. </w:t>
            </w:r>
          </w:p>
          <w:p w14:paraId="1B9BF3E3" w14:textId="74C911E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forms of advance care directives outline values that can be used to guide decision-making in a range of situations rather than provide consent or refusal to specific medical decisions. </w:t>
            </w:r>
          </w:p>
        </w:tc>
      </w:tr>
      <w:tr w:rsidR="006C6EBA" w:rsidRPr="006720E4" w14:paraId="12757F37" w14:textId="77777777">
        <w:tc>
          <w:tcPr>
            <w:tcW w:w="2972" w:type="dxa"/>
            <w:shd w:val="clear" w:color="auto" w:fill="D9D9D9" w:themeFill="background1" w:themeFillShade="D9"/>
          </w:tcPr>
          <w:p w14:paraId="0BA721A0" w14:textId="77777777"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 xml:space="preserve">Substitute decision-maker appointed by the person </w:t>
            </w:r>
            <w:r w:rsidRPr="006720E4">
              <w:rPr>
                <w:rFonts w:ascii="Calibri" w:hAnsi="Calibri" w:cs="Calibri"/>
                <w:sz w:val="22"/>
                <w:szCs w:val="22"/>
              </w:rPr>
              <w:t>(i.e., Enduring guardian/Enduring power of attorney/medical treatment decision maker)</w:t>
            </w:r>
          </w:p>
        </w:tc>
        <w:tc>
          <w:tcPr>
            <w:tcW w:w="6038" w:type="dxa"/>
          </w:tcPr>
          <w:p w14:paraId="25C1AF7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person appointed by the patient prior to loss of decision-making capacity who is given power to make health care decisions on behalf of the patient when the patient no longer has decision-making capacity.</w:t>
            </w:r>
          </w:p>
        </w:tc>
      </w:tr>
      <w:tr w:rsidR="006C6EBA" w:rsidRPr="006720E4" w14:paraId="1E2B3B69" w14:textId="77777777">
        <w:tc>
          <w:tcPr>
            <w:tcW w:w="2972" w:type="dxa"/>
            <w:shd w:val="clear" w:color="auto" w:fill="D9D9D9" w:themeFill="background1" w:themeFillShade="D9"/>
          </w:tcPr>
          <w:p w14:paraId="409E14AE" w14:textId="77777777"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 xml:space="preserve">Substitute decision-maker appointed by a tribunal </w:t>
            </w:r>
            <w:r w:rsidRPr="006720E4">
              <w:rPr>
                <w:rFonts w:ascii="Calibri" w:hAnsi="Calibri" w:cs="Calibri"/>
                <w:sz w:val="22"/>
                <w:szCs w:val="22"/>
              </w:rPr>
              <w:t>(i.e., guardian)</w:t>
            </w:r>
          </w:p>
        </w:tc>
        <w:tc>
          <w:tcPr>
            <w:tcW w:w="6038" w:type="dxa"/>
          </w:tcPr>
          <w:p w14:paraId="0B8C3DC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Where a patient lacks decision-making capacity a State or Territory Civil and Administrative Tribunal may appoint a person to make health care decisions on behalf of the patient.</w:t>
            </w:r>
          </w:p>
        </w:tc>
      </w:tr>
      <w:tr w:rsidR="006C6EBA" w:rsidRPr="006720E4" w14:paraId="3C739A31" w14:textId="77777777">
        <w:tc>
          <w:tcPr>
            <w:tcW w:w="2972" w:type="dxa"/>
            <w:shd w:val="clear" w:color="auto" w:fill="D9D9D9" w:themeFill="background1" w:themeFillShade="D9"/>
          </w:tcPr>
          <w:p w14:paraId="7B92FA7E" w14:textId="77777777"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Legislative default decision-maker</w:t>
            </w:r>
          </w:p>
        </w:tc>
        <w:tc>
          <w:tcPr>
            <w:tcW w:w="6038" w:type="dxa"/>
          </w:tcPr>
          <w:p w14:paraId="50A09B53" w14:textId="0AC5A08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absence of other applicable decision-making mechanisms, most jurisdictions in Australia have legislation that gives lawful authority to a person in a recognised relationship with the patient who is ‘deemed’ to be the substitute decision-maker for health decisions. </w:t>
            </w:r>
          </w:p>
        </w:tc>
      </w:tr>
      <w:tr w:rsidR="006C6EBA" w:rsidRPr="006720E4" w14:paraId="2473D08E" w14:textId="77777777">
        <w:tc>
          <w:tcPr>
            <w:tcW w:w="9010" w:type="dxa"/>
            <w:gridSpan w:val="2"/>
            <w:shd w:val="clear" w:color="auto" w:fill="D9D9D9" w:themeFill="background1" w:themeFillShade="D9"/>
          </w:tcPr>
          <w:p w14:paraId="39EF17E0" w14:textId="1774F1FD" w:rsidR="006C6EBA" w:rsidRPr="006720E4" w:rsidRDefault="006C6EBA" w:rsidP="00EA22AE">
            <w:pPr>
              <w:spacing w:after="120"/>
              <w:rPr>
                <w:rFonts w:ascii="Calibri" w:hAnsi="Calibri" w:cs="Calibri"/>
                <w:sz w:val="22"/>
                <w:szCs w:val="22"/>
              </w:rPr>
            </w:pPr>
            <w:r w:rsidRPr="006720E4">
              <w:rPr>
                <w:rFonts w:ascii="Calibri" w:hAnsi="Calibri" w:cs="Calibri"/>
                <w:sz w:val="20"/>
                <w:szCs w:val="20"/>
              </w:rPr>
              <w:t>Table adapted from Figure 2 in Then and Martin (2020).</w:t>
            </w:r>
            <w:r w:rsidRPr="006720E4">
              <w:rPr>
                <w:rFonts w:ascii="Calibri" w:hAnsi="Calibri" w:cs="Calibri"/>
                <w:sz w:val="20"/>
                <w:szCs w:val="20"/>
              </w:rPr>
              <w:fldChar w:fldCharType="begin" w:fldLock="1"/>
            </w:r>
            <w:r w:rsidR="00EB088B">
              <w:rPr>
                <w:rFonts w:ascii="Calibri" w:hAnsi="Calibri" w:cs="Calibri"/>
                <w:sz w:val="20"/>
                <w:szCs w:val="20"/>
              </w:rPr>
              <w:instrText>ADDIN CSL_CITATION {"citationItems":[{"id":"ITEM-1","itemData":{"DOI":"10.1136/medethics-2020-106572","ISSN":"14734257","abstract":"Where a person is unable to make medical decisions for themselves, law and practice allows others to make decisions on their behalf. This is common at the end of a person's life where decision-making capacity is often lost. A further, and separate, decision that is often considered at the time of death (and often preceding death) is whether the person wanted to act as an organ or tissue donor. However, in some jurisdictions, the lawful decision-maker for the donation decision (the 'donation decision-maker') is different from the person who was granted decision-making authority for medical decisions during the person's life. To date, little attention has been given in the literature to the ethical concerns and practical problems that arise where this shift in legal authority occurs. Such a change in decision-making authority is particularly problematic where premortem measures are suggested to maximise the chances of a successful organ donation. This paper examines this shift in decision-making authority and discusses the legal, ethical and practical implications of such frameworks.","author":[{"dropping-particle":"","family":"Then","given":"Shih Ning","non-dropping-particle":"","parse-names":false,"suffix":""},{"dropping-particle":"","family":"Martin","given":"Dominique E.","non-dropping-particle":"","parse-names":false,"suffix":""}],"container-title":"Journal of Medical Ethics","id":"ITEM-1","issued":{"date-parts":[["2020"]]},"page":"1-6","title":"Transitions in decision-making authority at the end of life: A problem of law, ethics and practice in deceased donation","type":"article-journal"},"uris":["http://www.mendeley.com/documents/?uuid=75d121fa-e91d-48fd-a59e-7b3a67d9b619"]}],"mendeley":{"formattedCitation":"(57)","plainTextFormattedCitation":"(57)","previouslyFormattedCitation":"(57)"},"properties":{"noteIndex":0},"schema":"https://github.com/citation-style-language/schema/raw/master/csl-citation.json"}</w:instrText>
            </w:r>
            <w:r w:rsidRPr="006720E4">
              <w:rPr>
                <w:rFonts w:ascii="Calibri" w:hAnsi="Calibri" w:cs="Calibri"/>
                <w:sz w:val="20"/>
                <w:szCs w:val="20"/>
              </w:rPr>
              <w:fldChar w:fldCharType="separate"/>
            </w:r>
            <w:r w:rsidR="00BA3D76" w:rsidRPr="00BA3D76">
              <w:rPr>
                <w:rFonts w:ascii="Calibri" w:hAnsi="Calibri" w:cs="Calibri"/>
                <w:noProof/>
                <w:sz w:val="20"/>
                <w:szCs w:val="20"/>
              </w:rPr>
              <w:t>(57)</w:t>
            </w:r>
            <w:r w:rsidRPr="006720E4">
              <w:rPr>
                <w:rFonts w:ascii="Calibri" w:hAnsi="Calibri" w:cs="Calibri"/>
                <w:sz w:val="20"/>
                <w:szCs w:val="20"/>
              </w:rPr>
              <w:fldChar w:fldCharType="end"/>
            </w:r>
          </w:p>
        </w:tc>
      </w:tr>
    </w:tbl>
    <w:p w14:paraId="0A14ABCF" w14:textId="77777777" w:rsidR="006C6EBA" w:rsidRPr="006720E4" w:rsidRDefault="006C6EBA" w:rsidP="00EA22AE">
      <w:pPr>
        <w:spacing w:after="120"/>
        <w:rPr>
          <w:rFonts w:ascii="Calibri" w:hAnsi="Calibri" w:cs="Calibri"/>
          <w:sz w:val="22"/>
          <w:szCs w:val="22"/>
        </w:rPr>
      </w:pPr>
    </w:p>
    <w:p w14:paraId="560FDDF8" w14:textId="0B34C21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terms used for each of the four main mechanisms for decision-making for adults lacking decision-making capacity, as described in </w:t>
      </w:r>
      <w:r w:rsidRPr="0028232A">
        <w:rPr>
          <w:rFonts w:ascii="Calibri" w:hAnsi="Calibri" w:cs="Calibri"/>
          <w:b/>
          <w:bCs/>
          <w:sz w:val="22"/>
          <w:szCs w:val="22"/>
        </w:rPr>
        <w:t xml:space="preserve">Table </w:t>
      </w:r>
      <w:r w:rsidR="002E55B2" w:rsidRPr="0028232A">
        <w:rPr>
          <w:rFonts w:ascii="Calibri" w:hAnsi="Calibri" w:cs="Calibri"/>
          <w:b/>
          <w:bCs/>
          <w:sz w:val="22"/>
          <w:szCs w:val="22"/>
        </w:rPr>
        <w:t>5</w:t>
      </w:r>
      <w:r w:rsidRPr="0028232A">
        <w:rPr>
          <w:rFonts w:ascii="Calibri" w:hAnsi="Calibri" w:cs="Calibri"/>
          <w:b/>
          <w:bCs/>
          <w:sz w:val="22"/>
          <w:szCs w:val="22"/>
        </w:rPr>
        <w:t>.2</w:t>
      </w:r>
      <w:r w:rsidRPr="006720E4">
        <w:rPr>
          <w:rFonts w:ascii="Calibri" w:hAnsi="Calibri" w:cs="Calibri"/>
          <w:sz w:val="22"/>
          <w:szCs w:val="22"/>
        </w:rPr>
        <w:t xml:space="preserve">, are outlined in </w:t>
      </w:r>
      <w:r w:rsidRPr="0028232A">
        <w:rPr>
          <w:rFonts w:ascii="Calibri" w:hAnsi="Calibri" w:cs="Calibri"/>
          <w:b/>
          <w:bCs/>
          <w:sz w:val="22"/>
          <w:szCs w:val="22"/>
        </w:rPr>
        <w:t xml:space="preserve">Table </w:t>
      </w:r>
      <w:r w:rsidR="002E55B2" w:rsidRPr="0028232A">
        <w:rPr>
          <w:rFonts w:ascii="Calibri" w:hAnsi="Calibri" w:cs="Calibri"/>
          <w:b/>
          <w:bCs/>
          <w:sz w:val="22"/>
          <w:szCs w:val="22"/>
        </w:rPr>
        <w:t>5</w:t>
      </w:r>
      <w:r w:rsidRPr="0028232A">
        <w:rPr>
          <w:rFonts w:ascii="Calibri" w:hAnsi="Calibri" w:cs="Calibri"/>
          <w:b/>
          <w:bCs/>
          <w:sz w:val="22"/>
          <w:szCs w:val="22"/>
        </w:rPr>
        <w:t>.3</w:t>
      </w:r>
      <w:r w:rsidRPr="006720E4">
        <w:rPr>
          <w:rFonts w:ascii="Calibri" w:hAnsi="Calibri" w:cs="Calibri"/>
          <w:sz w:val="22"/>
          <w:szCs w:val="22"/>
        </w:rPr>
        <w:t xml:space="preserve"> below. </w:t>
      </w:r>
    </w:p>
    <w:p w14:paraId="39C34EA8" w14:textId="77777777" w:rsidR="006C6EBA" w:rsidRPr="006720E4" w:rsidRDefault="006C6EBA" w:rsidP="00EA22AE">
      <w:pPr>
        <w:spacing w:after="120"/>
        <w:rPr>
          <w:rFonts w:ascii="Calibri" w:hAnsi="Calibri" w:cs="Calibri"/>
          <w:sz w:val="22"/>
          <w:szCs w:val="22"/>
        </w:rPr>
      </w:pPr>
    </w:p>
    <w:tbl>
      <w:tblPr>
        <w:tblW w:w="0" w:type="auto"/>
        <w:tblInd w:w="-113"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133"/>
        <w:gridCol w:w="999"/>
        <w:gridCol w:w="1275"/>
        <w:gridCol w:w="992"/>
        <w:gridCol w:w="994"/>
        <w:gridCol w:w="1277"/>
        <w:gridCol w:w="1275"/>
        <w:gridCol w:w="1136"/>
        <w:gridCol w:w="1280"/>
      </w:tblGrid>
      <w:tr w:rsidR="00055771" w:rsidRPr="007E1B57" w14:paraId="4D0B0095" w14:textId="77777777">
        <w:tc>
          <w:tcPr>
            <w:tcW w:w="10361" w:type="dxa"/>
            <w:gridSpan w:val="9"/>
            <w:tcBorders>
              <w:top w:val="single" w:sz="4" w:space="0" w:color="auto"/>
              <w:bottom w:val="single" w:sz="4" w:space="0" w:color="auto"/>
            </w:tcBorders>
            <w:shd w:val="clear" w:color="auto" w:fill="E7E6E6"/>
            <w:tcMar>
              <w:top w:w="100" w:type="nil"/>
              <w:right w:w="100" w:type="nil"/>
            </w:tcMar>
          </w:tcPr>
          <w:p w14:paraId="52B035C1" w14:textId="0A64CD0B" w:rsidR="00055771" w:rsidRPr="00457B3B" w:rsidRDefault="00055771" w:rsidP="00EA22AE">
            <w:pPr>
              <w:pStyle w:val="Guidelinesnormalparagraph"/>
              <w:rPr>
                <w:rFonts w:ascii="Calibri" w:hAnsi="Calibri" w:cs="Calibri"/>
                <w:b/>
                <w:bCs/>
                <w:kern w:val="0"/>
                <w:szCs w:val="22"/>
                <w:u w:color="0000FF"/>
                <w:lang w:val="en-GB"/>
              </w:rPr>
            </w:pPr>
            <w:r w:rsidRPr="00457B3B">
              <w:rPr>
                <w:rFonts w:ascii="Calibri" w:hAnsi="Calibri" w:cs="Calibri"/>
                <w:b/>
                <w:bCs/>
                <w:kern w:val="0"/>
                <w:sz w:val="24"/>
                <w:u w:color="0000FF"/>
                <w:lang w:val="en-GB"/>
              </w:rPr>
              <w:t>Table 5.</w:t>
            </w:r>
            <w:r>
              <w:rPr>
                <w:rFonts w:ascii="Calibri" w:hAnsi="Calibri" w:cs="Calibri"/>
                <w:b/>
                <w:bCs/>
                <w:kern w:val="0"/>
                <w:sz w:val="24"/>
                <w:u w:color="0000FF"/>
                <w:lang w:val="en-GB"/>
              </w:rPr>
              <w:t>3</w:t>
            </w:r>
            <w:r w:rsidRPr="00457B3B">
              <w:rPr>
                <w:rFonts w:ascii="Calibri" w:hAnsi="Calibri" w:cs="Calibri"/>
                <w:b/>
                <w:bCs/>
                <w:kern w:val="0"/>
                <w:sz w:val="24"/>
                <w:u w:color="0000FF"/>
                <w:lang w:val="en-GB"/>
              </w:rPr>
              <w:t xml:space="preserve"> - Terminology in legislation of legal mechanisms of substitute decision making for adults in Australian States and Territories</w:t>
            </w:r>
          </w:p>
        </w:tc>
      </w:tr>
      <w:tr w:rsidR="00055771" w:rsidRPr="007E1B57" w14:paraId="00835B0B" w14:textId="77777777">
        <w:tblPrEx>
          <w:tblBorders>
            <w:top w:val="none" w:sz="0" w:space="0" w:color="auto"/>
          </w:tblBorders>
        </w:tblPrEx>
        <w:tc>
          <w:tcPr>
            <w:tcW w:w="1133" w:type="dxa"/>
            <w:tcBorders>
              <w:top w:val="single" w:sz="4" w:space="0" w:color="auto"/>
              <w:bottom w:val="single" w:sz="4" w:space="0" w:color="auto"/>
              <w:right w:val="single" w:sz="4" w:space="0" w:color="auto"/>
            </w:tcBorders>
            <w:tcMar>
              <w:top w:w="100" w:type="nil"/>
              <w:right w:w="100" w:type="nil"/>
            </w:tcMar>
          </w:tcPr>
          <w:p w14:paraId="3A223B4E" w14:textId="77777777" w:rsidR="00055771" w:rsidRPr="007E1B57" w:rsidRDefault="00055771" w:rsidP="00EA22AE">
            <w:pPr>
              <w:pStyle w:val="Guidelinesnormalparagraph"/>
              <w:rPr>
                <w:rFonts w:ascii="Calibri" w:hAnsi="Calibri" w:cs="Calibri"/>
                <w:kern w:val="0"/>
                <w:szCs w:val="22"/>
                <w:u w:color="0000FF"/>
                <w:lang w:val="en-GB"/>
              </w:rPr>
            </w:pPr>
          </w:p>
        </w:tc>
        <w:tc>
          <w:tcPr>
            <w:tcW w:w="999" w:type="dxa"/>
            <w:tcBorders>
              <w:top w:val="single" w:sz="4" w:space="0" w:color="auto"/>
              <w:left w:val="single" w:sz="4" w:space="0" w:color="auto"/>
              <w:bottom w:val="single" w:sz="4" w:space="0" w:color="auto"/>
              <w:right w:val="single" w:sz="4" w:space="0" w:color="auto"/>
            </w:tcBorders>
            <w:tcMar>
              <w:top w:w="100" w:type="nil"/>
              <w:right w:w="100" w:type="nil"/>
            </w:tcMar>
          </w:tcPr>
          <w:p w14:paraId="4E49FDBF"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ACT</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07985D22"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NSW</w:t>
            </w:r>
          </w:p>
        </w:tc>
        <w:tc>
          <w:tcPr>
            <w:tcW w:w="992" w:type="dxa"/>
            <w:tcBorders>
              <w:top w:val="single" w:sz="4" w:space="0" w:color="auto"/>
              <w:left w:val="single" w:sz="4" w:space="0" w:color="auto"/>
              <w:bottom w:val="single" w:sz="4" w:space="0" w:color="auto"/>
              <w:right w:val="single" w:sz="4" w:space="0" w:color="auto"/>
            </w:tcBorders>
            <w:tcMar>
              <w:top w:w="100" w:type="nil"/>
              <w:right w:w="100" w:type="nil"/>
            </w:tcMar>
          </w:tcPr>
          <w:p w14:paraId="7B39A588"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NT</w:t>
            </w:r>
          </w:p>
        </w:tc>
        <w:tc>
          <w:tcPr>
            <w:tcW w:w="994" w:type="dxa"/>
            <w:tcBorders>
              <w:top w:val="single" w:sz="4" w:space="0" w:color="auto"/>
              <w:left w:val="single" w:sz="4" w:space="0" w:color="auto"/>
              <w:bottom w:val="single" w:sz="4" w:space="0" w:color="auto"/>
              <w:right w:val="single" w:sz="4" w:space="0" w:color="auto"/>
            </w:tcBorders>
            <w:tcMar>
              <w:top w:w="100" w:type="nil"/>
              <w:right w:w="100" w:type="nil"/>
            </w:tcMar>
          </w:tcPr>
          <w:p w14:paraId="6D905DD8"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Qld</w:t>
            </w:r>
          </w:p>
        </w:tc>
        <w:tc>
          <w:tcPr>
            <w:tcW w:w="1277" w:type="dxa"/>
            <w:tcBorders>
              <w:top w:val="single" w:sz="4" w:space="0" w:color="auto"/>
              <w:left w:val="single" w:sz="4" w:space="0" w:color="auto"/>
              <w:bottom w:val="single" w:sz="4" w:space="0" w:color="auto"/>
              <w:right w:val="single" w:sz="4" w:space="0" w:color="auto"/>
            </w:tcBorders>
            <w:tcMar>
              <w:top w:w="100" w:type="nil"/>
              <w:right w:w="100" w:type="nil"/>
            </w:tcMar>
          </w:tcPr>
          <w:p w14:paraId="566D2905"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SA</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34CB80E7"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Tas</w:t>
            </w:r>
          </w:p>
        </w:tc>
        <w:tc>
          <w:tcPr>
            <w:tcW w:w="1136" w:type="dxa"/>
            <w:tcBorders>
              <w:top w:val="single" w:sz="4" w:space="0" w:color="auto"/>
              <w:left w:val="single" w:sz="4" w:space="0" w:color="auto"/>
              <w:bottom w:val="single" w:sz="4" w:space="0" w:color="auto"/>
              <w:right w:val="single" w:sz="4" w:space="0" w:color="auto"/>
            </w:tcBorders>
            <w:tcMar>
              <w:top w:w="100" w:type="nil"/>
              <w:right w:w="100" w:type="nil"/>
            </w:tcMar>
          </w:tcPr>
          <w:p w14:paraId="7E1D00D2"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Vic</w:t>
            </w:r>
          </w:p>
        </w:tc>
        <w:tc>
          <w:tcPr>
            <w:tcW w:w="1280" w:type="dxa"/>
            <w:tcBorders>
              <w:top w:val="single" w:sz="4" w:space="0" w:color="auto"/>
              <w:left w:val="single" w:sz="4" w:space="0" w:color="auto"/>
              <w:bottom w:val="single" w:sz="4" w:space="0" w:color="auto"/>
            </w:tcBorders>
            <w:tcMar>
              <w:top w:w="100" w:type="nil"/>
              <w:right w:w="100" w:type="nil"/>
            </w:tcMar>
          </w:tcPr>
          <w:p w14:paraId="39B56F80"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WA</w:t>
            </w:r>
          </w:p>
        </w:tc>
      </w:tr>
      <w:tr w:rsidR="00055771" w:rsidRPr="007E1B57" w14:paraId="6E704BBA" w14:textId="77777777">
        <w:tblPrEx>
          <w:tblBorders>
            <w:top w:val="none" w:sz="0" w:space="0" w:color="auto"/>
          </w:tblBorders>
        </w:tblPrEx>
        <w:tc>
          <w:tcPr>
            <w:tcW w:w="1133" w:type="dxa"/>
            <w:tcBorders>
              <w:top w:val="single" w:sz="4" w:space="0" w:color="auto"/>
              <w:bottom w:val="single" w:sz="4" w:space="0" w:color="auto"/>
              <w:right w:val="single" w:sz="4" w:space="0" w:color="auto"/>
            </w:tcBorders>
            <w:tcMar>
              <w:top w:w="100" w:type="nil"/>
              <w:right w:w="100" w:type="nil"/>
            </w:tcMar>
          </w:tcPr>
          <w:p w14:paraId="4A486ACB"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Advance care directive</w:t>
            </w:r>
          </w:p>
        </w:tc>
        <w:tc>
          <w:tcPr>
            <w:tcW w:w="999" w:type="dxa"/>
            <w:tcBorders>
              <w:top w:val="single" w:sz="4" w:space="0" w:color="auto"/>
              <w:left w:val="single" w:sz="4" w:space="0" w:color="auto"/>
              <w:bottom w:val="single" w:sz="4" w:space="0" w:color="auto"/>
              <w:right w:val="single" w:sz="4" w:space="0" w:color="auto"/>
            </w:tcBorders>
            <w:tcMar>
              <w:top w:w="100" w:type="nil"/>
              <w:right w:w="100" w:type="nil"/>
            </w:tcMar>
          </w:tcPr>
          <w:p w14:paraId="5735D79F"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Health direction</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479DC6F4"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(no statutory advance care directive)</w:t>
            </w:r>
          </w:p>
        </w:tc>
        <w:tc>
          <w:tcPr>
            <w:tcW w:w="992" w:type="dxa"/>
            <w:tcBorders>
              <w:top w:val="single" w:sz="4" w:space="0" w:color="auto"/>
              <w:left w:val="single" w:sz="4" w:space="0" w:color="auto"/>
              <w:bottom w:val="single" w:sz="4" w:space="0" w:color="auto"/>
              <w:right w:val="single" w:sz="4" w:space="0" w:color="auto"/>
            </w:tcBorders>
            <w:tcMar>
              <w:top w:w="100" w:type="nil"/>
              <w:right w:w="100" w:type="nil"/>
            </w:tcMar>
          </w:tcPr>
          <w:p w14:paraId="0AE65077"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Advance personal plan</w:t>
            </w:r>
          </w:p>
        </w:tc>
        <w:tc>
          <w:tcPr>
            <w:tcW w:w="994" w:type="dxa"/>
            <w:tcBorders>
              <w:top w:val="single" w:sz="4" w:space="0" w:color="auto"/>
              <w:left w:val="single" w:sz="4" w:space="0" w:color="auto"/>
              <w:bottom w:val="single" w:sz="4" w:space="0" w:color="auto"/>
              <w:right w:val="single" w:sz="4" w:space="0" w:color="auto"/>
            </w:tcBorders>
            <w:tcMar>
              <w:top w:w="100" w:type="nil"/>
              <w:right w:w="100" w:type="nil"/>
            </w:tcMar>
          </w:tcPr>
          <w:p w14:paraId="40A9A632"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Advance health directive</w:t>
            </w:r>
          </w:p>
        </w:tc>
        <w:tc>
          <w:tcPr>
            <w:tcW w:w="1277" w:type="dxa"/>
            <w:tcBorders>
              <w:top w:val="single" w:sz="4" w:space="0" w:color="auto"/>
              <w:left w:val="single" w:sz="4" w:space="0" w:color="auto"/>
              <w:bottom w:val="single" w:sz="4" w:space="0" w:color="auto"/>
              <w:right w:val="single" w:sz="4" w:space="0" w:color="auto"/>
            </w:tcBorders>
            <w:tcMar>
              <w:top w:w="100" w:type="nil"/>
              <w:right w:w="100" w:type="nil"/>
            </w:tcMar>
          </w:tcPr>
          <w:p w14:paraId="47599226"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Advance care directive</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5248884E" w14:textId="77777777" w:rsidR="00055771" w:rsidRPr="007E1B57" w:rsidRDefault="00055771" w:rsidP="00EA22AE">
            <w:pPr>
              <w:pStyle w:val="Guidelinesnormalparagraph"/>
              <w:rPr>
                <w:rFonts w:ascii="Calibri" w:hAnsi="Calibri" w:cs="Calibri"/>
                <w:kern w:val="0"/>
                <w:szCs w:val="22"/>
                <w:u w:color="0000FF"/>
                <w:lang w:val="en-GB"/>
              </w:rPr>
            </w:pPr>
            <w:r>
              <w:rPr>
                <w:rFonts w:ascii="Calibri" w:hAnsi="Calibri" w:cs="Calibri"/>
                <w:kern w:val="0"/>
                <w:szCs w:val="22"/>
                <w:u w:color="0000FF"/>
                <w:lang w:val="en-GB"/>
              </w:rPr>
              <w:t>Advance care directives</w:t>
            </w:r>
          </w:p>
        </w:tc>
        <w:tc>
          <w:tcPr>
            <w:tcW w:w="1136" w:type="dxa"/>
            <w:tcBorders>
              <w:top w:val="single" w:sz="4" w:space="0" w:color="auto"/>
              <w:left w:val="single" w:sz="4" w:space="0" w:color="auto"/>
              <w:bottom w:val="single" w:sz="4" w:space="0" w:color="auto"/>
              <w:right w:val="single" w:sz="4" w:space="0" w:color="auto"/>
            </w:tcBorders>
            <w:tcMar>
              <w:top w:w="100" w:type="nil"/>
              <w:right w:w="100" w:type="nil"/>
            </w:tcMar>
          </w:tcPr>
          <w:p w14:paraId="43A203A2"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Advance care directive</w:t>
            </w:r>
          </w:p>
        </w:tc>
        <w:tc>
          <w:tcPr>
            <w:tcW w:w="1280" w:type="dxa"/>
            <w:tcBorders>
              <w:top w:val="single" w:sz="4" w:space="0" w:color="auto"/>
              <w:left w:val="single" w:sz="4" w:space="0" w:color="auto"/>
              <w:bottom w:val="single" w:sz="4" w:space="0" w:color="auto"/>
            </w:tcBorders>
            <w:tcMar>
              <w:top w:w="100" w:type="nil"/>
              <w:right w:w="100" w:type="nil"/>
            </w:tcMar>
          </w:tcPr>
          <w:p w14:paraId="39723BE3"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Advance health directive</w:t>
            </w:r>
          </w:p>
        </w:tc>
      </w:tr>
      <w:tr w:rsidR="00055771" w:rsidRPr="007E1B57" w14:paraId="77F540E5" w14:textId="77777777">
        <w:tblPrEx>
          <w:tblBorders>
            <w:top w:val="none" w:sz="0" w:space="0" w:color="auto"/>
          </w:tblBorders>
        </w:tblPrEx>
        <w:tc>
          <w:tcPr>
            <w:tcW w:w="1133" w:type="dxa"/>
            <w:tcBorders>
              <w:top w:val="single" w:sz="4" w:space="0" w:color="auto"/>
              <w:bottom w:val="single" w:sz="4" w:space="0" w:color="auto"/>
              <w:right w:val="single" w:sz="4" w:space="0" w:color="auto"/>
            </w:tcBorders>
            <w:tcMar>
              <w:top w:w="100" w:type="nil"/>
              <w:right w:w="100" w:type="nil"/>
            </w:tcMar>
          </w:tcPr>
          <w:p w14:paraId="65161DB9"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Substitute decision- maker appointed by the person</w:t>
            </w:r>
          </w:p>
        </w:tc>
        <w:tc>
          <w:tcPr>
            <w:tcW w:w="999" w:type="dxa"/>
            <w:tcBorders>
              <w:top w:val="single" w:sz="4" w:space="0" w:color="auto"/>
              <w:left w:val="single" w:sz="4" w:space="0" w:color="auto"/>
              <w:bottom w:val="single" w:sz="4" w:space="0" w:color="auto"/>
              <w:right w:val="single" w:sz="4" w:space="0" w:color="auto"/>
            </w:tcBorders>
            <w:tcMar>
              <w:top w:w="100" w:type="nil"/>
              <w:right w:w="100" w:type="nil"/>
            </w:tcMar>
          </w:tcPr>
          <w:p w14:paraId="1C7F257D"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Enduring attorney</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54CDF9BC"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Enduring guardian</w:t>
            </w:r>
          </w:p>
        </w:tc>
        <w:tc>
          <w:tcPr>
            <w:tcW w:w="992" w:type="dxa"/>
            <w:tcBorders>
              <w:top w:val="single" w:sz="4" w:space="0" w:color="auto"/>
              <w:left w:val="single" w:sz="4" w:space="0" w:color="auto"/>
              <w:bottom w:val="single" w:sz="4" w:space="0" w:color="auto"/>
              <w:right w:val="single" w:sz="4" w:space="0" w:color="auto"/>
            </w:tcBorders>
            <w:tcMar>
              <w:top w:w="100" w:type="nil"/>
              <w:right w:w="100" w:type="nil"/>
            </w:tcMar>
          </w:tcPr>
          <w:p w14:paraId="7CF28C84"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Decision- maker</w:t>
            </w:r>
          </w:p>
        </w:tc>
        <w:tc>
          <w:tcPr>
            <w:tcW w:w="994" w:type="dxa"/>
            <w:tcBorders>
              <w:top w:val="single" w:sz="4" w:space="0" w:color="auto"/>
              <w:left w:val="single" w:sz="4" w:space="0" w:color="auto"/>
              <w:bottom w:val="single" w:sz="4" w:space="0" w:color="auto"/>
              <w:right w:val="single" w:sz="4" w:space="0" w:color="auto"/>
            </w:tcBorders>
            <w:tcMar>
              <w:top w:w="100" w:type="nil"/>
              <w:right w:w="100" w:type="nil"/>
            </w:tcMar>
          </w:tcPr>
          <w:p w14:paraId="0005A163"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Enduring attorney</w:t>
            </w:r>
          </w:p>
        </w:tc>
        <w:tc>
          <w:tcPr>
            <w:tcW w:w="1277" w:type="dxa"/>
            <w:tcBorders>
              <w:top w:val="single" w:sz="4" w:space="0" w:color="auto"/>
              <w:left w:val="single" w:sz="4" w:space="0" w:color="auto"/>
              <w:bottom w:val="single" w:sz="4" w:space="0" w:color="auto"/>
              <w:right w:val="single" w:sz="4" w:space="0" w:color="auto"/>
            </w:tcBorders>
            <w:tcMar>
              <w:top w:w="100" w:type="nil"/>
              <w:right w:w="100" w:type="nil"/>
            </w:tcMar>
          </w:tcPr>
          <w:p w14:paraId="730D0923"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Substitute decision- maker</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56246A11"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Enduring guardian</w:t>
            </w:r>
          </w:p>
        </w:tc>
        <w:tc>
          <w:tcPr>
            <w:tcW w:w="1136" w:type="dxa"/>
            <w:tcBorders>
              <w:top w:val="single" w:sz="4" w:space="0" w:color="auto"/>
              <w:left w:val="single" w:sz="4" w:space="0" w:color="auto"/>
              <w:bottom w:val="single" w:sz="4" w:space="0" w:color="auto"/>
              <w:right w:val="single" w:sz="4" w:space="0" w:color="auto"/>
            </w:tcBorders>
            <w:tcMar>
              <w:top w:w="100" w:type="nil"/>
              <w:right w:w="100" w:type="nil"/>
            </w:tcMar>
          </w:tcPr>
          <w:p w14:paraId="4E05FA99"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 xml:space="preserve">Enduring guardian and/or Medical treatment </w:t>
            </w:r>
            <w:r w:rsidRPr="007E1B57">
              <w:rPr>
                <w:rFonts w:ascii="Calibri" w:hAnsi="Calibri" w:cs="Calibri"/>
                <w:kern w:val="0"/>
                <w:szCs w:val="22"/>
                <w:u w:color="0000FF"/>
                <w:lang w:val="en-GB"/>
              </w:rPr>
              <w:lastRenderedPageBreak/>
              <w:t>decision maker</w:t>
            </w:r>
          </w:p>
        </w:tc>
        <w:tc>
          <w:tcPr>
            <w:tcW w:w="1280" w:type="dxa"/>
            <w:tcBorders>
              <w:top w:val="single" w:sz="4" w:space="0" w:color="auto"/>
              <w:left w:val="single" w:sz="4" w:space="0" w:color="auto"/>
              <w:bottom w:val="single" w:sz="4" w:space="0" w:color="auto"/>
            </w:tcBorders>
            <w:tcMar>
              <w:top w:w="100" w:type="nil"/>
              <w:right w:w="100" w:type="nil"/>
            </w:tcMar>
          </w:tcPr>
          <w:p w14:paraId="566B930D"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lastRenderedPageBreak/>
              <w:t>Enduring guardian</w:t>
            </w:r>
          </w:p>
        </w:tc>
      </w:tr>
      <w:tr w:rsidR="00055771" w:rsidRPr="007E1B57" w14:paraId="7895E0AC" w14:textId="77777777">
        <w:tblPrEx>
          <w:tblBorders>
            <w:top w:val="none" w:sz="0" w:space="0" w:color="auto"/>
          </w:tblBorders>
        </w:tblPrEx>
        <w:tc>
          <w:tcPr>
            <w:tcW w:w="1133" w:type="dxa"/>
            <w:tcBorders>
              <w:top w:val="single" w:sz="4" w:space="0" w:color="auto"/>
              <w:bottom w:val="single" w:sz="4" w:space="0" w:color="auto"/>
              <w:right w:val="single" w:sz="4" w:space="0" w:color="auto"/>
            </w:tcBorders>
            <w:tcMar>
              <w:top w:w="100" w:type="nil"/>
              <w:right w:w="100" w:type="nil"/>
            </w:tcMar>
          </w:tcPr>
          <w:p w14:paraId="16C795F8"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Substitute decision- maker appointed by a tribunal or court</w:t>
            </w:r>
          </w:p>
        </w:tc>
        <w:tc>
          <w:tcPr>
            <w:tcW w:w="999" w:type="dxa"/>
            <w:tcBorders>
              <w:top w:val="single" w:sz="4" w:space="0" w:color="auto"/>
              <w:left w:val="single" w:sz="4" w:space="0" w:color="auto"/>
              <w:bottom w:val="single" w:sz="4" w:space="0" w:color="auto"/>
              <w:right w:val="single" w:sz="4" w:space="0" w:color="auto"/>
            </w:tcBorders>
            <w:tcMar>
              <w:top w:w="100" w:type="nil"/>
              <w:right w:w="100" w:type="nil"/>
            </w:tcMar>
          </w:tcPr>
          <w:p w14:paraId="01D0F97A"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Guardian</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48FF8181"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Guardian</w:t>
            </w:r>
          </w:p>
        </w:tc>
        <w:tc>
          <w:tcPr>
            <w:tcW w:w="992" w:type="dxa"/>
            <w:tcBorders>
              <w:top w:val="single" w:sz="4" w:space="0" w:color="auto"/>
              <w:left w:val="single" w:sz="4" w:space="0" w:color="auto"/>
              <w:bottom w:val="single" w:sz="4" w:space="0" w:color="auto"/>
              <w:right w:val="single" w:sz="4" w:space="0" w:color="auto"/>
            </w:tcBorders>
            <w:tcMar>
              <w:top w:w="100" w:type="nil"/>
              <w:right w:w="100" w:type="nil"/>
            </w:tcMar>
          </w:tcPr>
          <w:p w14:paraId="0D1816F3"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Guardian</w:t>
            </w:r>
          </w:p>
        </w:tc>
        <w:tc>
          <w:tcPr>
            <w:tcW w:w="994" w:type="dxa"/>
            <w:tcBorders>
              <w:top w:val="single" w:sz="4" w:space="0" w:color="auto"/>
              <w:left w:val="single" w:sz="4" w:space="0" w:color="auto"/>
              <w:bottom w:val="single" w:sz="4" w:space="0" w:color="auto"/>
              <w:right w:val="single" w:sz="4" w:space="0" w:color="auto"/>
            </w:tcBorders>
            <w:tcMar>
              <w:top w:w="100" w:type="nil"/>
              <w:right w:w="100" w:type="nil"/>
            </w:tcMar>
          </w:tcPr>
          <w:p w14:paraId="70350DAA"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Guardian</w:t>
            </w:r>
          </w:p>
        </w:tc>
        <w:tc>
          <w:tcPr>
            <w:tcW w:w="1277" w:type="dxa"/>
            <w:tcBorders>
              <w:top w:val="single" w:sz="4" w:space="0" w:color="auto"/>
              <w:left w:val="single" w:sz="4" w:space="0" w:color="auto"/>
              <w:bottom w:val="single" w:sz="4" w:space="0" w:color="auto"/>
              <w:right w:val="single" w:sz="4" w:space="0" w:color="auto"/>
            </w:tcBorders>
            <w:tcMar>
              <w:top w:w="100" w:type="nil"/>
              <w:right w:w="100" w:type="nil"/>
            </w:tcMar>
          </w:tcPr>
          <w:p w14:paraId="3E5A2519"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Guardian</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234E111E"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Guardian</w:t>
            </w:r>
          </w:p>
        </w:tc>
        <w:tc>
          <w:tcPr>
            <w:tcW w:w="1136" w:type="dxa"/>
            <w:tcBorders>
              <w:top w:val="single" w:sz="4" w:space="0" w:color="auto"/>
              <w:left w:val="single" w:sz="4" w:space="0" w:color="auto"/>
              <w:bottom w:val="single" w:sz="4" w:space="0" w:color="auto"/>
              <w:right w:val="single" w:sz="4" w:space="0" w:color="auto"/>
            </w:tcBorders>
            <w:tcMar>
              <w:top w:w="100" w:type="nil"/>
              <w:right w:w="100" w:type="nil"/>
            </w:tcMar>
          </w:tcPr>
          <w:p w14:paraId="04F367FF"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Guardian</w:t>
            </w:r>
          </w:p>
        </w:tc>
        <w:tc>
          <w:tcPr>
            <w:tcW w:w="1280" w:type="dxa"/>
            <w:tcBorders>
              <w:top w:val="single" w:sz="4" w:space="0" w:color="auto"/>
              <w:left w:val="single" w:sz="4" w:space="0" w:color="auto"/>
              <w:bottom w:val="single" w:sz="4" w:space="0" w:color="auto"/>
            </w:tcBorders>
            <w:tcMar>
              <w:top w:w="100" w:type="nil"/>
              <w:right w:w="100" w:type="nil"/>
            </w:tcMar>
          </w:tcPr>
          <w:p w14:paraId="08E948AE"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Guardian</w:t>
            </w:r>
          </w:p>
        </w:tc>
      </w:tr>
      <w:tr w:rsidR="00055771" w:rsidRPr="007E1B57" w14:paraId="2211028C" w14:textId="77777777">
        <w:tblPrEx>
          <w:tblBorders>
            <w:top w:val="none" w:sz="0" w:space="0" w:color="auto"/>
            <w:bottom w:val="single" w:sz="4" w:space="0" w:color="auto"/>
          </w:tblBorders>
        </w:tblPrEx>
        <w:tc>
          <w:tcPr>
            <w:tcW w:w="1133" w:type="dxa"/>
            <w:tcBorders>
              <w:top w:val="single" w:sz="4" w:space="0" w:color="auto"/>
              <w:bottom w:val="single" w:sz="4" w:space="0" w:color="auto"/>
              <w:right w:val="single" w:sz="4" w:space="0" w:color="auto"/>
            </w:tcBorders>
            <w:tcMar>
              <w:top w:w="100" w:type="nil"/>
              <w:right w:w="100" w:type="nil"/>
            </w:tcMar>
          </w:tcPr>
          <w:p w14:paraId="28D91FCC"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Legislative default decision- maker</w:t>
            </w:r>
          </w:p>
        </w:tc>
        <w:tc>
          <w:tcPr>
            <w:tcW w:w="999" w:type="dxa"/>
            <w:tcBorders>
              <w:top w:val="single" w:sz="4" w:space="0" w:color="auto"/>
              <w:left w:val="single" w:sz="4" w:space="0" w:color="auto"/>
              <w:bottom w:val="single" w:sz="4" w:space="0" w:color="auto"/>
              <w:right w:val="single" w:sz="4" w:space="0" w:color="auto"/>
            </w:tcBorders>
            <w:tcMar>
              <w:top w:w="100" w:type="nil"/>
              <w:right w:w="100" w:type="nil"/>
            </w:tcMar>
          </w:tcPr>
          <w:p w14:paraId="2CA58B95"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Health attorney</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65E8AEFD"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Person responsible</w:t>
            </w:r>
          </w:p>
        </w:tc>
        <w:tc>
          <w:tcPr>
            <w:tcW w:w="992" w:type="dxa"/>
            <w:tcBorders>
              <w:top w:val="single" w:sz="4" w:space="0" w:color="auto"/>
              <w:left w:val="single" w:sz="4" w:space="0" w:color="auto"/>
              <w:bottom w:val="single" w:sz="4" w:space="0" w:color="auto"/>
              <w:right w:val="single" w:sz="4" w:space="0" w:color="auto"/>
            </w:tcBorders>
            <w:tcMar>
              <w:top w:w="100" w:type="nil"/>
              <w:right w:w="100" w:type="nil"/>
            </w:tcMar>
          </w:tcPr>
          <w:p w14:paraId="2A8E1447"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(no statutory default decision- maker)</w:t>
            </w:r>
          </w:p>
        </w:tc>
        <w:tc>
          <w:tcPr>
            <w:tcW w:w="994" w:type="dxa"/>
            <w:tcBorders>
              <w:top w:val="single" w:sz="4" w:space="0" w:color="auto"/>
              <w:left w:val="single" w:sz="4" w:space="0" w:color="auto"/>
              <w:bottom w:val="single" w:sz="4" w:space="0" w:color="auto"/>
              <w:right w:val="single" w:sz="4" w:space="0" w:color="auto"/>
            </w:tcBorders>
            <w:tcMar>
              <w:top w:w="100" w:type="nil"/>
              <w:right w:w="100" w:type="nil"/>
            </w:tcMar>
          </w:tcPr>
          <w:p w14:paraId="27AC9EA4"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Statutory health attorney</w:t>
            </w:r>
          </w:p>
        </w:tc>
        <w:tc>
          <w:tcPr>
            <w:tcW w:w="1277" w:type="dxa"/>
            <w:tcBorders>
              <w:top w:val="single" w:sz="4" w:space="0" w:color="auto"/>
              <w:left w:val="single" w:sz="4" w:space="0" w:color="auto"/>
              <w:bottom w:val="single" w:sz="4" w:space="0" w:color="auto"/>
              <w:right w:val="single" w:sz="4" w:space="0" w:color="auto"/>
            </w:tcBorders>
            <w:tcMar>
              <w:top w:w="100" w:type="nil"/>
              <w:right w:w="100" w:type="nil"/>
            </w:tcMar>
          </w:tcPr>
          <w:p w14:paraId="244ED1EC"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Person responsible</w:t>
            </w:r>
          </w:p>
        </w:tc>
        <w:tc>
          <w:tcPr>
            <w:tcW w:w="1275" w:type="dxa"/>
            <w:tcBorders>
              <w:top w:val="single" w:sz="4" w:space="0" w:color="auto"/>
              <w:left w:val="single" w:sz="4" w:space="0" w:color="auto"/>
              <w:bottom w:val="single" w:sz="4" w:space="0" w:color="auto"/>
              <w:right w:val="single" w:sz="4" w:space="0" w:color="auto"/>
            </w:tcBorders>
            <w:tcMar>
              <w:top w:w="100" w:type="nil"/>
              <w:right w:w="100" w:type="nil"/>
            </w:tcMar>
          </w:tcPr>
          <w:p w14:paraId="7ED80420"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Person responsible</w:t>
            </w:r>
          </w:p>
        </w:tc>
        <w:tc>
          <w:tcPr>
            <w:tcW w:w="1136" w:type="dxa"/>
            <w:tcBorders>
              <w:top w:val="single" w:sz="4" w:space="0" w:color="auto"/>
              <w:left w:val="single" w:sz="4" w:space="0" w:color="auto"/>
              <w:bottom w:val="single" w:sz="4" w:space="0" w:color="auto"/>
              <w:right w:val="single" w:sz="4" w:space="0" w:color="auto"/>
            </w:tcBorders>
            <w:tcMar>
              <w:top w:w="100" w:type="nil"/>
              <w:right w:w="100" w:type="nil"/>
            </w:tcMar>
          </w:tcPr>
          <w:p w14:paraId="40234513"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Medical treatment decision maker</w:t>
            </w:r>
          </w:p>
        </w:tc>
        <w:tc>
          <w:tcPr>
            <w:tcW w:w="1280" w:type="dxa"/>
            <w:tcBorders>
              <w:top w:val="single" w:sz="4" w:space="0" w:color="auto"/>
              <w:left w:val="single" w:sz="4" w:space="0" w:color="auto"/>
              <w:bottom w:val="single" w:sz="4" w:space="0" w:color="auto"/>
            </w:tcBorders>
            <w:tcMar>
              <w:top w:w="100" w:type="nil"/>
              <w:right w:w="100" w:type="nil"/>
            </w:tcMar>
          </w:tcPr>
          <w:p w14:paraId="241DB0B6" w14:textId="77777777" w:rsidR="00055771" w:rsidRPr="007E1B57" w:rsidRDefault="00055771"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Person responsible</w:t>
            </w:r>
          </w:p>
        </w:tc>
      </w:tr>
    </w:tbl>
    <w:p w14:paraId="4FB53431" w14:textId="77777777" w:rsidR="006C6EBA" w:rsidRPr="006720E4" w:rsidRDefault="006C6EBA" w:rsidP="00EA22AE">
      <w:pPr>
        <w:spacing w:after="120"/>
        <w:rPr>
          <w:rFonts w:ascii="Calibri" w:hAnsi="Calibri" w:cs="Calibri"/>
          <w:sz w:val="22"/>
          <w:szCs w:val="22"/>
        </w:rPr>
      </w:pPr>
    </w:p>
    <w:p w14:paraId="75A02991" w14:textId="29E90D55" w:rsidR="006C6EBA" w:rsidRPr="006720E4" w:rsidRDefault="006C6EBA" w:rsidP="00EA22AE">
      <w:pPr>
        <w:pStyle w:val="Heading3"/>
        <w:spacing w:after="120"/>
      </w:pPr>
      <w:bookmarkStart w:id="1928" w:name="_Substitute_decision-making_on"/>
      <w:bookmarkStart w:id="1929" w:name="_Disputes_in_substitute"/>
      <w:bookmarkStart w:id="1930" w:name="_Toc70538774"/>
      <w:bookmarkStart w:id="1931" w:name="_Toc72615085"/>
      <w:bookmarkStart w:id="1932" w:name="_Toc73129805"/>
      <w:bookmarkStart w:id="1933" w:name="_Toc73301674"/>
      <w:bookmarkStart w:id="1934" w:name="_Toc73302180"/>
      <w:bookmarkStart w:id="1935" w:name="_Toc73303313"/>
      <w:bookmarkStart w:id="1936" w:name="_Toc74081458"/>
      <w:bookmarkStart w:id="1937" w:name="_Toc74172235"/>
      <w:bookmarkStart w:id="1938" w:name="_Toc74172771"/>
      <w:bookmarkStart w:id="1939" w:name="_Toc82773558"/>
      <w:bookmarkStart w:id="1940" w:name="_Toc82773911"/>
      <w:bookmarkEnd w:id="1928"/>
      <w:bookmarkEnd w:id="1929"/>
      <w:r w:rsidRPr="006720E4">
        <w:t>Disputes in substitute decision-</w:t>
      </w:r>
      <w:bookmarkEnd w:id="1930"/>
      <w:bookmarkEnd w:id="1931"/>
      <w:bookmarkEnd w:id="1932"/>
      <w:bookmarkEnd w:id="1933"/>
      <w:bookmarkEnd w:id="1934"/>
      <w:bookmarkEnd w:id="1935"/>
      <w:bookmarkEnd w:id="1936"/>
      <w:bookmarkEnd w:id="1937"/>
      <w:bookmarkEnd w:id="1938"/>
      <w:r w:rsidRPr="006720E4">
        <w:t>making about transplants</w:t>
      </w:r>
      <w:bookmarkEnd w:id="1939"/>
      <w:bookmarkEnd w:id="1940"/>
    </w:p>
    <w:p w14:paraId="1C67A3DA" w14:textId="000D252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Where disputes arise between substitute decision-makers as to whether to consent or refuse consent to a proposed transplant, or there are concerns that the decision made by the substitute decision-maker is not appropriate, the law provides a legal mechanism for resolving disputes where clinical and ethical processes are unable to resolve the disagreement. </w:t>
      </w:r>
    </w:p>
    <w:p w14:paraId="4F05A58E" w14:textId="13581EB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Australian jurisdictions (e.g., Queensland and Victoria), recourse can be made to the State official – the Public Guardian or Public Advocate – to mediate or decide a medical decision, particularly for adult patients. In addition, in all jurisdictions an application can be made to the relevant State or Territory Administrative Tribunal or a Supreme Court or the Family Court (in relation to children) to have a substitute decision-maker’s decision reviewed and potentially overridden. </w:t>
      </w:r>
    </w:p>
    <w:p w14:paraId="26AD1DBE" w14:textId="7538B06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See </w:t>
      </w:r>
      <w:hyperlink w:anchor="_Disputes_in_deceased" w:history="1">
        <w:r w:rsidRPr="006720E4">
          <w:rPr>
            <w:rStyle w:val="Hyperlink"/>
            <w:rFonts w:ascii="Calibri" w:hAnsi="Calibri" w:cs="Calibri"/>
            <w:sz w:val="22"/>
            <w:szCs w:val="22"/>
          </w:rPr>
          <w:t xml:space="preserve">Chapter </w:t>
        </w:r>
        <w:r w:rsidR="002E55B2">
          <w:rPr>
            <w:rStyle w:val="Hyperlink"/>
            <w:rFonts w:ascii="Calibri" w:hAnsi="Calibri" w:cs="Calibri"/>
            <w:sz w:val="22"/>
            <w:szCs w:val="22"/>
          </w:rPr>
          <w:t>5</w:t>
        </w:r>
        <w:r w:rsidRPr="006720E4">
          <w:rPr>
            <w:rStyle w:val="Hyperlink"/>
            <w:rFonts w:ascii="Calibri" w:hAnsi="Calibri" w:cs="Calibri"/>
            <w:sz w:val="22"/>
            <w:szCs w:val="22"/>
          </w:rPr>
          <w:t>.4.3</w:t>
        </w:r>
      </w:hyperlink>
      <w:r w:rsidRPr="006720E4">
        <w:rPr>
          <w:rFonts w:ascii="Calibri" w:hAnsi="Calibri" w:cs="Calibri"/>
          <w:sz w:val="22"/>
          <w:szCs w:val="22"/>
        </w:rPr>
        <w:t xml:space="preserve"> for discussion of disputes in deceased donation decision-making. The legal aspects of substitute decision-making about living donation are discussed in </w:t>
      </w:r>
      <w:hyperlink w:anchor="_Living_donation_by" w:history="1">
        <w:r w:rsidRPr="006720E4">
          <w:rPr>
            <w:rStyle w:val="Hyperlink"/>
            <w:rFonts w:ascii="Calibri" w:hAnsi="Calibri" w:cs="Calibri"/>
            <w:sz w:val="22"/>
            <w:szCs w:val="22"/>
          </w:rPr>
          <w:t xml:space="preserve">Chapter </w:t>
        </w:r>
        <w:r w:rsidR="002E55B2">
          <w:rPr>
            <w:rStyle w:val="Hyperlink"/>
            <w:rFonts w:ascii="Calibri" w:hAnsi="Calibri" w:cs="Calibri"/>
            <w:sz w:val="22"/>
            <w:szCs w:val="22"/>
          </w:rPr>
          <w:t>5</w:t>
        </w:r>
        <w:r w:rsidRPr="006720E4">
          <w:rPr>
            <w:rStyle w:val="Hyperlink"/>
            <w:rFonts w:ascii="Calibri" w:hAnsi="Calibri" w:cs="Calibri"/>
            <w:sz w:val="22"/>
            <w:szCs w:val="22"/>
          </w:rPr>
          <w:t>.5</w:t>
        </w:r>
      </w:hyperlink>
      <w:r w:rsidRPr="006720E4">
        <w:rPr>
          <w:rFonts w:ascii="Calibri" w:hAnsi="Calibri" w:cs="Calibri"/>
          <w:sz w:val="22"/>
          <w:szCs w:val="22"/>
        </w:rPr>
        <w:t>.</w:t>
      </w:r>
    </w:p>
    <w:p w14:paraId="5A5ABDBD" w14:textId="707CF7D6" w:rsidR="006C6EBA" w:rsidRPr="006720E4" w:rsidRDefault="006C6EBA" w:rsidP="00EA22AE">
      <w:pPr>
        <w:pStyle w:val="Heading2"/>
        <w:spacing w:after="120"/>
      </w:pPr>
      <w:bookmarkStart w:id="1941" w:name="_Children:_Best_interests"/>
      <w:bookmarkStart w:id="1942" w:name="_Approaches_to_substitute"/>
      <w:bookmarkStart w:id="1943" w:name="_Toc79330855"/>
      <w:bookmarkStart w:id="1944" w:name="_Toc79331235"/>
      <w:bookmarkStart w:id="1945" w:name="_Toc79406365"/>
      <w:bookmarkStart w:id="1946" w:name="_Toc82773559"/>
      <w:bookmarkStart w:id="1947" w:name="_Toc82773912"/>
      <w:bookmarkStart w:id="1948" w:name="_Toc128314204"/>
      <w:bookmarkStart w:id="1949" w:name="_Toc135131448"/>
      <w:bookmarkStart w:id="1950" w:name="_Toc63683489"/>
      <w:bookmarkStart w:id="1951" w:name="_Toc70241837"/>
      <w:bookmarkStart w:id="1952" w:name="_Toc70243472"/>
      <w:bookmarkStart w:id="1953" w:name="_Toc70414960"/>
      <w:bookmarkStart w:id="1954" w:name="_Toc70538909"/>
      <w:bookmarkStart w:id="1955" w:name="_Toc72615220"/>
      <w:bookmarkStart w:id="1956" w:name="_Toc73129949"/>
      <w:bookmarkStart w:id="1957" w:name="_Toc73301824"/>
      <w:bookmarkStart w:id="1958" w:name="_Toc73302330"/>
      <w:bookmarkStart w:id="1959" w:name="_Toc73303463"/>
      <w:bookmarkStart w:id="1960" w:name="_Toc73303677"/>
      <w:bookmarkStart w:id="1961" w:name="_Toc74080794"/>
      <w:bookmarkStart w:id="1962" w:name="_Toc74081102"/>
      <w:bookmarkStart w:id="1963" w:name="_Toc74081332"/>
      <w:bookmarkStart w:id="1964" w:name="_Toc74081608"/>
      <w:bookmarkStart w:id="1965" w:name="_Toc74171163"/>
      <w:bookmarkStart w:id="1966" w:name="_Toc74172385"/>
      <w:bookmarkStart w:id="1967" w:name="_Toc74172921"/>
      <w:bookmarkStart w:id="1968" w:name="_Toc74238837"/>
      <w:bookmarkEnd w:id="1941"/>
      <w:bookmarkEnd w:id="1942"/>
      <w:r w:rsidRPr="006720E4">
        <w:t>Approaches to substitute decision-making</w:t>
      </w:r>
      <w:bookmarkEnd w:id="1943"/>
      <w:bookmarkEnd w:id="1944"/>
      <w:bookmarkEnd w:id="1945"/>
      <w:bookmarkEnd w:id="1946"/>
      <w:bookmarkEnd w:id="1947"/>
      <w:bookmarkEnd w:id="1948"/>
      <w:bookmarkEnd w:id="1949"/>
      <w:r w:rsidRPr="006720E4">
        <w:t xml:space="preserve"> </w:t>
      </w:r>
    </w:p>
    <w:p w14:paraId="662DF2F2" w14:textId="77777777" w:rsidR="006C6EBA" w:rsidRPr="006720E4" w:rsidRDefault="006C6EBA" w:rsidP="00EA22AE">
      <w:pPr>
        <w:pStyle w:val="Heading3"/>
        <w:spacing w:after="120"/>
      </w:pPr>
      <w:bookmarkStart w:id="1969" w:name="_Children:_Best_interests_1"/>
      <w:bookmarkStart w:id="1970" w:name="_Toc79406366"/>
      <w:bookmarkStart w:id="1971" w:name="_Toc82773560"/>
      <w:bookmarkStart w:id="1972" w:name="_Toc82773913"/>
      <w:bookmarkEnd w:id="1969"/>
      <w:r w:rsidRPr="006720E4">
        <w:t>Children: Best interests</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70"/>
      <w:bookmarkEnd w:id="1971"/>
      <w:bookmarkEnd w:id="1972"/>
    </w:p>
    <w:p w14:paraId="0BCE0E5A" w14:textId="053CB42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main guiding principle for decision-making regarding medical treatment in children is to consider what is in the particular child’s best interests. Consideration of best interests includes best medical or physical interests and also psychological, social, and general welfare considerations. It involves taking into account the known risks and potential benefits of donation or transplantation and the treatment options available. Where a child is able to communicate and has some understanding, their views and wishes should be considered in the assessment of best interests. The more mature a child, the more significance should be attached to their views. The assessment of best interests will usually be undertaken by parents (or legal representatives) in conjunction with the treating team. </w:t>
      </w:r>
    </w:p>
    <w:p w14:paraId="7B093D67" w14:textId="77777777" w:rsidR="006C6EBA" w:rsidRPr="006720E4" w:rsidRDefault="006C6EBA" w:rsidP="00EA22AE">
      <w:pPr>
        <w:pStyle w:val="Heading3"/>
        <w:spacing w:after="120"/>
      </w:pPr>
      <w:bookmarkStart w:id="1973" w:name="_Adults_lacking_decision-making"/>
      <w:bookmarkStart w:id="1974" w:name="_Toc63683490"/>
      <w:bookmarkStart w:id="1975" w:name="_Toc70241838"/>
      <w:bookmarkStart w:id="1976" w:name="_Toc70243473"/>
      <w:bookmarkStart w:id="1977" w:name="_Toc70414961"/>
      <w:bookmarkStart w:id="1978" w:name="_Toc70538910"/>
      <w:bookmarkStart w:id="1979" w:name="_Toc72615221"/>
      <w:bookmarkStart w:id="1980" w:name="_Toc73129950"/>
      <w:bookmarkStart w:id="1981" w:name="_Toc73301825"/>
      <w:bookmarkStart w:id="1982" w:name="_Toc73302331"/>
      <w:bookmarkStart w:id="1983" w:name="_Toc73303464"/>
      <w:bookmarkStart w:id="1984" w:name="_Toc73303678"/>
      <w:bookmarkStart w:id="1985" w:name="_Toc74080795"/>
      <w:bookmarkStart w:id="1986" w:name="_Toc74081103"/>
      <w:bookmarkStart w:id="1987" w:name="_Toc74081333"/>
      <w:bookmarkStart w:id="1988" w:name="_Toc74081609"/>
      <w:bookmarkStart w:id="1989" w:name="_Toc74171164"/>
      <w:bookmarkStart w:id="1990" w:name="_Toc74172386"/>
      <w:bookmarkStart w:id="1991" w:name="_Toc74172922"/>
      <w:bookmarkStart w:id="1992" w:name="_Toc74238838"/>
      <w:bookmarkStart w:id="1993" w:name="_Toc79406367"/>
      <w:bookmarkStart w:id="1994" w:name="_Toc82773561"/>
      <w:bookmarkStart w:id="1995" w:name="_Toc82773914"/>
      <w:bookmarkEnd w:id="1973"/>
      <w:r w:rsidRPr="006720E4">
        <w:t>Adults lacking decision-making capacity: Substituted judgement</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14:paraId="2C8586CA" w14:textId="6363371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substitute decision-maker making a decision about transplantation or donation on behalf of a person who lacks decision-making capacity (whether appointed by the person, a tribunal or via </w:t>
      </w:r>
      <w:r w:rsidRPr="006720E4">
        <w:rPr>
          <w:rFonts w:ascii="Calibri" w:hAnsi="Calibri" w:cs="Calibri"/>
          <w:sz w:val="22"/>
          <w:szCs w:val="22"/>
        </w:rPr>
        <w:lastRenderedPageBreak/>
        <w:t>legislation as a default decision-maker), will be required to take into account decision-making principles present in the legislation in each Australian jurisdiction. While these are specific to each jurisdiction, common considerations required to be taken into account are:</w:t>
      </w:r>
    </w:p>
    <w:p w14:paraId="1990BC4A" w14:textId="77777777" w:rsidR="006C6EBA" w:rsidRPr="006720E4" w:rsidRDefault="006C6EBA" w:rsidP="00EA22AE">
      <w:pPr>
        <w:pStyle w:val="ListParagraph"/>
        <w:numPr>
          <w:ilvl w:val="0"/>
          <w:numId w:val="6"/>
        </w:numPr>
        <w:spacing w:after="120"/>
        <w:ind w:left="714" w:hanging="357"/>
        <w:contextualSpacing w:val="0"/>
        <w:rPr>
          <w:rFonts w:cs="Calibri"/>
          <w:szCs w:val="22"/>
        </w:rPr>
      </w:pPr>
      <w:r w:rsidRPr="006720E4">
        <w:rPr>
          <w:rFonts w:cs="Calibri"/>
          <w:szCs w:val="22"/>
        </w:rPr>
        <w:t>The wishes and preferences of the person who lacks decision-making capacity;</w:t>
      </w:r>
    </w:p>
    <w:p w14:paraId="6094329B" w14:textId="77777777" w:rsidR="006C6EBA" w:rsidRPr="006720E4" w:rsidRDefault="006C6EBA" w:rsidP="00EA22AE">
      <w:pPr>
        <w:pStyle w:val="ListParagraph"/>
        <w:numPr>
          <w:ilvl w:val="0"/>
          <w:numId w:val="6"/>
        </w:numPr>
        <w:spacing w:after="120"/>
        <w:ind w:left="714" w:hanging="357"/>
        <w:contextualSpacing w:val="0"/>
        <w:rPr>
          <w:rFonts w:cs="Calibri"/>
          <w:szCs w:val="22"/>
        </w:rPr>
      </w:pPr>
      <w:r w:rsidRPr="006720E4">
        <w:rPr>
          <w:rFonts w:cs="Calibri"/>
          <w:szCs w:val="22"/>
        </w:rPr>
        <w:t>Adopting a ‘least restrictive approach’; and</w:t>
      </w:r>
    </w:p>
    <w:p w14:paraId="30664857" w14:textId="77777777" w:rsidR="006C6EBA" w:rsidRPr="006720E4" w:rsidRDefault="006C6EBA" w:rsidP="00EA22AE">
      <w:pPr>
        <w:pStyle w:val="ListParagraph"/>
        <w:numPr>
          <w:ilvl w:val="0"/>
          <w:numId w:val="6"/>
        </w:numPr>
        <w:spacing w:after="120"/>
        <w:ind w:left="714" w:hanging="357"/>
        <w:contextualSpacing w:val="0"/>
        <w:rPr>
          <w:rFonts w:cs="Calibri"/>
          <w:szCs w:val="22"/>
        </w:rPr>
      </w:pPr>
      <w:r w:rsidRPr="006720E4">
        <w:rPr>
          <w:rFonts w:cs="Calibri"/>
          <w:szCs w:val="22"/>
        </w:rPr>
        <w:t>The person’s interests and welfare: this is often referred to as considering the person’s ‘best interests’.</w:t>
      </w:r>
    </w:p>
    <w:p w14:paraId="5EF1F7E3" w14:textId="12B6872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Generally, the legislation in Australia has placed increasing emphasis on substitute decision-makers adopting a substituted judgement approach where the person’s known wishes and preferences are prioritised. Where possible, the guiding principle for substitute decision-makers should be to consider what the person would have wanted (substituted judgement). This approach prioritises the previously expressed wishes of the adult (where known) and respects their autonomy. </w:t>
      </w:r>
    </w:p>
    <w:p w14:paraId="03BFA7D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Adults may lack capacity for a variety of reasons. For some adults, incapacity may exist due to a lifelong disability or mental health conditions may result in fluctuating capacity. Alternatively decision-making capacity may only have been lost relatively recently and not be expected to return. </w:t>
      </w:r>
    </w:p>
    <w:p w14:paraId="6A96BDE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Where loss of capacity is recent, it is likely that some of the person’s previous views, preferences and wishes for medical treatment may be known, and these should be used to guide decision-making.</w:t>
      </w:r>
    </w:p>
    <w:p w14:paraId="3400BFE8" w14:textId="7F6AE702" w:rsidR="006C6EBA" w:rsidRPr="006720E4" w:rsidRDefault="006C6EBA" w:rsidP="00EA22AE">
      <w:pPr>
        <w:spacing w:after="120"/>
        <w:rPr>
          <w:rFonts w:ascii="Calibri" w:hAnsi="Calibri" w:cs="Calibri"/>
          <w:sz w:val="22"/>
          <w:szCs w:val="22"/>
        </w:rPr>
      </w:pPr>
      <w:bookmarkStart w:id="1996" w:name="_Assessment_of_risks"/>
      <w:bookmarkStart w:id="1997" w:name="_Toc70538911"/>
      <w:bookmarkStart w:id="1998" w:name="_Toc72615222"/>
      <w:bookmarkStart w:id="1999" w:name="_Toc73129951"/>
      <w:bookmarkStart w:id="2000" w:name="_Toc73301826"/>
      <w:bookmarkStart w:id="2001" w:name="_Toc73302332"/>
      <w:bookmarkStart w:id="2002" w:name="_Toc73303465"/>
      <w:bookmarkStart w:id="2003" w:name="_Toc73303679"/>
      <w:bookmarkStart w:id="2004" w:name="_Toc74080796"/>
      <w:bookmarkStart w:id="2005" w:name="_Toc74081104"/>
      <w:bookmarkStart w:id="2006" w:name="_Toc74081334"/>
      <w:bookmarkStart w:id="2007" w:name="_Toc74081610"/>
      <w:bookmarkStart w:id="2008" w:name="_Toc74171165"/>
      <w:bookmarkStart w:id="2009" w:name="_Toc74172387"/>
      <w:bookmarkStart w:id="2010" w:name="_Toc74172923"/>
      <w:bookmarkStart w:id="2011" w:name="_Toc74238839"/>
      <w:bookmarkStart w:id="2012" w:name="_Toc79406368"/>
      <w:bookmarkEnd w:id="1996"/>
      <w:r w:rsidRPr="006720E4">
        <w:rPr>
          <w:rFonts w:ascii="Calibri" w:hAnsi="Calibri" w:cs="Calibri"/>
          <w:sz w:val="22"/>
          <w:szCs w:val="22"/>
        </w:rPr>
        <w:t xml:space="preserve">Where an adult’s preferences or wishes are unclear or not known, a substitute decision-maker may also be guided by what would be best for the person, considering the potential risks and benefits of the options available (best interests). </w:t>
      </w:r>
    </w:p>
    <w:p w14:paraId="1BCEF176" w14:textId="77777777" w:rsidR="006C6EBA" w:rsidRPr="006720E4" w:rsidRDefault="006C6EBA" w:rsidP="00EA22AE">
      <w:pPr>
        <w:pStyle w:val="Heading3"/>
        <w:spacing w:after="120"/>
      </w:pPr>
      <w:bookmarkStart w:id="2013" w:name="_Assessment_of_risks_1"/>
      <w:bookmarkStart w:id="2014" w:name="_Toc82773562"/>
      <w:bookmarkStart w:id="2015" w:name="_Toc82773915"/>
      <w:bookmarkEnd w:id="2013"/>
      <w:r w:rsidRPr="006720E4">
        <w:rPr>
          <w:rStyle w:val="Heading4Char"/>
          <w:i w:val="0"/>
          <w:iCs w:val="0"/>
          <w:sz w:val="23"/>
        </w:rPr>
        <w:t>Assessment of risks and potential benefits of donation and transplantation on behalf of children and</w:t>
      </w:r>
      <w:r w:rsidRPr="006720E4">
        <w:t xml:space="preserve"> adults lacking decision-making capacity</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4"/>
      <w:bookmarkEnd w:id="2015"/>
    </w:p>
    <w:p w14:paraId="6D120EF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Evaluation of risks and potential benefits of transplantation or living donation by children and adults lacking capacity may be complicated. This may be due to difficulties determining the relevant values and preferences of the individual where they are unable to formulate or communicate these, and due to difficulties in appreciating the potential benefits and burdens of various options for individuals with different life experiences. </w:t>
      </w:r>
    </w:p>
    <w:p w14:paraId="68D4DE1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asked to advise - or decide as substitute decision-makers - on behalf of a potential donor or recipient, parents, guardians, or carers may have difficulty appreciating the potential burdens or benefits of options for individuals whom they may care for or with whom they may share close emotional ties. </w:t>
      </w:r>
    </w:p>
    <w:p w14:paraId="4957FED4" w14:textId="432D38C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Any person tasked with assessing the potential benefits or risks of options for an individual may find this challenging given that the interests of the child or adult lacking capacity are likely to be closely embedded in relationships with the prospective donor or transplant recipient or within the broader context of collective familial interests.</w:t>
      </w:r>
    </w:p>
    <w:p w14:paraId="4FD7DDE3" w14:textId="59B0E7A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Additional supports such as use of an independent advocate should be used and may be helpful in evaluating potential benefits and risks involved in a particular decision and addressing potential sources of bias in decision-</w:t>
      </w:r>
      <w:r w:rsidRPr="006421B1">
        <w:rPr>
          <w:rFonts w:ascii="Calibri" w:hAnsi="Calibri" w:cs="Calibri"/>
          <w:sz w:val="22"/>
          <w:szCs w:val="22"/>
        </w:rPr>
        <w:t xml:space="preserve">making (see </w:t>
      </w:r>
      <w:hyperlink w:anchor="_The_role_of" w:history="1">
        <w:r w:rsidRPr="006421B1">
          <w:rPr>
            <w:rStyle w:val="Hyperlink"/>
            <w:rFonts w:ascii="Calibri" w:hAnsi="Calibri" w:cs="Calibri"/>
            <w:sz w:val="22"/>
            <w:szCs w:val="22"/>
          </w:rPr>
          <w:t xml:space="preserve">Chapter </w:t>
        </w:r>
        <w:r w:rsidR="00453E30" w:rsidRPr="006421B1">
          <w:rPr>
            <w:rStyle w:val="Hyperlink"/>
            <w:rFonts w:ascii="Calibri" w:hAnsi="Calibri" w:cs="Calibri"/>
            <w:sz w:val="22"/>
            <w:szCs w:val="22"/>
          </w:rPr>
          <w:t>3</w:t>
        </w:r>
        <w:r w:rsidRPr="006421B1">
          <w:rPr>
            <w:rStyle w:val="Hyperlink"/>
            <w:rFonts w:ascii="Calibri" w:hAnsi="Calibri" w:cs="Calibri"/>
            <w:sz w:val="22"/>
            <w:szCs w:val="22"/>
          </w:rPr>
          <w:t>.</w:t>
        </w:r>
        <w:r w:rsidR="006421B1" w:rsidRPr="006421B1">
          <w:rPr>
            <w:rStyle w:val="Hyperlink"/>
            <w:rFonts w:ascii="Calibri" w:hAnsi="Calibri" w:cs="Calibri"/>
            <w:sz w:val="22"/>
            <w:szCs w:val="22"/>
          </w:rPr>
          <w:t>4</w:t>
        </w:r>
        <w:r w:rsidRPr="006421B1">
          <w:rPr>
            <w:rStyle w:val="Hyperlink"/>
            <w:rFonts w:ascii="Calibri" w:hAnsi="Calibri" w:cs="Calibri"/>
            <w:sz w:val="22"/>
            <w:szCs w:val="22"/>
          </w:rPr>
          <w:t>.5</w:t>
        </w:r>
      </w:hyperlink>
      <w:r w:rsidRPr="006421B1">
        <w:rPr>
          <w:rFonts w:ascii="Calibri" w:hAnsi="Calibri" w:cs="Calibri"/>
          <w:sz w:val="22"/>
          <w:szCs w:val="22"/>
        </w:rPr>
        <w:t>).</w:t>
      </w:r>
      <w:r w:rsidRPr="006720E4">
        <w:rPr>
          <w:rFonts w:ascii="Calibri" w:hAnsi="Calibri" w:cs="Calibri"/>
          <w:sz w:val="22"/>
          <w:szCs w:val="22"/>
        </w:rPr>
        <w:t xml:space="preserve"> </w:t>
      </w:r>
    </w:p>
    <w:p w14:paraId="6A39112B" w14:textId="1B4BDC5A" w:rsidR="006421B1"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Additional procedural protections may be offered by separate medical, psychological, social, ethical, and legal assessments in addition to parental or substitute decision-making consent on behalf of the proposed donor or transplant recipient.  </w:t>
      </w:r>
    </w:p>
    <w:p w14:paraId="611D73FD" w14:textId="77777777" w:rsidR="006C6EBA" w:rsidRPr="006720E4" w:rsidRDefault="006C6EBA" w:rsidP="00EA22AE">
      <w:pPr>
        <w:pStyle w:val="Heading2"/>
        <w:spacing w:after="120"/>
      </w:pPr>
      <w:bookmarkStart w:id="2016" w:name="_Transplantation_of_children"/>
      <w:bookmarkStart w:id="2017" w:name="_Toc63683491"/>
      <w:bookmarkStart w:id="2018" w:name="_Toc70241839"/>
      <w:bookmarkStart w:id="2019" w:name="_Toc70243474"/>
      <w:bookmarkStart w:id="2020" w:name="_Toc70328774"/>
      <w:bookmarkStart w:id="2021" w:name="_Toc70334004"/>
      <w:bookmarkStart w:id="2022" w:name="_Toc70414963"/>
      <w:bookmarkStart w:id="2023" w:name="_Toc70538912"/>
      <w:bookmarkStart w:id="2024" w:name="_Toc70539581"/>
      <w:bookmarkStart w:id="2025" w:name="_Toc72615223"/>
      <w:bookmarkStart w:id="2026" w:name="_Toc73129952"/>
      <w:bookmarkStart w:id="2027" w:name="_Toc73301827"/>
      <w:bookmarkStart w:id="2028" w:name="_Toc73302333"/>
      <w:bookmarkStart w:id="2029" w:name="_Toc73303466"/>
      <w:bookmarkStart w:id="2030" w:name="_Toc73303680"/>
      <w:bookmarkStart w:id="2031" w:name="_Toc74080797"/>
      <w:bookmarkStart w:id="2032" w:name="_Toc74081105"/>
      <w:bookmarkStart w:id="2033" w:name="_Toc74081335"/>
      <w:bookmarkStart w:id="2034" w:name="_Toc74081611"/>
      <w:bookmarkStart w:id="2035" w:name="_Toc74171166"/>
      <w:bookmarkStart w:id="2036" w:name="_Toc74172388"/>
      <w:bookmarkStart w:id="2037" w:name="_Toc74172924"/>
      <w:bookmarkStart w:id="2038" w:name="_Toc74238840"/>
      <w:bookmarkStart w:id="2039" w:name="_Toc78304802"/>
      <w:bookmarkStart w:id="2040" w:name="_Toc79330856"/>
      <w:bookmarkStart w:id="2041" w:name="_Toc79331236"/>
      <w:bookmarkStart w:id="2042" w:name="_Toc79406369"/>
      <w:bookmarkStart w:id="2043" w:name="_Toc82773563"/>
      <w:bookmarkStart w:id="2044" w:name="_Toc82773916"/>
      <w:bookmarkStart w:id="2045" w:name="_Toc128314205"/>
      <w:bookmarkStart w:id="2046" w:name="_Toc135131449"/>
      <w:bookmarkEnd w:id="2016"/>
      <w:r w:rsidRPr="006720E4">
        <w:lastRenderedPageBreak/>
        <w:t>Transplantation of children and adults lacking decision-making capacity</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p>
    <w:p w14:paraId="41F7A905" w14:textId="23A77691" w:rsidR="006C6EBA" w:rsidRPr="006720E4" w:rsidRDefault="006C6EBA" w:rsidP="00EA22AE">
      <w:pPr>
        <w:spacing w:after="120"/>
        <w:rPr>
          <w:rFonts w:ascii="Calibri" w:hAnsi="Calibri" w:cs="Calibri"/>
          <w:sz w:val="22"/>
          <w:szCs w:val="22"/>
        </w:rPr>
      </w:pPr>
      <w:bookmarkStart w:id="2047" w:name="_Toc70241841"/>
      <w:bookmarkStart w:id="2048" w:name="_Toc70243476"/>
      <w:bookmarkStart w:id="2049" w:name="_Toc70414965"/>
      <w:r w:rsidRPr="006720E4">
        <w:rPr>
          <w:rFonts w:ascii="Calibri" w:hAnsi="Calibri" w:cs="Calibri"/>
          <w:sz w:val="22"/>
          <w:szCs w:val="22"/>
        </w:rPr>
        <w:t xml:space="preserve">Making decisions about potential opportunities for transplantation in children and adults lacking decision-making capacity involves the same considerations as outlined in previous chapters. As noted above, qualitative judgements are necessary when evaluating the risks and </w:t>
      </w:r>
      <w:r w:rsidRPr="006421B1">
        <w:rPr>
          <w:rFonts w:ascii="Calibri" w:hAnsi="Calibri" w:cs="Calibri"/>
          <w:sz w:val="22"/>
          <w:szCs w:val="22"/>
        </w:rPr>
        <w:t xml:space="preserve">potential benefits of transplantation for an individual as compared with other treatment options (see also </w:t>
      </w:r>
      <w:hyperlink w:anchor="_Evaluating_potential_benefits_1" w:history="1">
        <w:r w:rsidRPr="006421B1">
          <w:rPr>
            <w:rStyle w:val="Hyperlink"/>
            <w:rFonts w:ascii="Calibri" w:hAnsi="Calibri" w:cs="Calibri"/>
            <w:sz w:val="22"/>
            <w:szCs w:val="22"/>
          </w:rPr>
          <w:t xml:space="preserve">Chapter </w:t>
        </w:r>
        <w:r w:rsidR="00453E30" w:rsidRPr="006421B1">
          <w:rPr>
            <w:rStyle w:val="Hyperlink"/>
            <w:rFonts w:ascii="Calibri" w:hAnsi="Calibri" w:cs="Calibri"/>
            <w:sz w:val="22"/>
            <w:szCs w:val="22"/>
          </w:rPr>
          <w:t>6</w:t>
        </w:r>
        <w:r w:rsidRPr="006421B1">
          <w:rPr>
            <w:rStyle w:val="Hyperlink"/>
            <w:rFonts w:ascii="Calibri" w:hAnsi="Calibri" w:cs="Calibri"/>
            <w:sz w:val="22"/>
            <w:szCs w:val="22"/>
          </w:rPr>
          <w:t>.1</w:t>
        </w:r>
      </w:hyperlink>
      <w:r w:rsidRPr="006421B1">
        <w:rPr>
          <w:rFonts w:ascii="Calibri" w:hAnsi="Calibri" w:cs="Calibri"/>
          <w:sz w:val="22"/>
          <w:szCs w:val="22"/>
        </w:rPr>
        <w:t>). Relevant options may include the</w:t>
      </w:r>
      <w:r w:rsidRPr="006421B1">
        <w:rPr>
          <w:rFonts w:ascii="Calibri" w:hAnsi="Calibri" w:cs="Calibri"/>
          <w:sz w:val="20"/>
          <w:szCs w:val="20"/>
        </w:rPr>
        <w:t xml:space="preserve"> </w:t>
      </w:r>
      <w:r w:rsidRPr="006421B1">
        <w:rPr>
          <w:rFonts w:ascii="Calibri" w:hAnsi="Calibri" w:cs="Calibri"/>
          <w:sz w:val="22"/>
          <w:szCs w:val="22"/>
        </w:rPr>
        <w:t>choice of conservative or supportive mana</w:t>
      </w:r>
      <w:r w:rsidRPr="006720E4">
        <w:rPr>
          <w:rFonts w:ascii="Calibri" w:hAnsi="Calibri" w:cs="Calibri"/>
          <w:sz w:val="22"/>
          <w:szCs w:val="22"/>
        </w:rPr>
        <w:t>gement aimed at symptom palliation rather than restoration of function or extension of life expectancy. Such judgements may be more difficult when the person for whom transplantation is considered is a child or adult lacking decision-making capacity.</w:t>
      </w:r>
      <w:bookmarkEnd w:id="2047"/>
      <w:bookmarkEnd w:id="2048"/>
      <w:bookmarkEnd w:id="2049"/>
      <w:r w:rsidRPr="006720E4">
        <w:rPr>
          <w:rFonts w:ascii="Calibri" w:hAnsi="Calibri" w:cs="Calibri"/>
          <w:sz w:val="22"/>
          <w:szCs w:val="22"/>
        </w:rPr>
        <w:t xml:space="preserve"> </w:t>
      </w:r>
    </w:p>
    <w:p w14:paraId="551C052C" w14:textId="77777777" w:rsidR="006C6EBA" w:rsidRPr="006720E4" w:rsidRDefault="006C6EBA" w:rsidP="00EA22AE">
      <w:pPr>
        <w:pStyle w:val="Heading3"/>
        <w:spacing w:after="120"/>
      </w:pPr>
      <w:bookmarkStart w:id="2050" w:name="_Children_as_potential"/>
      <w:bookmarkStart w:id="2051" w:name="_Toc61810389"/>
      <w:bookmarkStart w:id="2052" w:name="_Toc63683494"/>
      <w:bookmarkStart w:id="2053" w:name="_Toc70241843"/>
      <w:bookmarkStart w:id="2054" w:name="_Toc70243478"/>
      <w:bookmarkStart w:id="2055" w:name="_Toc70414967"/>
      <w:bookmarkStart w:id="2056" w:name="_Toc70538914"/>
      <w:bookmarkStart w:id="2057" w:name="_Toc72615224"/>
      <w:bookmarkStart w:id="2058" w:name="_Toc73129953"/>
      <w:bookmarkStart w:id="2059" w:name="_Toc73301828"/>
      <w:bookmarkStart w:id="2060" w:name="_Toc73302334"/>
      <w:bookmarkStart w:id="2061" w:name="_Toc73303467"/>
      <w:bookmarkStart w:id="2062" w:name="_Toc73303681"/>
      <w:bookmarkStart w:id="2063" w:name="_Toc74080798"/>
      <w:bookmarkStart w:id="2064" w:name="_Toc74081106"/>
      <w:bookmarkStart w:id="2065" w:name="_Toc74081336"/>
      <w:bookmarkStart w:id="2066" w:name="_Toc74081612"/>
      <w:bookmarkStart w:id="2067" w:name="_Toc74171167"/>
      <w:bookmarkStart w:id="2068" w:name="_Toc74172389"/>
      <w:bookmarkStart w:id="2069" w:name="_Toc74172925"/>
      <w:bookmarkStart w:id="2070" w:name="_Toc74238841"/>
      <w:bookmarkStart w:id="2071" w:name="_Toc79406370"/>
      <w:bookmarkStart w:id="2072" w:name="_Toc82773564"/>
      <w:bookmarkStart w:id="2073" w:name="_Toc82773917"/>
      <w:bookmarkEnd w:id="2050"/>
      <w:r w:rsidRPr="006720E4">
        <w:t>Children as potential transplant recipients</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p>
    <w:p w14:paraId="2EFF5974" w14:textId="40E09F0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Where younger children or infants are potential transplant recipients, they will generally lack the capacity to consent for themselves. Parents or legally appointed representatives will usually be substitute decision-makers for their children. As </w:t>
      </w:r>
      <w:r w:rsidRPr="00453E30">
        <w:rPr>
          <w:rFonts w:ascii="Calibri" w:hAnsi="Calibri" w:cs="Calibri"/>
          <w:sz w:val="22"/>
          <w:szCs w:val="22"/>
        </w:rPr>
        <w:t xml:space="preserve">noted in </w:t>
      </w:r>
      <w:hyperlink w:anchor="_Children:_Best_interests_1" w:history="1">
        <w:r w:rsidRPr="00453E30">
          <w:rPr>
            <w:rStyle w:val="Hyperlink"/>
            <w:rFonts w:ascii="Calibri" w:hAnsi="Calibri" w:cs="Calibri"/>
            <w:sz w:val="22"/>
            <w:szCs w:val="22"/>
          </w:rPr>
          <w:t xml:space="preserve">Chapter </w:t>
        </w:r>
        <w:r w:rsidR="00453E30" w:rsidRPr="00453E30">
          <w:rPr>
            <w:rStyle w:val="Hyperlink"/>
            <w:rFonts w:ascii="Calibri" w:hAnsi="Calibri" w:cs="Calibri"/>
            <w:sz w:val="22"/>
            <w:szCs w:val="22"/>
          </w:rPr>
          <w:t>5</w:t>
        </w:r>
        <w:r w:rsidRPr="00453E30">
          <w:rPr>
            <w:rStyle w:val="Hyperlink"/>
            <w:rFonts w:ascii="Calibri" w:hAnsi="Calibri" w:cs="Calibri"/>
            <w:sz w:val="22"/>
            <w:szCs w:val="22"/>
          </w:rPr>
          <w:t>.3.1</w:t>
        </w:r>
      </w:hyperlink>
      <w:r w:rsidRPr="00453E30">
        <w:rPr>
          <w:rFonts w:ascii="Calibri" w:hAnsi="Calibri" w:cs="Calibri"/>
          <w:sz w:val="22"/>
          <w:szCs w:val="22"/>
        </w:rPr>
        <w:t>, parents</w:t>
      </w:r>
      <w:r w:rsidRPr="006720E4">
        <w:rPr>
          <w:rFonts w:ascii="Calibri" w:hAnsi="Calibri" w:cs="Calibri"/>
          <w:sz w:val="22"/>
          <w:szCs w:val="22"/>
        </w:rPr>
        <w:t xml:space="preserve"> or representatives are required to consider what is in the best interests of the child when making a decision on behalf of a child. </w:t>
      </w:r>
    </w:p>
    <w:p w14:paraId="15178345" w14:textId="45C114E8" w:rsidR="006C6EBA" w:rsidRDefault="006C6EBA" w:rsidP="00EA22AE">
      <w:pPr>
        <w:spacing w:after="120"/>
        <w:rPr>
          <w:rFonts w:ascii="Calibri" w:hAnsi="Calibri" w:cs="Calibri"/>
          <w:sz w:val="22"/>
          <w:szCs w:val="22"/>
        </w:rPr>
      </w:pPr>
      <w:r w:rsidRPr="006720E4">
        <w:rPr>
          <w:rFonts w:ascii="Calibri" w:hAnsi="Calibri" w:cs="Calibri"/>
          <w:sz w:val="22"/>
          <w:szCs w:val="22"/>
        </w:rPr>
        <w:t>When possible, assent for transplantation should be sought from a child who is not considered competent to make their own decisions. Where a younger child expresses an objection or dissent to becoming a recipient, this should be taken into account in evaluating the child’s best interests. Strategies should be adopted to ensure that any concerns of the child causing such dissent are ameliorated. Given that the therapeutic benefit of receiving a transplant may be very high, a child’s dissent or objection may be overruled if considered to be in the child’s best interests by parents and the treating team.</w:t>
      </w:r>
    </w:p>
    <w:p w14:paraId="27394874" w14:textId="0CEE7DBB" w:rsidR="000E6095" w:rsidRDefault="000E6095" w:rsidP="00EA22AE">
      <w:pPr>
        <w:spacing w:after="120"/>
        <w:rPr>
          <w:rFonts w:ascii="Calibri" w:hAnsi="Calibri" w:cs="Calibri"/>
          <w:sz w:val="22"/>
          <w:szCs w:val="22"/>
        </w:rPr>
      </w:pPr>
    </w:p>
    <w:p w14:paraId="5B9D403D" w14:textId="38FFBB56" w:rsidR="000E6095" w:rsidRDefault="000E6095" w:rsidP="00EA22AE">
      <w:pPr>
        <w:spacing w:after="120"/>
        <w:rPr>
          <w:rFonts w:ascii="Calibri" w:eastAsiaTheme="majorEastAsia" w:hAnsi="Calibri" w:cs="Calibri"/>
          <w:b/>
          <w:color w:val="2F5496" w:themeColor="accent1" w:themeShade="BF"/>
          <w:sz w:val="26"/>
          <w:szCs w:val="26"/>
        </w:rPr>
      </w:pPr>
      <w:r>
        <w:rPr>
          <w:rFonts w:ascii="Calibri" w:eastAsiaTheme="majorEastAsia" w:hAnsi="Calibri" w:cs="Calibri"/>
          <w:b/>
          <w:color w:val="2F5496" w:themeColor="accent1" w:themeShade="BF"/>
          <w:sz w:val="26"/>
          <w:szCs w:val="26"/>
        </w:rPr>
        <w:t>Case St</w:t>
      </w:r>
      <w:r w:rsidR="00C714ED">
        <w:rPr>
          <w:rFonts w:ascii="Calibri" w:eastAsiaTheme="majorEastAsia" w:hAnsi="Calibri" w:cs="Calibri"/>
          <w:b/>
          <w:color w:val="2F5496" w:themeColor="accent1" w:themeShade="BF"/>
          <w:sz w:val="26"/>
          <w:szCs w:val="26"/>
        </w:rPr>
        <w:t>u</w:t>
      </w:r>
      <w:r>
        <w:rPr>
          <w:rFonts w:ascii="Calibri" w:eastAsiaTheme="majorEastAsia" w:hAnsi="Calibri" w:cs="Calibri"/>
          <w:b/>
          <w:color w:val="2F5496" w:themeColor="accent1" w:themeShade="BF"/>
          <w:sz w:val="26"/>
          <w:szCs w:val="26"/>
        </w:rPr>
        <w:t xml:space="preserve">dy </w:t>
      </w:r>
      <w:r w:rsidR="00C714ED">
        <w:rPr>
          <w:rFonts w:ascii="Calibri" w:eastAsiaTheme="majorEastAsia" w:hAnsi="Calibri" w:cs="Calibri"/>
          <w:b/>
          <w:color w:val="2F5496" w:themeColor="accent1" w:themeShade="BF"/>
          <w:sz w:val="26"/>
          <w:szCs w:val="26"/>
        </w:rPr>
        <w:t>– Organ transplantation in child with intellectual disability</w:t>
      </w:r>
    </w:p>
    <w:p w14:paraId="4D315050" w14:textId="77777777" w:rsidR="0046446A" w:rsidRPr="0046446A" w:rsidRDefault="0046446A" w:rsidP="0046446A">
      <w:pPr>
        <w:rPr>
          <w:rFonts w:ascii="Calibri" w:eastAsiaTheme="minorHAnsi" w:hAnsi="Calibri" w:cs="Calibri"/>
          <w:i/>
          <w:iCs/>
          <w:color w:val="4472C4" w:themeColor="accent1"/>
          <w:kern w:val="2"/>
          <w:sz w:val="22"/>
          <w:szCs w:val="22"/>
          <w:lang w:eastAsia="en-US"/>
          <w14:ligatures w14:val="standardContextual"/>
        </w:rPr>
      </w:pPr>
      <w:r w:rsidRPr="0046446A">
        <w:rPr>
          <w:rFonts w:ascii="Calibri" w:eastAsiaTheme="minorHAnsi" w:hAnsi="Calibri" w:cs="Calibri"/>
          <w:i/>
          <w:iCs/>
          <w:color w:val="4472C4" w:themeColor="accent1"/>
          <w:kern w:val="2"/>
          <w:sz w:val="22"/>
          <w:szCs w:val="22"/>
          <w:lang w:eastAsia="en-US"/>
          <w14:ligatures w14:val="standardContextual"/>
        </w:rPr>
        <w:t xml:space="preserve">Sara is a 7-year-old girl who lives with her parents. Sara has an intellectual disability which means that she communicates through facial expressions and physical gestures. She is expected to require life-long support with activities of daily living. Sara also has nephrotic syndrome, a condition which causes kidney failure. Sara will soon need to commence dialysis or receive a transplant to treat her kidney failure. </w:t>
      </w:r>
    </w:p>
    <w:p w14:paraId="77E2E16E" w14:textId="77777777" w:rsidR="0046446A" w:rsidRPr="0046446A" w:rsidRDefault="0046446A" w:rsidP="0046446A">
      <w:pPr>
        <w:rPr>
          <w:rFonts w:ascii="Calibri" w:eastAsiaTheme="minorHAnsi" w:hAnsi="Calibri" w:cs="Calibri"/>
          <w:i/>
          <w:iCs/>
          <w:color w:val="4472C4" w:themeColor="accent1"/>
          <w:kern w:val="2"/>
          <w:sz w:val="22"/>
          <w:szCs w:val="22"/>
          <w:lang w:eastAsia="en-US"/>
          <w14:ligatures w14:val="standardContextual"/>
        </w:rPr>
      </w:pPr>
    </w:p>
    <w:p w14:paraId="55EF2708" w14:textId="77777777" w:rsidR="0046446A" w:rsidRPr="0046446A" w:rsidRDefault="0046446A" w:rsidP="0046446A">
      <w:pPr>
        <w:rPr>
          <w:rFonts w:ascii="Calibri" w:eastAsiaTheme="minorHAnsi" w:hAnsi="Calibri" w:cs="Calibri"/>
          <w:i/>
          <w:iCs/>
          <w:color w:val="4472C4" w:themeColor="accent1"/>
          <w:kern w:val="2"/>
          <w:sz w:val="22"/>
          <w:szCs w:val="22"/>
          <w:lang w:eastAsia="en-US"/>
          <w14:ligatures w14:val="standardContextual"/>
        </w:rPr>
      </w:pPr>
      <w:r w:rsidRPr="0046446A">
        <w:rPr>
          <w:rFonts w:ascii="Calibri" w:eastAsiaTheme="minorHAnsi" w:hAnsi="Calibri" w:cs="Calibri"/>
          <w:i/>
          <w:iCs/>
          <w:color w:val="4472C4" w:themeColor="accent1"/>
          <w:kern w:val="2"/>
          <w:sz w:val="22"/>
          <w:szCs w:val="22"/>
          <w:lang w:eastAsia="en-US"/>
          <w14:ligatures w14:val="standardContextual"/>
        </w:rPr>
        <w:t>Sara’s parents discuss the treatment options with their paediatrician Dr B, who has known Sara since she was a baby. Sara’s parents express concern about their ability to cope if Sara requires dialysis. They also note that Sara becomes very distressed whenever she has had to receive minor medical treatments in a hospital setting and report that they fear Sara would need to be regularly sedated in order for her to undergo dialysis. Dr B tells them  Sara can be referred to see a paediatric nephrologist who will help them to make a decision about treatment, however Dr B expresses concern about the possibility of Sara receiving a transplant. Dr B emphasises that transplantation is a major operation and tells them Sara will need to have lifelong medication and regular check-ups if she receives a transplant. “I’m not sure that transplant will be in Sara’s best interests,” Dr B says. “Whatever treatment she has will be incredibly burdensome for her and for you. You’ll have to decide if it’s worth all the effort to wait for her to receive a transplant from a deceased donor, or even to consider donating a kidney to her yourself.”</w:t>
      </w:r>
    </w:p>
    <w:p w14:paraId="52B9314D" w14:textId="77777777" w:rsidR="0046446A" w:rsidRPr="0046446A" w:rsidRDefault="0046446A" w:rsidP="0046446A">
      <w:pPr>
        <w:rPr>
          <w:rFonts w:ascii="Calibri" w:eastAsiaTheme="minorHAnsi" w:hAnsi="Calibri" w:cs="Calibri"/>
          <w:i/>
          <w:iCs/>
          <w:color w:val="4472C4" w:themeColor="accent1"/>
          <w:kern w:val="2"/>
          <w:sz w:val="22"/>
          <w:szCs w:val="22"/>
          <w:lang w:eastAsia="en-US"/>
          <w14:ligatures w14:val="standardContextual"/>
        </w:rPr>
      </w:pPr>
    </w:p>
    <w:p w14:paraId="25A5372F" w14:textId="77777777" w:rsidR="0046446A" w:rsidRPr="0046446A" w:rsidRDefault="0046446A" w:rsidP="0046446A">
      <w:pPr>
        <w:rPr>
          <w:rFonts w:ascii="Calibri" w:eastAsiaTheme="minorHAnsi" w:hAnsi="Calibri" w:cs="Calibri"/>
          <w:i/>
          <w:iCs/>
          <w:color w:val="4472C4" w:themeColor="accent1"/>
          <w:kern w:val="2"/>
          <w:sz w:val="22"/>
          <w:szCs w:val="22"/>
          <w:lang w:eastAsia="en-US"/>
          <w14:ligatures w14:val="standardContextual"/>
        </w:rPr>
      </w:pPr>
    </w:p>
    <w:p w14:paraId="4E42C23E" w14:textId="77777777" w:rsidR="0046446A" w:rsidRPr="0046446A" w:rsidRDefault="0046446A" w:rsidP="0046446A">
      <w:pPr>
        <w:spacing w:after="80"/>
        <w:rPr>
          <w:rFonts w:ascii="Calibri" w:eastAsiaTheme="minorHAnsi" w:hAnsi="Calibri" w:cs="Calibri"/>
          <w:color w:val="000000" w:themeColor="text1"/>
          <w:kern w:val="2"/>
          <w:sz w:val="22"/>
          <w:szCs w:val="22"/>
          <w:lang w:eastAsia="en-US"/>
          <w14:ligatures w14:val="standardContextual"/>
        </w:rPr>
      </w:pPr>
      <w:r w:rsidRPr="0046446A">
        <w:rPr>
          <w:rFonts w:ascii="Calibri" w:eastAsiaTheme="minorHAnsi" w:hAnsi="Calibri" w:cs="Calibri"/>
          <w:color w:val="000000" w:themeColor="text1"/>
          <w:kern w:val="2"/>
          <w:sz w:val="22"/>
          <w:szCs w:val="22"/>
          <w:lang w:eastAsia="en-US"/>
          <w14:ligatures w14:val="standardContextual"/>
        </w:rPr>
        <w:t>Points to consider:</w:t>
      </w:r>
    </w:p>
    <w:p w14:paraId="722298E4" w14:textId="7CDB2A0F" w:rsidR="0046446A" w:rsidRPr="0046446A" w:rsidRDefault="0046446A" w:rsidP="0046446A">
      <w:pPr>
        <w:numPr>
          <w:ilvl w:val="0"/>
          <w:numId w:val="111"/>
        </w:numPr>
        <w:contextualSpacing/>
        <w:rPr>
          <w:rFonts w:asciiTheme="minorHAnsi" w:eastAsiaTheme="minorHAnsi" w:hAnsiTheme="minorHAns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This case highlights the potential complexity of decision-making about organ transplantation for a child. (</w:t>
      </w:r>
      <w:hyperlink w:anchor="_Assessment_of_risks_1" w:history="1">
        <w:r w:rsidR="005301D2" w:rsidRPr="00736D4A">
          <w:rPr>
            <w:rStyle w:val="Hyperlink"/>
            <w:rFonts w:asciiTheme="minorHAnsi" w:eastAsiaTheme="minorHAnsi" w:hAnsiTheme="minorHAnsi" w:cstheme="minorHAnsi"/>
            <w:sz w:val="22"/>
            <w:szCs w:val="22"/>
          </w:rPr>
          <w:t>Chapter 5.3.3</w:t>
        </w:r>
      </w:hyperlink>
      <w:r w:rsidRPr="00736D4A">
        <w:rPr>
          <w:rFonts w:asciiTheme="minorHAnsi" w:eastAsiaTheme="minorHAnsi" w:hAnsiTheme="minorHAnsi" w:cs="Calibri"/>
          <w:i/>
          <w:iCs/>
          <w:color w:val="000000" w:themeColor="text1"/>
          <w:kern w:val="2"/>
          <w:sz w:val="20"/>
          <w:szCs w:val="20"/>
          <w:lang w:eastAsia="en-US"/>
          <w14:ligatures w14:val="standardContextual"/>
        </w:rPr>
        <w:t xml:space="preserve"> </w:t>
      </w:r>
      <w:r w:rsidRPr="0046446A">
        <w:rPr>
          <w:rFonts w:asciiTheme="minorHAnsi" w:eastAsiaTheme="minorHAnsi" w:hAnsiTheme="minorHAnsi" w:cs="Calibri"/>
          <w:color w:val="000000" w:themeColor="text1"/>
          <w:kern w:val="2"/>
          <w:sz w:val="22"/>
          <w:szCs w:val="22"/>
          <w:lang w:eastAsia="en-US"/>
          <w14:ligatures w14:val="standardContextual"/>
        </w:rPr>
        <w:t>and</w:t>
      </w:r>
      <w:r w:rsidRPr="0046446A">
        <w:rPr>
          <w:rFonts w:asciiTheme="minorHAnsi" w:eastAsiaTheme="minorHAnsi" w:hAnsiTheme="minorHAnsi" w:cs="Calibri"/>
          <w:i/>
          <w:iCs/>
          <w:color w:val="000000" w:themeColor="text1"/>
          <w:kern w:val="2"/>
          <w:sz w:val="22"/>
          <w:szCs w:val="22"/>
          <w:lang w:eastAsia="en-US"/>
          <w14:ligatures w14:val="standardContextual"/>
        </w:rPr>
        <w:t xml:space="preserve"> </w:t>
      </w:r>
      <w:hyperlink w:anchor="_Children_as_potential" w:history="1">
        <w:r w:rsidRPr="00736D4A">
          <w:rPr>
            <w:rStyle w:val="Hyperlink"/>
            <w:rFonts w:asciiTheme="minorHAnsi" w:eastAsiaTheme="minorHAnsi" w:hAnsiTheme="minorHAnsi" w:cs="Calibri"/>
            <w:kern w:val="2"/>
            <w:sz w:val="22"/>
            <w:szCs w:val="22"/>
            <w:lang w:eastAsia="en-US"/>
            <w14:ligatures w14:val="standardContextual"/>
          </w:rPr>
          <w:t>Chapter 5.4.1)</w:t>
        </w:r>
      </w:hyperlink>
    </w:p>
    <w:p w14:paraId="345050E6" w14:textId="77777777" w:rsidR="0046446A" w:rsidRPr="0046446A" w:rsidRDefault="0046446A" w:rsidP="0046446A">
      <w:pPr>
        <w:numPr>
          <w:ilvl w:val="0"/>
          <w:numId w:val="111"/>
        </w:numPr>
        <w:spacing w:after="120"/>
        <w:rPr>
          <w:rFonts w:ascii="Calibri" w:eastAsiaTheme="minorHAnsi" w:hAnsi="Calibri" w:cs="Calibri"/>
          <w:sz w:val="22"/>
          <w:szCs w:val="22"/>
          <w:u w:color="0000FF"/>
          <w:lang w:val="en-GB" w:eastAsia="en-US"/>
          <w14:ligatures w14:val="standardContextual"/>
        </w:rPr>
      </w:pPr>
      <w:r w:rsidRPr="0046446A">
        <w:rPr>
          <w:rFonts w:ascii="Calibri" w:eastAsiaTheme="minorHAnsi" w:hAnsi="Calibri" w:cs="Calibri"/>
          <w:sz w:val="22"/>
          <w:szCs w:val="22"/>
          <w:u w:color="0000FF"/>
          <w:lang w:val="en-GB" w:eastAsia="en-US"/>
          <w14:ligatures w14:val="standardContextual"/>
        </w:rPr>
        <w:lastRenderedPageBreak/>
        <w:t>Three principles may be especially relevant to this case:</w:t>
      </w:r>
    </w:p>
    <w:p w14:paraId="083C5AF4" w14:textId="77777777" w:rsidR="0046446A" w:rsidRPr="0046446A" w:rsidRDefault="0046446A" w:rsidP="0046446A">
      <w:pPr>
        <w:numPr>
          <w:ilvl w:val="1"/>
          <w:numId w:val="111"/>
        </w:numPr>
        <w:spacing w:after="120"/>
        <w:rPr>
          <w:rFonts w:ascii="Calibri" w:eastAsiaTheme="minorHAnsi" w:hAnsi="Calibri" w:cs="Calibri"/>
          <w:sz w:val="22"/>
          <w:szCs w:val="22"/>
          <w:u w:color="0000FF"/>
          <w:lang w:val="en-GB" w:eastAsia="en-US"/>
          <w14:ligatures w14:val="standardContextual"/>
        </w:rPr>
      </w:pPr>
      <w:r w:rsidRPr="0046446A">
        <w:rPr>
          <w:rFonts w:ascii="Calibri" w:eastAsiaTheme="minorHAnsi" w:hAnsi="Calibri" w:cs="Calibri"/>
          <w:b/>
          <w:bCs/>
          <w:sz w:val="22"/>
          <w:szCs w:val="22"/>
          <w:u w:color="0000FF"/>
          <w:lang w:val="en-GB" w:eastAsia="en-US"/>
          <w14:ligatures w14:val="standardContextual"/>
        </w:rPr>
        <w:t>Principle 1</w:t>
      </w:r>
      <w:r w:rsidRPr="0046446A">
        <w:rPr>
          <w:rFonts w:ascii="Calibri" w:eastAsiaTheme="minorHAnsi" w:hAnsi="Calibri" w:cs="Calibri"/>
          <w:sz w:val="22"/>
          <w:szCs w:val="22"/>
          <w:u w:color="0000FF"/>
          <w:lang w:val="en-GB" w:eastAsia="en-US"/>
          <w14:ligatures w14:val="standardContextual"/>
        </w:rPr>
        <w:t xml:space="preserve"> Decision-making about donation and transplantation should seek out and take account of expressed preferences of donors, recipients, their families and communities, and facilitate self-determination. </w:t>
      </w:r>
    </w:p>
    <w:p w14:paraId="0E79FC7D" w14:textId="77777777" w:rsidR="0046446A" w:rsidRPr="0046446A" w:rsidRDefault="0046446A" w:rsidP="0046446A">
      <w:pPr>
        <w:numPr>
          <w:ilvl w:val="1"/>
          <w:numId w:val="111"/>
        </w:numPr>
        <w:spacing w:after="120"/>
        <w:rPr>
          <w:rFonts w:ascii="Calibri" w:eastAsiaTheme="minorHAnsi" w:hAnsi="Calibri" w:cs="Calibri"/>
          <w:b/>
          <w:bCs/>
          <w:sz w:val="22"/>
          <w:szCs w:val="22"/>
          <w:u w:color="0000FF"/>
          <w:lang w:val="en-GB" w:eastAsia="en-US"/>
          <w14:ligatures w14:val="standardContextual"/>
        </w:rPr>
      </w:pPr>
      <w:r w:rsidRPr="0046446A">
        <w:rPr>
          <w:rFonts w:ascii="Calibri" w:eastAsiaTheme="minorHAnsi" w:hAnsi="Calibri" w:cs="Calibri"/>
          <w:b/>
          <w:bCs/>
          <w:sz w:val="22"/>
          <w:szCs w:val="22"/>
          <w:u w:color="0000FF"/>
          <w:lang w:val="en-GB" w:eastAsia="en-US"/>
          <w14:ligatures w14:val="standardContextual"/>
        </w:rPr>
        <w:t xml:space="preserve">Principle 3 </w:t>
      </w:r>
      <w:r w:rsidRPr="0046446A">
        <w:rPr>
          <w:rFonts w:ascii="Calibri" w:eastAsiaTheme="minorHAnsi" w:hAnsi="Calibri" w:cs="Calibri"/>
          <w:sz w:val="22"/>
          <w:szCs w:val="22"/>
          <w:u w:color="0000FF"/>
          <w:lang w:val="en-GB" w:eastAsia="en-US"/>
          <w14:ligatures w14:val="standardContextual"/>
        </w:rPr>
        <w:t xml:space="preserve">Decision-making about donation and transplantation should be free from bias or discrimination based on clinically irrelevant factors such as, for example, disability, cultural identity, social or economic circumstances. </w:t>
      </w:r>
    </w:p>
    <w:p w14:paraId="78D80393" w14:textId="77777777" w:rsidR="0046446A" w:rsidRPr="0046446A" w:rsidRDefault="0046446A" w:rsidP="0046446A">
      <w:pPr>
        <w:numPr>
          <w:ilvl w:val="1"/>
          <w:numId w:val="111"/>
        </w:numPr>
        <w:spacing w:after="120"/>
        <w:rPr>
          <w:rFonts w:ascii="Calibri" w:eastAsiaTheme="minorHAnsi" w:hAnsi="Calibri" w:cs="Calibri"/>
          <w:sz w:val="22"/>
          <w:szCs w:val="22"/>
          <w:u w:color="0000FF"/>
          <w:lang w:val="en-GB" w:eastAsia="en-US"/>
          <w14:ligatures w14:val="standardContextual"/>
        </w:rPr>
      </w:pPr>
      <w:r w:rsidRPr="0046446A">
        <w:rPr>
          <w:rFonts w:ascii="Calibri" w:eastAsiaTheme="minorHAnsi" w:hAnsi="Calibri" w:cs="Calibri"/>
          <w:b/>
          <w:bCs/>
          <w:sz w:val="22"/>
          <w:szCs w:val="22"/>
          <w:u w:color="0000FF"/>
          <w:lang w:val="en-GB" w:eastAsia="en-US"/>
          <w14:ligatures w14:val="standardContextual"/>
        </w:rPr>
        <w:t>Principle 7</w:t>
      </w:r>
      <w:r w:rsidRPr="0046446A">
        <w:rPr>
          <w:rFonts w:ascii="Calibri" w:eastAsiaTheme="minorHAnsi" w:hAnsi="Calibri" w:cs="Calibri"/>
          <w:sz w:val="22"/>
          <w:szCs w:val="22"/>
          <w:u w:color="0000FF"/>
          <w:lang w:val="en-GB" w:eastAsia="en-US"/>
          <w14:ligatures w14:val="standardContextual"/>
        </w:rPr>
        <w:t xml:space="preserve"> Donation and transplantation activities should provide benefit and minimise burden and risk of harm: where burdens or risks are unavoidable, they should be proportionate to the benefits that are anticipated. </w:t>
      </w:r>
    </w:p>
    <w:p w14:paraId="120E1923" w14:textId="6C9FAF7B" w:rsidR="0046446A" w:rsidRPr="0046446A" w:rsidRDefault="0046446A" w:rsidP="0046446A">
      <w:pPr>
        <w:numPr>
          <w:ilvl w:val="0"/>
          <w:numId w:val="111"/>
        </w:numPr>
        <w:contextualSpacing/>
        <w:rPr>
          <w:rFonts w:asciiTheme="minorHAnsi" w:eastAsiaTheme="minorHAnsi" w:hAnsiTheme="minorHAns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 xml:space="preserve">As Sara is a child, and she doesn’t have the capacity to make a decision herself, her parents are required to make a decision on her behalf. Although some young children may be able to contribute to decision-making by sharing their values and preferences, Sara’s disability means that her parents must draw on their knowledge of her in order to determine what would be in her best interests (see </w:t>
      </w:r>
      <w:r w:rsidR="002405A6">
        <w:rPr>
          <w:rFonts w:asciiTheme="minorHAnsi" w:eastAsiaTheme="minorHAnsi" w:hAnsiTheme="minorHAnsi" w:cs="Calibri"/>
          <w:color w:val="000000" w:themeColor="text1"/>
          <w:kern w:val="2"/>
          <w:sz w:val="22"/>
          <w:szCs w:val="22"/>
          <w:lang w:eastAsia="en-US"/>
          <w14:ligatures w14:val="standardContextual"/>
        </w:rPr>
        <w:t xml:space="preserve">Chapter 5.5) </w:t>
      </w:r>
      <w:hyperlink w:anchor="_Substitute_decision-making_on" w:history="1">
        <w:r w:rsidR="00AE2C16">
          <w:rPr>
            <w:rFonts w:asciiTheme="minorHAnsi" w:eastAsiaTheme="minorHAnsi" w:hAnsiTheme="minorHAnsi" w:cs="Calibri"/>
            <w:color w:val="0563C1" w:themeColor="hyperlink"/>
            <w:kern w:val="2"/>
            <w:sz w:val="22"/>
            <w:szCs w:val="22"/>
            <w:u w:val="single"/>
            <w:lang w:eastAsia="en-US"/>
            <w14:ligatures w14:val="standardContextual"/>
          </w:rPr>
          <w:t>C</w:t>
        </w:r>
      </w:hyperlink>
      <w:r w:rsidRPr="0046446A">
        <w:rPr>
          <w:rFonts w:asciiTheme="minorHAnsi" w:eastAsiaTheme="minorHAnsi" w:hAnsiTheme="minorHAnsi" w:cs="Calibri"/>
          <w:color w:val="000000" w:themeColor="text1"/>
          <w:kern w:val="2"/>
          <w:sz w:val="22"/>
          <w:szCs w:val="22"/>
          <w:lang w:eastAsia="en-US"/>
          <w14:ligatures w14:val="standardContextual"/>
        </w:rPr>
        <w:t xml:space="preserve">. </w:t>
      </w:r>
    </w:p>
    <w:p w14:paraId="41E71B92" w14:textId="77777777" w:rsidR="0046446A" w:rsidRPr="0046446A" w:rsidRDefault="0046446A" w:rsidP="0046446A">
      <w:pPr>
        <w:numPr>
          <w:ilvl w:val="0"/>
          <w:numId w:val="111"/>
        </w:numPr>
        <w:contextualSpacing/>
        <w:rPr>
          <w:rFonts w:asciiTheme="minorHAnsi" w:eastAsiaTheme="minorHAnsi" w:hAnsiTheme="minorHAns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 xml:space="preserve">The potential benefits and risks of each of the options available must be carefully assessed in light of Sara’s clinical situation and her personal life. The impact of potential choices on Sara’s family must also be considered as this in turn may affect Sara herself. </w:t>
      </w:r>
    </w:p>
    <w:p w14:paraId="5A19914B" w14:textId="77777777" w:rsidR="0046446A" w:rsidRPr="0046446A" w:rsidRDefault="0046446A" w:rsidP="0046446A">
      <w:pPr>
        <w:numPr>
          <w:ilvl w:val="0"/>
          <w:numId w:val="111"/>
        </w:numPr>
        <w:contextualSpacing/>
        <w:rPr>
          <w:rFonts w:asciiTheme="minorHAnsi" w:eastAsiaTheme="minorHAnsi" w:hAnsiTheme="minorHAns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 xml:space="preserve">Dr B appears to be expressing their personal views on the relative merits of the treatment options, which may not be accurate or appropriate. Although they plan to refer Sara to a paediatric nephrologist who will be better placed to provide accurate information about the relative burdens, risks and benefits of treatment options for Sara’s kidney failure, there is a risk that their views could influence Sara’s parents’ decision. </w:t>
      </w:r>
    </w:p>
    <w:p w14:paraId="21E7E19C" w14:textId="59997BAF" w:rsidR="0046446A" w:rsidRPr="0046446A" w:rsidRDefault="0046446A" w:rsidP="0046446A">
      <w:pPr>
        <w:numPr>
          <w:ilvl w:val="0"/>
          <w:numId w:val="111"/>
        </w:numPr>
        <w:contextualSpacing/>
        <w:rPr>
          <w:rFonts w:asciiTheme="minorHAnsi" w:eastAsiaTheme="minorHAnsi" w:hAnsiTheme="minorHAns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It’s important that accurate, evidence-based information is used to guide decision-making about treatment, and that information should be tailored to the individual patient’s situation and free from bias (see</w:t>
      </w:r>
      <w:r w:rsidRPr="00736D4A">
        <w:rPr>
          <w:rFonts w:asciiTheme="minorHAnsi" w:eastAsiaTheme="minorHAnsi" w:hAnsiTheme="minorHAnsi" w:cs="Calibri"/>
          <w:color w:val="000000" w:themeColor="text1"/>
          <w:kern w:val="2"/>
          <w:sz w:val="22"/>
          <w:szCs w:val="22"/>
          <w:lang w:eastAsia="en-US"/>
          <w14:ligatures w14:val="standardContextual"/>
        </w:rPr>
        <w:t xml:space="preserve"> </w:t>
      </w:r>
      <w:hyperlink w:anchor="_Promoting_objectivity_in" w:history="1">
        <w:r w:rsidRPr="00736D4A">
          <w:rPr>
            <w:rStyle w:val="Hyperlink"/>
            <w:rFonts w:asciiTheme="minorHAnsi" w:eastAsiaTheme="minorHAnsi" w:hAnsiTheme="minorHAnsi" w:cs="Calibri"/>
            <w:kern w:val="2"/>
            <w:sz w:val="22"/>
            <w:szCs w:val="22"/>
            <w:lang w:eastAsia="en-US"/>
            <w14:ligatures w14:val="standardContextual"/>
          </w:rPr>
          <w:t>Chapter 6.1.2).</w:t>
        </w:r>
      </w:hyperlink>
      <w:r w:rsidRPr="0046446A">
        <w:rPr>
          <w:rFonts w:asciiTheme="minorHAnsi" w:eastAsiaTheme="minorHAnsi" w:hAnsiTheme="minorHAnsi" w:cs="Calibri"/>
          <w:color w:val="000000" w:themeColor="text1"/>
          <w:kern w:val="2"/>
          <w:sz w:val="22"/>
          <w:szCs w:val="22"/>
          <w:lang w:eastAsia="en-US"/>
          <w14:ligatures w14:val="standardContextual"/>
        </w:rPr>
        <w:t xml:space="preserve"> It’s possible, for example, that Dr B has previously cared for a patient who had a bad experience with kidney transplantation that might be unduly influencing their perspective on the burdens of living with a transplant. </w:t>
      </w:r>
    </w:p>
    <w:p w14:paraId="57C6DEB5" w14:textId="77777777" w:rsidR="0046446A" w:rsidRPr="0046446A" w:rsidRDefault="0046446A" w:rsidP="0046446A">
      <w:pPr>
        <w:numPr>
          <w:ilvl w:val="0"/>
          <w:numId w:val="111"/>
        </w:numPr>
        <w:contextualSpacing/>
        <w:rPr>
          <w:rFonts w:asciiTheme="minorHAnsi" w:eastAsiaTheme="minorHAnsi" w:hAnsiTheme="minorHAns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 xml:space="preserve">It is also essential when evaluating the risks and potential benefits of treatment options that this evaluation is informed by knowledge of the patient’s situations, values and preferences. In this case, Sara’s parents will have important information to provide that should be considered in decision-making, for example, regarding Sara’s potential reactions in particular healthcare settings.  </w:t>
      </w:r>
    </w:p>
    <w:p w14:paraId="035AB913" w14:textId="77777777" w:rsidR="0046446A" w:rsidRPr="0046446A" w:rsidRDefault="0046446A" w:rsidP="0046446A">
      <w:pPr>
        <w:numPr>
          <w:ilvl w:val="0"/>
          <w:numId w:val="111"/>
        </w:numPr>
        <w:contextualSpacing/>
        <w:rPr>
          <w:rFonts w:asciiTheme="minorHAnsi" w:eastAsiaTheme="minorHAnsi" w:hAnsiTheme="minorHAns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 xml:space="preserve">It is possible that the paediatrician or other clinicians who may become involved in this decision may have difficulty appreciating the potential benefits and risks of some treatment options for Sara. Unconscious bias regarding the impact of disability on Sara’s quality of life, or lack of understanding of the potential burdens or impact of particular treatment options on Sara’s family could influence decision-making. </w:t>
      </w:r>
    </w:p>
    <w:p w14:paraId="4A7AAFEB" w14:textId="77777777" w:rsidR="0046446A" w:rsidRPr="0046446A" w:rsidRDefault="0046446A" w:rsidP="0046446A">
      <w:pPr>
        <w:numPr>
          <w:ilvl w:val="0"/>
          <w:numId w:val="111"/>
        </w:numPr>
        <w:contextualSpacing/>
        <w:rPr>
          <w:rFonts w:asciiTheme="minorHAnsi" w:eastAsiaTheme="minorHAnsi" w:hAnsiTheme="minorHAns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It is also possible that Sara’s parents may have difficulty appreciating the potential long-term consequences of some treatment decisions or may be reluctant to disclose some concerns for fear of being perceived as self-interested or “bad” parents.</w:t>
      </w:r>
    </w:p>
    <w:p w14:paraId="5FBBB60B" w14:textId="77777777" w:rsidR="0046446A" w:rsidRPr="0046446A" w:rsidRDefault="0046446A" w:rsidP="0046446A">
      <w:pPr>
        <w:numPr>
          <w:ilvl w:val="0"/>
          <w:numId w:val="111"/>
        </w:numPr>
        <w:contextualSpacing/>
        <w:rPr>
          <w:rFonts w:ascii="Calibri" w:eastAsiaTheme="minorHAnsi" w:hAnsi="Calibri" w:cs="Calibri"/>
          <w:i/>
          <w:iCs/>
          <w:color w:val="000000" w:themeColor="text1"/>
          <w:kern w:val="2"/>
          <w:sz w:val="22"/>
          <w:szCs w:val="22"/>
          <w:lang w:eastAsia="en-US"/>
          <w14:ligatures w14:val="standardContextual"/>
        </w:rPr>
      </w:pPr>
      <w:r w:rsidRPr="0046446A">
        <w:rPr>
          <w:rFonts w:asciiTheme="minorHAnsi" w:eastAsiaTheme="minorHAnsi" w:hAnsiTheme="minorHAnsi" w:cs="Calibri"/>
          <w:color w:val="000000" w:themeColor="text1"/>
          <w:kern w:val="2"/>
          <w:sz w:val="22"/>
          <w:szCs w:val="22"/>
          <w:lang w:eastAsia="en-US"/>
          <w14:ligatures w14:val="standardContextual"/>
        </w:rPr>
        <w:t>Shared decision-making with a multidisciplinary team will be essential to help support Sara’s parents in making the decision. Use of an independent patient advocate may also be helpful.</w:t>
      </w:r>
    </w:p>
    <w:p w14:paraId="3F439E83" w14:textId="77777777" w:rsidR="0046446A" w:rsidRPr="0046446A" w:rsidRDefault="0046446A" w:rsidP="0046446A">
      <w:pPr>
        <w:rPr>
          <w:rFonts w:asciiTheme="minorHAnsi" w:eastAsiaTheme="minorHAnsi" w:hAnsiTheme="minorHAnsi" w:cstheme="minorBidi"/>
          <w:kern w:val="2"/>
          <w:lang w:eastAsia="en-US"/>
          <w14:ligatures w14:val="standardContextual"/>
        </w:rPr>
      </w:pPr>
    </w:p>
    <w:p w14:paraId="7C197B29" w14:textId="7B8932FF" w:rsidR="0028232A" w:rsidRDefault="0028232A" w:rsidP="00EA22AE">
      <w:pPr>
        <w:spacing w:after="120"/>
        <w:rPr>
          <w:rFonts w:ascii="Calibri" w:hAnsi="Calibri" w:cs="Calibri"/>
          <w:color w:val="000000" w:themeColor="text1"/>
          <w:sz w:val="22"/>
          <w:szCs w:val="22"/>
        </w:rPr>
      </w:pPr>
    </w:p>
    <w:p w14:paraId="283BBDFE" w14:textId="2EF673BA" w:rsidR="00E11737" w:rsidRDefault="00E11737" w:rsidP="00EA22AE">
      <w:pPr>
        <w:spacing w:after="120"/>
        <w:rPr>
          <w:rFonts w:ascii="Calibri" w:hAnsi="Calibri" w:cs="Calibri"/>
          <w:color w:val="000000" w:themeColor="text1"/>
          <w:sz w:val="22"/>
          <w:szCs w:val="22"/>
        </w:rPr>
      </w:pPr>
    </w:p>
    <w:p w14:paraId="3ECB1C12" w14:textId="2CB9DB2D" w:rsidR="00E11737" w:rsidRDefault="00E11737" w:rsidP="00EA22AE">
      <w:pPr>
        <w:spacing w:after="120"/>
        <w:rPr>
          <w:rFonts w:ascii="Calibri" w:hAnsi="Calibri" w:cs="Calibri"/>
          <w:color w:val="000000" w:themeColor="text1"/>
          <w:sz w:val="22"/>
          <w:szCs w:val="22"/>
        </w:rPr>
      </w:pPr>
    </w:p>
    <w:p w14:paraId="487EE91A" w14:textId="686BDFD9" w:rsidR="00E11737" w:rsidRDefault="00E11737" w:rsidP="00EA22AE">
      <w:pPr>
        <w:spacing w:after="120"/>
        <w:rPr>
          <w:rFonts w:ascii="Calibri" w:hAnsi="Calibri" w:cs="Calibri"/>
          <w:color w:val="000000" w:themeColor="text1"/>
          <w:sz w:val="22"/>
          <w:szCs w:val="22"/>
        </w:rPr>
      </w:pPr>
    </w:p>
    <w:p w14:paraId="4D99EDC0" w14:textId="77777777" w:rsidR="00E11737" w:rsidRDefault="00E11737" w:rsidP="00EA22AE">
      <w:pPr>
        <w:spacing w:after="120"/>
        <w:rPr>
          <w:rFonts w:ascii="Calibri" w:hAnsi="Calibri" w:cs="Calibri"/>
          <w:color w:val="000000" w:themeColor="text1"/>
          <w:sz w:val="22"/>
          <w:szCs w:val="22"/>
        </w:rPr>
      </w:pPr>
    </w:p>
    <w:p w14:paraId="4213B686" w14:textId="76420DAE" w:rsidR="006C6EBA" w:rsidRPr="006720E4" w:rsidRDefault="006C6EBA" w:rsidP="00EA22AE">
      <w:pPr>
        <w:pStyle w:val="Heading3"/>
        <w:spacing w:after="120"/>
      </w:pPr>
      <w:bookmarkStart w:id="2074" w:name="_Adults_who_lack"/>
      <w:bookmarkStart w:id="2075" w:name="_Toc72615225"/>
      <w:bookmarkStart w:id="2076" w:name="_Toc73129954"/>
      <w:bookmarkStart w:id="2077" w:name="_Toc73301829"/>
      <w:bookmarkStart w:id="2078" w:name="_Toc73302335"/>
      <w:bookmarkStart w:id="2079" w:name="_Toc73303468"/>
      <w:bookmarkStart w:id="2080" w:name="_Toc73303682"/>
      <w:bookmarkStart w:id="2081" w:name="_Toc74080799"/>
      <w:bookmarkStart w:id="2082" w:name="_Toc74081107"/>
      <w:bookmarkStart w:id="2083" w:name="_Toc74081337"/>
      <w:bookmarkStart w:id="2084" w:name="_Toc74081613"/>
      <w:bookmarkStart w:id="2085" w:name="_Toc74171168"/>
      <w:bookmarkStart w:id="2086" w:name="_Toc74172390"/>
      <w:bookmarkStart w:id="2087" w:name="_Toc74172926"/>
      <w:bookmarkStart w:id="2088" w:name="_Toc74238842"/>
      <w:bookmarkStart w:id="2089" w:name="_Toc79406371"/>
      <w:bookmarkStart w:id="2090" w:name="_Toc82773565"/>
      <w:bookmarkStart w:id="2091" w:name="_Toc82773918"/>
      <w:bookmarkEnd w:id="2074"/>
      <w:r w:rsidRPr="006720E4">
        <w:t>Adults who lack decision-making capacity as potential transplant recipients</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r w:rsidRPr="006720E4">
        <w:t xml:space="preserve"> </w:t>
      </w:r>
    </w:p>
    <w:p w14:paraId="094DFEF6" w14:textId="4EBE4BE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Where the proposed transplant recipient lacks decision-making capacity to consent to receiving a transplant at the time the decision is needed, a substitute decision-maker will usually be required to provide consent on behalf of the person using the app</w:t>
      </w:r>
      <w:r w:rsidRPr="00CF420B">
        <w:rPr>
          <w:rFonts w:ascii="Calibri" w:hAnsi="Calibri" w:cs="Calibri"/>
          <w:sz w:val="22"/>
          <w:szCs w:val="22"/>
        </w:rPr>
        <w:t xml:space="preserve">roach outlined in </w:t>
      </w:r>
      <w:hyperlink w:anchor="_Adults_lacking_decision-making" w:history="1">
        <w:r w:rsidRPr="00CF420B">
          <w:rPr>
            <w:rStyle w:val="Hyperlink"/>
            <w:rFonts w:ascii="Calibri" w:hAnsi="Calibri" w:cs="Calibri"/>
            <w:sz w:val="22"/>
            <w:szCs w:val="22"/>
          </w:rPr>
          <w:t xml:space="preserve">Chapter </w:t>
        </w:r>
        <w:r w:rsidR="00453E30" w:rsidRPr="00CF420B">
          <w:rPr>
            <w:rStyle w:val="Hyperlink"/>
            <w:rFonts w:ascii="Calibri" w:hAnsi="Calibri" w:cs="Calibri"/>
            <w:sz w:val="22"/>
            <w:szCs w:val="22"/>
          </w:rPr>
          <w:t>5</w:t>
        </w:r>
        <w:r w:rsidRPr="00CF420B">
          <w:rPr>
            <w:rStyle w:val="Hyperlink"/>
            <w:rFonts w:ascii="Calibri" w:hAnsi="Calibri" w:cs="Calibri"/>
            <w:sz w:val="22"/>
            <w:szCs w:val="22"/>
          </w:rPr>
          <w:t>.3.2</w:t>
        </w:r>
      </w:hyperlink>
      <w:r w:rsidRPr="00CF420B">
        <w:rPr>
          <w:rFonts w:ascii="Calibri" w:hAnsi="Calibri" w:cs="Calibri"/>
          <w:sz w:val="22"/>
          <w:szCs w:val="22"/>
        </w:rPr>
        <w:t xml:space="preserve">. There are a variety of substitute decision-makers that may be relevant in a given circumstance as summarised in </w:t>
      </w:r>
      <w:hyperlink w:anchor="_Mechanisms_of_substitute_1" w:history="1">
        <w:r w:rsidRPr="00CF420B">
          <w:rPr>
            <w:rStyle w:val="Hyperlink"/>
            <w:rFonts w:ascii="Calibri" w:hAnsi="Calibri" w:cs="Calibri"/>
            <w:sz w:val="22"/>
            <w:szCs w:val="22"/>
          </w:rPr>
          <w:t xml:space="preserve">Chapter </w:t>
        </w:r>
        <w:r w:rsidR="00453E30" w:rsidRPr="00CF420B">
          <w:rPr>
            <w:rStyle w:val="Hyperlink"/>
            <w:rFonts w:ascii="Calibri" w:hAnsi="Calibri" w:cs="Calibri"/>
            <w:sz w:val="22"/>
            <w:szCs w:val="22"/>
          </w:rPr>
          <w:t>5</w:t>
        </w:r>
        <w:r w:rsidRPr="00CF420B">
          <w:rPr>
            <w:rStyle w:val="Hyperlink"/>
            <w:rFonts w:ascii="Calibri" w:hAnsi="Calibri" w:cs="Calibri"/>
            <w:sz w:val="22"/>
            <w:szCs w:val="22"/>
          </w:rPr>
          <w:t>.2.2</w:t>
        </w:r>
      </w:hyperlink>
      <w:r w:rsidRPr="00CF420B">
        <w:rPr>
          <w:rFonts w:ascii="Calibri" w:hAnsi="Calibri" w:cs="Calibri"/>
          <w:sz w:val="22"/>
          <w:szCs w:val="22"/>
        </w:rPr>
        <w:t xml:space="preserve">). In some circumstances, the proposed recipient may have a valid advance care directive which provides consent or refuses consent to the transplant in advance of the loss of decision-making capacity (see </w:t>
      </w:r>
      <w:hyperlink w:anchor="_Mechanisms_of_substitute_1" w:history="1">
        <w:r w:rsidRPr="00CF420B">
          <w:rPr>
            <w:rStyle w:val="Hyperlink"/>
            <w:rFonts w:ascii="Calibri" w:hAnsi="Calibri" w:cs="Calibri"/>
            <w:sz w:val="22"/>
            <w:szCs w:val="22"/>
          </w:rPr>
          <w:t xml:space="preserve">Chapter </w:t>
        </w:r>
        <w:r w:rsidR="00CF420B" w:rsidRPr="00CF420B">
          <w:rPr>
            <w:rStyle w:val="Hyperlink"/>
            <w:rFonts w:ascii="Calibri" w:hAnsi="Calibri" w:cs="Calibri"/>
            <w:sz w:val="22"/>
            <w:szCs w:val="22"/>
          </w:rPr>
          <w:t>5</w:t>
        </w:r>
        <w:r w:rsidRPr="00CF420B">
          <w:rPr>
            <w:rStyle w:val="Hyperlink"/>
            <w:rFonts w:ascii="Calibri" w:hAnsi="Calibri" w:cs="Calibri"/>
            <w:sz w:val="22"/>
            <w:szCs w:val="22"/>
          </w:rPr>
          <w:t>.2.2</w:t>
        </w:r>
      </w:hyperlink>
      <w:r w:rsidRPr="00CF420B">
        <w:rPr>
          <w:rFonts w:ascii="Calibri" w:hAnsi="Calibri" w:cs="Calibri"/>
          <w:sz w:val="22"/>
          <w:szCs w:val="22"/>
        </w:rPr>
        <w:t>).</w:t>
      </w:r>
      <w:r w:rsidRPr="006720E4">
        <w:rPr>
          <w:rFonts w:ascii="Calibri" w:hAnsi="Calibri" w:cs="Calibri"/>
          <w:sz w:val="22"/>
          <w:szCs w:val="22"/>
        </w:rPr>
        <w:t xml:space="preserve"> </w:t>
      </w:r>
    </w:p>
    <w:p w14:paraId="103AD366" w14:textId="1E4A6BAF" w:rsidR="006C6EBA" w:rsidRDefault="006C6EBA" w:rsidP="00EA22AE">
      <w:pPr>
        <w:spacing w:after="120"/>
        <w:rPr>
          <w:rFonts w:ascii="Calibri" w:hAnsi="Calibri" w:cs="Calibri"/>
          <w:sz w:val="22"/>
          <w:szCs w:val="22"/>
        </w:rPr>
      </w:pPr>
      <w:r w:rsidRPr="006720E4">
        <w:rPr>
          <w:rFonts w:ascii="Calibri" w:hAnsi="Calibri" w:cs="Calibri"/>
          <w:sz w:val="22"/>
          <w:szCs w:val="22"/>
        </w:rPr>
        <w:t>Objection may also be indicated in other ways, whether transiently or maintained over a period of time. Indications of dissent by the adult need to be taken into account by the substitute decision-maker making a decision on behalf of the adult. If an adult is objecting to being a transplant recipient, in Queensland and New South Wales, this objection can only be overridden if the adult has minimal or no understanding of what the treatment involves, and if any distress would be temporary.</w:t>
      </w:r>
    </w:p>
    <w:p w14:paraId="3BCCB417" w14:textId="77777777" w:rsidR="006C6EBA" w:rsidRPr="006720E4" w:rsidRDefault="006C6EBA" w:rsidP="00EA22AE">
      <w:pPr>
        <w:pStyle w:val="Heading2"/>
        <w:spacing w:after="120"/>
      </w:pPr>
      <w:bookmarkStart w:id="2092" w:name="_Living_donation_by"/>
      <w:bookmarkStart w:id="2093" w:name="_Toc61810390"/>
      <w:bookmarkStart w:id="2094" w:name="_Toc63683495"/>
      <w:bookmarkStart w:id="2095" w:name="_Toc70241844"/>
      <w:bookmarkStart w:id="2096" w:name="_Toc70243479"/>
      <w:bookmarkStart w:id="2097" w:name="_Toc70328775"/>
      <w:bookmarkStart w:id="2098" w:name="_Toc70334005"/>
      <w:bookmarkStart w:id="2099" w:name="_Toc70414968"/>
      <w:bookmarkStart w:id="2100" w:name="_Toc70538915"/>
      <w:bookmarkStart w:id="2101" w:name="_Toc70539582"/>
      <w:bookmarkStart w:id="2102" w:name="_Toc72615226"/>
      <w:bookmarkStart w:id="2103" w:name="_Toc73129955"/>
      <w:bookmarkStart w:id="2104" w:name="_Toc73301830"/>
      <w:bookmarkStart w:id="2105" w:name="_Toc73302336"/>
      <w:bookmarkStart w:id="2106" w:name="_Toc73303469"/>
      <w:bookmarkStart w:id="2107" w:name="_Toc73303683"/>
      <w:bookmarkStart w:id="2108" w:name="_Toc74080800"/>
      <w:bookmarkStart w:id="2109" w:name="_Toc74081108"/>
      <w:bookmarkStart w:id="2110" w:name="_Toc74081338"/>
      <w:bookmarkStart w:id="2111" w:name="_Toc74081614"/>
      <w:bookmarkStart w:id="2112" w:name="_Toc74171169"/>
      <w:bookmarkStart w:id="2113" w:name="_Toc74172391"/>
      <w:bookmarkStart w:id="2114" w:name="_Toc74172927"/>
      <w:bookmarkStart w:id="2115" w:name="_Toc74238843"/>
      <w:bookmarkStart w:id="2116" w:name="_Toc78304803"/>
      <w:bookmarkStart w:id="2117" w:name="_Toc79330857"/>
      <w:bookmarkStart w:id="2118" w:name="_Toc79331237"/>
      <w:bookmarkStart w:id="2119" w:name="_Toc79406372"/>
      <w:bookmarkStart w:id="2120" w:name="_Toc82773566"/>
      <w:bookmarkStart w:id="2121" w:name="_Toc82773919"/>
      <w:bookmarkStart w:id="2122" w:name="_Toc128314206"/>
      <w:bookmarkStart w:id="2123" w:name="_Toc135131450"/>
      <w:bookmarkEnd w:id="2092"/>
      <w:r w:rsidRPr="006720E4">
        <w:t>Living donation by children and adults lacking decision-making capacity</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3725AD7F" w14:textId="651E620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There are special considerations when children or adults lacking decision-making capacity are considered as potential living directed donors of organs or HSCs (‘</w:t>
      </w:r>
      <w:hyperlink w:anchor="_Glossary_2" w:history="1">
        <w:r w:rsidRPr="006720E4">
          <w:rPr>
            <w:rStyle w:val="Hyperlink"/>
            <w:rFonts w:ascii="Calibri" w:hAnsi="Calibri" w:cs="Calibri"/>
            <w:sz w:val="22"/>
            <w:szCs w:val="22"/>
          </w:rPr>
          <w:t>dependent donors’</w:t>
        </w:r>
      </w:hyperlink>
      <w:r w:rsidRPr="006720E4">
        <w:rPr>
          <w:rFonts w:ascii="Calibri" w:hAnsi="Calibri" w:cs="Calibri"/>
          <w:sz w:val="22"/>
          <w:szCs w:val="22"/>
        </w:rPr>
        <w:t xml:space="preserve">). (Note that here we exclude donation that might arise in the context of an individual undergoing a therapeutic procedure removing tissues). </w:t>
      </w:r>
    </w:p>
    <w:p w14:paraId="3B7DC47E" w14:textId="0BAB1A6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discussed in </w:t>
      </w:r>
      <w:hyperlink w:anchor="_Limits_of_risk" w:history="1">
        <w:r w:rsidRPr="000E6095">
          <w:rPr>
            <w:rStyle w:val="Hyperlink"/>
            <w:rFonts w:ascii="Calibri" w:hAnsi="Calibri" w:cs="Calibri"/>
            <w:sz w:val="22"/>
            <w:szCs w:val="22"/>
          </w:rPr>
          <w:t xml:space="preserve">Chapter </w:t>
        </w:r>
        <w:r w:rsidR="00CF420B" w:rsidRPr="000E6095">
          <w:rPr>
            <w:rStyle w:val="Hyperlink"/>
            <w:rFonts w:ascii="Calibri" w:hAnsi="Calibri" w:cs="Calibri"/>
            <w:sz w:val="22"/>
            <w:szCs w:val="22"/>
          </w:rPr>
          <w:t>6</w:t>
        </w:r>
        <w:r w:rsidRPr="000E6095">
          <w:rPr>
            <w:rStyle w:val="Hyperlink"/>
            <w:rFonts w:ascii="Calibri" w:hAnsi="Calibri" w:cs="Calibri"/>
            <w:sz w:val="22"/>
            <w:szCs w:val="22"/>
          </w:rPr>
          <w:t>.1.4.1</w:t>
        </w:r>
      </w:hyperlink>
      <w:r w:rsidRPr="000E6095">
        <w:rPr>
          <w:rFonts w:ascii="Calibri" w:hAnsi="Calibri" w:cs="Calibri"/>
          <w:sz w:val="22"/>
          <w:szCs w:val="22"/>
        </w:rPr>
        <w:t>, the</w:t>
      </w:r>
      <w:r w:rsidRPr="006720E4">
        <w:rPr>
          <w:rFonts w:ascii="Calibri" w:hAnsi="Calibri" w:cs="Calibri"/>
          <w:sz w:val="22"/>
          <w:szCs w:val="22"/>
        </w:rPr>
        <w:t xml:space="preserve"> invasive and non-therapeutic nature of these types of donations raises concerns regarding the acceptability of imposing burdens and potential risks on donors where their understanding of these issues may be limited. This is despite the potentially significant psychosocial benefits they may experience when donating to a person with whom they have strong emotional ties. </w:t>
      </w:r>
    </w:p>
    <w:p w14:paraId="62E7EA11" w14:textId="40CA7A9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case of children and adults lacking decision-making capacity, concerns regarding the potential for exploitation or coercion in living donation are exacerbated because these individuals may not be able to participate in decision-making on their own behalf. This means they are less able to protect their own interests in the decision being made. Conflicts of interests can arise if those who make a decision on their behalf have an interest in the potential donation which may compete with their duty to protect and promote the best interests of the child or adult lacking capacity. Potential donors are also more likely to be in dependent relationships with the potential recipients of donations, which increases the risk of possible undue pressure on the potential donor to assent to donation if asked. Collectively, these factors make children and adults who lack capacity vulnerable to </w:t>
      </w:r>
      <w:r w:rsidRPr="007C5159">
        <w:rPr>
          <w:rFonts w:ascii="Calibri" w:hAnsi="Calibri" w:cs="Calibri"/>
          <w:sz w:val="22"/>
          <w:szCs w:val="22"/>
        </w:rPr>
        <w:t xml:space="preserve">exploitation (see </w:t>
      </w:r>
      <w:hyperlink w:anchor="_Acknowledging_donors" w:history="1">
        <w:r w:rsidR="007C5159" w:rsidRPr="007C5159">
          <w:rPr>
            <w:rStyle w:val="Hyperlink"/>
            <w:rFonts w:ascii="Calibri" w:hAnsi="Calibri" w:cs="Calibri"/>
            <w:sz w:val="22"/>
            <w:szCs w:val="22"/>
          </w:rPr>
          <w:t>Chapter 3.2.1.1</w:t>
        </w:r>
      </w:hyperlink>
      <w:r w:rsidRPr="007C5159">
        <w:rPr>
          <w:rFonts w:ascii="Calibri" w:hAnsi="Calibri" w:cs="Calibri"/>
          <w:sz w:val="22"/>
          <w:szCs w:val="22"/>
        </w:rPr>
        <w:t>).</w:t>
      </w:r>
      <w:r w:rsidRPr="006720E4">
        <w:rPr>
          <w:rFonts w:ascii="Calibri" w:hAnsi="Calibri" w:cs="Calibri"/>
          <w:sz w:val="22"/>
          <w:szCs w:val="22"/>
        </w:rPr>
        <w:t xml:space="preserve"> </w:t>
      </w:r>
    </w:p>
    <w:p w14:paraId="760B7546" w14:textId="121C370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Children and adults lacking decision-making capacity are entitled to be treated with respect for their dignity or fundamental moral </w:t>
      </w:r>
      <w:r w:rsidRPr="007C5159">
        <w:rPr>
          <w:rFonts w:ascii="Calibri" w:hAnsi="Calibri" w:cs="Calibri"/>
          <w:sz w:val="22"/>
          <w:szCs w:val="22"/>
        </w:rPr>
        <w:t xml:space="preserve">value (see </w:t>
      </w:r>
      <w:hyperlink w:anchor="_Respect_for_the_1" w:history="1">
        <w:r w:rsidRPr="007C5159">
          <w:rPr>
            <w:rStyle w:val="Hyperlink"/>
            <w:rFonts w:ascii="Calibri" w:hAnsi="Calibri" w:cs="Calibri"/>
            <w:sz w:val="22"/>
            <w:szCs w:val="22"/>
          </w:rPr>
          <w:t xml:space="preserve">Chapter </w:t>
        </w:r>
        <w:r w:rsidR="00CF420B" w:rsidRPr="007C5159">
          <w:rPr>
            <w:rStyle w:val="Hyperlink"/>
            <w:rFonts w:ascii="Calibri" w:hAnsi="Calibri" w:cs="Calibri"/>
            <w:sz w:val="22"/>
            <w:szCs w:val="22"/>
          </w:rPr>
          <w:t>3</w:t>
        </w:r>
        <w:r w:rsidRPr="007C5159">
          <w:rPr>
            <w:rStyle w:val="Hyperlink"/>
            <w:rFonts w:ascii="Calibri" w:hAnsi="Calibri" w:cs="Calibri"/>
            <w:sz w:val="22"/>
            <w:szCs w:val="22"/>
          </w:rPr>
          <w:t>.</w:t>
        </w:r>
        <w:r w:rsidR="007C5159" w:rsidRPr="007C5159">
          <w:rPr>
            <w:rStyle w:val="Hyperlink"/>
            <w:rFonts w:ascii="Calibri" w:hAnsi="Calibri" w:cs="Calibri"/>
            <w:sz w:val="22"/>
            <w:szCs w:val="22"/>
          </w:rPr>
          <w:t>2</w:t>
        </w:r>
        <w:r w:rsidRPr="007C5159">
          <w:rPr>
            <w:rStyle w:val="Hyperlink"/>
            <w:rFonts w:ascii="Calibri" w:hAnsi="Calibri" w:cs="Calibri"/>
            <w:sz w:val="22"/>
            <w:szCs w:val="22"/>
          </w:rPr>
          <w:t>.1</w:t>
        </w:r>
      </w:hyperlink>
      <w:r w:rsidRPr="007C5159">
        <w:rPr>
          <w:rFonts w:ascii="Calibri" w:hAnsi="Calibri" w:cs="Calibri"/>
          <w:sz w:val="22"/>
          <w:szCs w:val="22"/>
        </w:rPr>
        <w:t>). This means</w:t>
      </w:r>
      <w:r w:rsidRPr="006720E4">
        <w:rPr>
          <w:rFonts w:ascii="Calibri" w:hAnsi="Calibri" w:cs="Calibri"/>
          <w:sz w:val="22"/>
          <w:szCs w:val="22"/>
        </w:rPr>
        <w:t xml:space="preserve"> that they should never be considered merely as a potential resource for the benefit of another person. They also have the right to bodily integrity and to respect for their autonomy, even when they may have limited capacity to understand and express their preferences with regards to actions that may affect them.</w:t>
      </w:r>
    </w:p>
    <w:p w14:paraId="309EFC3C" w14:textId="14E0B8BE"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Only in exceptional circumstances should a child under the age of 18 years or an adult lacking decision-making capacity be considered as a living directed donor</w:t>
      </w:r>
      <w:r w:rsidRPr="006720E4">
        <w:rPr>
          <w:rFonts w:ascii="Calibri" w:hAnsi="Calibri" w:cs="Calibri"/>
          <w:sz w:val="22"/>
          <w:szCs w:val="22"/>
        </w:rPr>
        <w:t xml:space="preserve">. In those rare circumstances, additional evaluation of potential donors and safeguards to support decision-making are required to ensure the donation is ethically and legally acceptable. These elements are considered in the following sections. </w:t>
      </w:r>
    </w:p>
    <w:p w14:paraId="5E3F62BC" w14:textId="77777777" w:rsidR="006C6EBA" w:rsidRPr="006720E4" w:rsidRDefault="006C6EBA" w:rsidP="00EA22AE">
      <w:pPr>
        <w:pStyle w:val="Heading3"/>
        <w:spacing w:after="120"/>
      </w:pPr>
      <w:bookmarkStart w:id="2124" w:name="_Legal_aspects_of"/>
      <w:bookmarkStart w:id="2125" w:name="_Toc63683496"/>
      <w:bookmarkStart w:id="2126" w:name="_Toc70241845"/>
      <w:bookmarkStart w:id="2127" w:name="_Toc70243480"/>
      <w:bookmarkStart w:id="2128" w:name="_Toc70414969"/>
      <w:bookmarkStart w:id="2129" w:name="_Toc70538916"/>
      <w:bookmarkStart w:id="2130" w:name="_Toc72615227"/>
      <w:bookmarkStart w:id="2131" w:name="_Toc73129956"/>
      <w:bookmarkStart w:id="2132" w:name="_Toc73301831"/>
      <w:bookmarkStart w:id="2133" w:name="_Toc73302337"/>
      <w:bookmarkStart w:id="2134" w:name="_Toc73303470"/>
      <w:bookmarkStart w:id="2135" w:name="_Toc73303684"/>
      <w:bookmarkStart w:id="2136" w:name="_Toc74080801"/>
      <w:bookmarkStart w:id="2137" w:name="_Toc74081109"/>
      <w:bookmarkStart w:id="2138" w:name="_Toc74081339"/>
      <w:bookmarkStart w:id="2139" w:name="_Toc74081615"/>
      <w:bookmarkStart w:id="2140" w:name="_Toc74171170"/>
      <w:bookmarkStart w:id="2141" w:name="_Toc74172392"/>
      <w:bookmarkStart w:id="2142" w:name="_Toc74172928"/>
      <w:bookmarkStart w:id="2143" w:name="_Toc74238844"/>
      <w:bookmarkStart w:id="2144" w:name="_Toc79406373"/>
      <w:bookmarkStart w:id="2145" w:name="_Toc82773567"/>
      <w:bookmarkStart w:id="2146" w:name="_Toc82773920"/>
      <w:bookmarkEnd w:id="2124"/>
      <w:r w:rsidRPr="006720E4">
        <w:lastRenderedPageBreak/>
        <w:t>Legal aspects of living donation by children and adults lacking decision-making capacity</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r w:rsidRPr="006720E4">
        <w:t xml:space="preserve"> </w:t>
      </w:r>
    </w:p>
    <w:p w14:paraId="40BBB770" w14:textId="28E59FA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Different legal requirements need to be met depending on the type of tissue that is intended to be removed for donation. The legislation in Australian States and Territories distinguishes between donation of ‘blood’ (not generally considered in these guidelines), ‘regenerative tissue’ and ‘non-regenerative tissue’. The main legal requirements are outlined below. However, the law on this matter varies through Australia and legal advice may need to be sought for individual cases.</w:t>
      </w:r>
      <w:r w:rsidRPr="006720E4" w:rsidDel="00D033B0">
        <w:rPr>
          <w:rFonts w:ascii="Calibri" w:hAnsi="Calibri" w:cs="Calibri"/>
          <w:sz w:val="22"/>
          <w:szCs w:val="22"/>
        </w:rPr>
        <w:t xml:space="preserve"> </w:t>
      </w:r>
    </w:p>
    <w:p w14:paraId="7C79282A" w14:textId="0C2BC51C" w:rsidR="006C6EBA" w:rsidRPr="006720E4" w:rsidRDefault="006C6EBA" w:rsidP="00EA22AE">
      <w:pPr>
        <w:pStyle w:val="Heading4"/>
        <w:spacing w:after="120"/>
      </w:pPr>
      <w:bookmarkStart w:id="2147" w:name="_Toc72615228"/>
      <w:bookmarkStart w:id="2148" w:name="_Toc73129957"/>
      <w:bookmarkStart w:id="2149" w:name="_Toc73301832"/>
      <w:bookmarkStart w:id="2150" w:name="_Toc73302338"/>
      <w:bookmarkStart w:id="2151" w:name="_Toc73303471"/>
      <w:bookmarkStart w:id="2152" w:name="_Toc74081616"/>
      <w:bookmarkStart w:id="2153" w:name="_Toc74172393"/>
      <w:bookmarkStart w:id="2154" w:name="_Toc74172929"/>
      <w:bookmarkStart w:id="2155" w:name="_Toc82773568"/>
      <w:bookmarkStart w:id="2156" w:name="_Toc82773921"/>
      <w:r w:rsidRPr="006720E4">
        <w:t>HSC donation via bone marrow or peripheral blood</w:t>
      </w:r>
      <w:bookmarkEnd w:id="2147"/>
      <w:bookmarkEnd w:id="2148"/>
      <w:bookmarkEnd w:id="2149"/>
      <w:bookmarkEnd w:id="2150"/>
      <w:bookmarkEnd w:id="2151"/>
      <w:bookmarkEnd w:id="2152"/>
      <w:bookmarkEnd w:id="2153"/>
      <w:bookmarkEnd w:id="2154"/>
      <w:r w:rsidRPr="006720E4">
        <w:t xml:space="preserve"> collection by dependent donors</w:t>
      </w:r>
      <w:bookmarkEnd w:id="2155"/>
      <w:bookmarkEnd w:id="2156"/>
    </w:p>
    <w:p w14:paraId="4F06C35A" w14:textId="0A0CDCD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HSC donation is the most common type of living donation that a dependent donor may be asked to participate in. These cells are derived from donor bone marrow or via aphaeresis and are generally categorised as ‘regenerative’ tissue in legislation. </w:t>
      </w:r>
    </w:p>
    <w:p w14:paraId="51812358" w14:textId="252CEDC0"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Children</w:t>
      </w:r>
      <w:r w:rsidRPr="006720E4">
        <w:rPr>
          <w:rFonts w:ascii="Calibri" w:hAnsi="Calibri" w:cs="Calibri"/>
          <w:sz w:val="22"/>
          <w:szCs w:val="22"/>
        </w:rPr>
        <w:t xml:space="preserve">: Each State and Territory has legislation that governs whether and how regenerative tissue donations from children can occur. For more mature children who can understand the nature and effect of the removal of tissue and the nature of the transplantation, where a parent consents and the child agrees, this is usually sufficient for a mature child to donate to a family member. Exceptions exist in South Australia and the Northern Territory. </w:t>
      </w:r>
    </w:p>
    <w:p w14:paraId="6235C407" w14:textId="791EFF1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children who do not understand due to age (‘immature children’), the legal process varies depending on the State or Territory. In New South Wales, Victoria and Queensland, an immature child can only donate where certain legal conditions are met, for example that there is minimal risk to the donor, that the recipient’s life is threatened without the donation, that multiple medical practitioners are involved in certifying conditions have been met, that the donation is for a sibling or, </w:t>
      </w:r>
      <w:r w:rsidR="00055771">
        <w:rPr>
          <w:rFonts w:ascii="Calibri" w:hAnsi="Calibri" w:cs="Calibri"/>
          <w:sz w:val="22"/>
          <w:szCs w:val="22"/>
        </w:rPr>
        <w:t xml:space="preserve">additionally </w:t>
      </w:r>
      <w:r w:rsidRPr="006720E4">
        <w:rPr>
          <w:rFonts w:ascii="Calibri" w:hAnsi="Calibri" w:cs="Calibri"/>
          <w:sz w:val="22"/>
          <w:szCs w:val="22"/>
        </w:rPr>
        <w:t>in Queensland, a parent.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{"citationItems":[{"id":"ITEM-1","itemData":{"DOI":"10.5694/mja17.00758","ISSN":"13265377","PMID":"29716509","author":[{"dropping-particle":"","family":"Then","given":"Shih Ning","non-dropping-particle":"","parse-names":false,"suffix":""},{"dropping-particle":"","family":"Kerridge","given":"Ian H.","non-dropping-particle":"","parse-names":false,"suffix":""},{"dropping-particle":"","family":"Marks","given":"Michael","non-dropping-particle":"","parse-names":false,"suffix":""}],"container-title":"Medical Journal of Australia","id":"ITEM-1","issue":"8","issued":{"date-parts":[["2018"]]},"page":"334-338","title":"Children as haematopoietic stem cell donors: Ethically challenging and legally complex","type":"article-journal","volume":"208"},"uris":["http://www.mendeley.com/documents/?uuid=a98cf236-9cdf-4dbc-8a2c-cbe05a6ae457"]}],"mendeley":{"formattedCitation":"(62)","plainTextFormattedCitation":"(62)","previouslyFormattedCitation":"(62)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(62)</w:t>
      </w:r>
      <w:r w:rsidRPr="006720E4">
        <w:rPr>
          <w:rFonts w:ascii="Calibri" w:hAnsi="Calibri" w:cs="Calibri"/>
          <w:sz w:val="22"/>
          <w:szCs w:val="22"/>
        </w:rPr>
        <w:fldChar w:fldCharType="end"/>
      </w:r>
      <w:r w:rsidRPr="006720E4">
        <w:rPr>
          <w:rStyle w:val="FootnoteReference"/>
          <w:rFonts w:ascii="Calibri" w:hAnsi="Calibri" w:cs="Calibri"/>
        </w:rPr>
        <w:t xml:space="preserve"> </w:t>
      </w:r>
    </w:p>
    <w:p w14:paraId="43AE314F" w14:textId="5D063C2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all other Australian jurisdictions, or where the legal conditions cannot be satisfied in New South Wales, Queensland and Victoria, a court order from a Supreme Court or the Family Court would be required for a child to lawfully donate HSCs to another person. Such an order would also be necessary if the proposed child donor was not able to understand due to having a cognitive disability. There have been three known cases of a court authorising the removal of bone marrow from a child in Australia for transplantation into a person related to the child donor. In each case the Court assessed whether donation was in the child’s best interests.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{"citationItems":[{"id":"ITEM-1","itemData":{"DOI":"10.5694/mja17.00758","ISSN":"13265377","PMID":"29716509","author":[{"dropping-particle":"","family":"Then","given":"Shih Ning","non-dropping-particle":"","parse-names":false,"suffix":""},{"dropping-particle":"","family":"Kerridge","given":"Ian H.","non-dropping-particle":"","parse-names":false,"suffix":""},{"dropping-particle":"","family":"Marks","given":"Michael","non-dropping-particle":"","parse-names":false,"suffix":""}],"container-title":"Medical Journal of Australia","id":"ITEM-1","issue":"8","issued":{"date-parts":[["2018"]]},"page":"334-338","title":"Children as haematopoietic stem cell donors: Ethically challenging and legally complex","type":"article-journal","volume":"208"},"uris":["http://www.mendeley.com/documents/?uuid=a98cf236-9cdf-4dbc-8a2c-cbe05a6ae457"]}],"mendeley":{"formattedCitation":"(62)","plainTextFormattedCitation":"(62)","previouslyFormattedCitation":"(62)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(62)</w:t>
      </w:r>
      <w:r w:rsidRPr="006720E4">
        <w:rPr>
          <w:rFonts w:ascii="Calibri" w:hAnsi="Calibri" w:cs="Calibri"/>
          <w:sz w:val="22"/>
          <w:szCs w:val="22"/>
        </w:rPr>
        <w:fldChar w:fldCharType="end"/>
      </w:r>
      <w:r w:rsidRPr="006720E4">
        <w:rPr>
          <w:rFonts w:ascii="Calibri" w:hAnsi="Calibri" w:cs="Calibri"/>
          <w:sz w:val="22"/>
          <w:szCs w:val="22"/>
        </w:rPr>
        <w:t xml:space="preserve"> </w:t>
      </w:r>
    </w:p>
    <w:p w14:paraId="0CA68BB4" w14:textId="443CFC5F"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Adults lacking decision-making capacity:</w:t>
      </w:r>
      <w:r w:rsidRPr="006720E4">
        <w:rPr>
          <w:rFonts w:ascii="Calibri" w:hAnsi="Calibri" w:cs="Calibri"/>
          <w:sz w:val="22"/>
          <w:szCs w:val="22"/>
        </w:rPr>
        <w:t xml:space="preserve"> A substitute decision maker is required by law to consider particular factors when consenting to medical interventions on behalf of an adult </w:t>
      </w:r>
      <w:r w:rsidR="00055771">
        <w:rPr>
          <w:rFonts w:ascii="Calibri" w:hAnsi="Calibri" w:cs="Calibri"/>
          <w:sz w:val="22"/>
          <w:szCs w:val="22"/>
        </w:rPr>
        <w:t>who lacks</w:t>
      </w:r>
      <w:r w:rsidRPr="006720E4">
        <w:rPr>
          <w:rFonts w:ascii="Calibri" w:hAnsi="Calibri" w:cs="Calibri"/>
          <w:sz w:val="22"/>
          <w:szCs w:val="22"/>
        </w:rPr>
        <w:t xml:space="preserve"> decision-</w:t>
      </w:r>
      <w:r w:rsidRPr="00055771">
        <w:rPr>
          <w:rFonts w:ascii="Calibri" w:hAnsi="Calibri" w:cs="Calibri"/>
          <w:sz w:val="22"/>
          <w:szCs w:val="22"/>
        </w:rPr>
        <w:t xml:space="preserve">making capacity </w:t>
      </w:r>
      <w:r w:rsidR="00055771" w:rsidRPr="00055771">
        <w:rPr>
          <w:rFonts w:ascii="Calibri" w:hAnsi="Calibri" w:cs="Calibri"/>
          <w:sz w:val="22"/>
          <w:szCs w:val="22"/>
          <w:u w:color="0000FF"/>
          <w:lang w:val="en-GB"/>
        </w:rPr>
        <w:t xml:space="preserve">for the donation decision and </w:t>
      </w:r>
      <w:r w:rsidRPr="00055771">
        <w:rPr>
          <w:rFonts w:ascii="Calibri" w:hAnsi="Calibri" w:cs="Calibri"/>
          <w:sz w:val="22"/>
          <w:szCs w:val="22"/>
        </w:rPr>
        <w:t>who is proposed</w:t>
      </w:r>
      <w:r w:rsidRPr="006720E4">
        <w:rPr>
          <w:rFonts w:ascii="Calibri" w:hAnsi="Calibri" w:cs="Calibri"/>
          <w:sz w:val="22"/>
          <w:szCs w:val="22"/>
        </w:rPr>
        <w:t xml:space="preserve"> as a</w:t>
      </w:r>
      <w:r w:rsidR="00055771">
        <w:rPr>
          <w:rFonts w:ascii="Calibri" w:hAnsi="Calibri" w:cs="Calibri"/>
          <w:sz w:val="22"/>
          <w:szCs w:val="22"/>
        </w:rPr>
        <w:t>n</w:t>
      </w:r>
      <w:r w:rsidRPr="006720E4">
        <w:rPr>
          <w:rFonts w:ascii="Calibri" w:hAnsi="Calibri" w:cs="Calibri"/>
          <w:sz w:val="22"/>
          <w:szCs w:val="22"/>
        </w:rPr>
        <w:t xml:space="preserve"> HSC donor. There may also be other legal conditions that need to be satisfied. For example, in Queensland the state Civil and Administrative Tribunal is required to provide authority before such a donation can lawfully occur (in the same manner as for organs, discussed in the next section). There has been at least one Supreme Court case involving an adult lacking decision-making capacity as a proposed haematopoietic stem cell donor. In that New South Wales case the court considered what was in the best interests of the donor, ultimately deciding that acting as a donor was in that adult’s best interests.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{"citationItems":[{"id":"ITEM-1","itemData":{"id":"ITEM-1","issued":{"date-parts":[["0"]]},"title":"Northern Sydney and Central Coast Area Health Service v CT [2005] NSWSC 551","type":"legislation"},"uris":["http://www.mendeley.com/documents/?uuid=ff84675a-8e09-4dde-b444-97f439cb64a3"]}],"mendeley":{"formattedCitation":"(63)","plainTextFormattedCitation":"(63)","previouslyFormattedCitation":"(63)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(63)</w:t>
      </w:r>
      <w:r w:rsidRPr="006720E4">
        <w:rPr>
          <w:rFonts w:ascii="Calibri" w:hAnsi="Calibri" w:cs="Calibri"/>
          <w:sz w:val="22"/>
          <w:szCs w:val="22"/>
        </w:rPr>
        <w:fldChar w:fldCharType="end"/>
      </w:r>
    </w:p>
    <w:p w14:paraId="6C4A305C" w14:textId="77777777" w:rsidR="006C6EBA" w:rsidRPr="006720E4" w:rsidRDefault="006C6EBA" w:rsidP="00EA22AE">
      <w:pPr>
        <w:pStyle w:val="Heading4"/>
        <w:spacing w:after="120"/>
      </w:pPr>
      <w:bookmarkStart w:id="2157" w:name="_Toc72615229"/>
      <w:bookmarkStart w:id="2158" w:name="_Toc73129958"/>
      <w:bookmarkStart w:id="2159" w:name="_Toc73301833"/>
      <w:bookmarkStart w:id="2160" w:name="_Toc73302339"/>
      <w:bookmarkStart w:id="2161" w:name="_Toc73303472"/>
      <w:bookmarkStart w:id="2162" w:name="_Toc74081617"/>
      <w:bookmarkStart w:id="2163" w:name="_Toc74172394"/>
      <w:bookmarkStart w:id="2164" w:name="_Toc74172930"/>
      <w:bookmarkStart w:id="2165" w:name="_Toc82773569"/>
      <w:bookmarkStart w:id="2166" w:name="_Toc82773922"/>
      <w:r w:rsidRPr="006720E4">
        <w:t>Living organ</w:t>
      </w:r>
      <w:bookmarkEnd w:id="2157"/>
      <w:bookmarkEnd w:id="2158"/>
      <w:bookmarkEnd w:id="2159"/>
      <w:bookmarkEnd w:id="2160"/>
      <w:bookmarkEnd w:id="2161"/>
      <w:bookmarkEnd w:id="2162"/>
      <w:bookmarkEnd w:id="2163"/>
      <w:bookmarkEnd w:id="2164"/>
      <w:r w:rsidRPr="006720E4">
        <w:t xml:space="preserve"> donation by dependent donors</w:t>
      </w:r>
      <w:bookmarkEnd w:id="2165"/>
      <w:bookmarkEnd w:id="2166"/>
    </w:p>
    <w:p w14:paraId="752E2D8F" w14:textId="77777777"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Children:</w:t>
      </w:r>
      <w:r w:rsidRPr="006720E4">
        <w:rPr>
          <w:rFonts w:ascii="Calibri" w:hAnsi="Calibri" w:cs="Calibri"/>
          <w:sz w:val="22"/>
          <w:szCs w:val="22"/>
        </w:rPr>
        <w:t xml:space="preserve"> In most Australian jurisdictions, offences or prohibitions exist in relation to the removal of non-regenerative organs from children.</w:t>
      </w:r>
    </w:p>
    <w:p w14:paraId="0796B5C6" w14:textId="092B6ED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Australian Capital Territory is the only jurisdiction that provides a legal mechanism for a child to donate a non-regenerative organ, such as a kidney, to a family member. Strict legal conditions must be satisfied including parental consent, child agreement and approval by a Minister appointed committee. </w:t>
      </w:r>
    </w:p>
    <w:p w14:paraId="3BC812EB" w14:textId="6249156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In all other Australian jurisdictions, a court order from a Supreme Court or the Family Court would be required for a child to lawfully donate an organ to another person. There have been no known cases of a court authorising the removal of an organ from a child in Australia for transplantation into another person. </w:t>
      </w:r>
    </w:p>
    <w:p w14:paraId="058A9EBC" w14:textId="28C64F8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a child is being considered as a living organ donor, an independent legal assessment should be obtained. </w:t>
      </w:r>
    </w:p>
    <w:p w14:paraId="31F85236" w14:textId="65448C35"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Adults lacking decision-making capacity:</w:t>
      </w:r>
      <w:r w:rsidRPr="006720E4">
        <w:rPr>
          <w:rFonts w:ascii="Calibri" w:hAnsi="Calibri" w:cs="Calibri"/>
          <w:sz w:val="22"/>
          <w:szCs w:val="22"/>
        </w:rPr>
        <w:t xml:space="preserve"> Legal restrictions may also exist when </w:t>
      </w:r>
      <w:r w:rsidR="00055771">
        <w:rPr>
          <w:rFonts w:ascii="Calibri" w:hAnsi="Calibri" w:cs="Calibri"/>
          <w:sz w:val="22"/>
          <w:szCs w:val="22"/>
        </w:rPr>
        <w:t xml:space="preserve">an </w:t>
      </w:r>
      <w:r w:rsidRPr="006720E4">
        <w:rPr>
          <w:rFonts w:ascii="Calibri" w:hAnsi="Calibri" w:cs="Calibri"/>
          <w:sz w:val="22"/>
          <w:szCs w:val="22"/>
        </w:rPr>
        <w:t xml:space="preserve">adult </w:t>
      </w:r>
      <w:r w:rsidR="00055771">
        <w:rPr>
          <w:rFonts w:ascii="Calibri" w:hAnsi="Calibri" w:cs="Calibri"/>
          <w:sz w:val="22"/>
          <w:szCs w:val="22"/>
        </w:rPr>
        <w:t>who lacks</w:t>
      </w:r>
      <w:r w:rsidRPr="006720E4">
        <w:rPr>
          <w:rFonts w:ascii="Calibri" w:hAnsi="Calibri" w:cs="Calibri"/>
          <w:sz w:val="22"/>
          <w:szCs w:val="22"/>
        </w:rPr>
        <w:t xml:space="preserve"> decision-making capacity </w:t>
      </w:r>
      <w:r w:rsidR="00055771">
        <w:rPr>
          <w:rFonts w:ascii="Calibri" w:hAnsi="Calibri" w:cs="Calibri"/>
          <w:sz w:val="22"/>
          <w:szCs w:val="22"/>
        </w:rPr>
        <w:t>for a donation decision is</w:t>
      </w:r>
      <w:r w:rsidRPr="006720E4">
        <w:rPr>
          <w:rFonts w:ascii="Calibri" w:hAnsi="Calibri" w:cs="Calibri"/>
          <w:sz w:val="22"/>
          <w:szCs w:val="22"/>
        </w:rPr>
        <w:t xml:space="preserve"> proposed as living organ donor.  Substitute decision-makers are required by law to consider particular factors when consenting to medical interventions on behalf of someone </w:t>
      </w:r>
      <w:r w:rsidRPr="00055771">
        <w:rPr>
          <w:rFonts w:ascii="Calibri" w:hAnsi="Calibri" w:cs="Calibri"/>
          <w:sz w:val="22"/>
          <w:szCs w:val="22"/>
        </w:rPr>
        <w:t xml:space="preserve">else (see </w:t>
      </w:r>
      <w:hyperlink w:anchor="_Adults_lacking_decision-making" w:history="1">
        <w:r w:rsidRPr="00055771">
          <w:rPr>
            <w:rStyle w:val="Hyperlink"/>
            <w:rFonts w:ascii="Calibri" w:hAnsi="Calibri" w:cs="Calibri"/>
            <w:sz w:val="22"/>
            <w:szCs w:val="22"/>
          </w:rPr>
          <w:t xml:space="preserve">Chapter </w:t>
        </w:r>
        <w:r w:rsidR="00CF420B" w:rsidRPr="00055771">
          <w:rPr>
            <w:rStyle w:val="Hyperlink"/>
            <w:rFonts w:ascii="Calibri" w:hAnsi="Calibri" w:cs="Calibri"/>
            <w:sz w:val="22"/>
            <w:szCs w:val="22"/>
          </w:rPr>
          <w:t>5</w:t>
        </w:r>
        <w:r w:rsidRPr="00055771">
          <w:rPr>
            <w:rStyle w:val="Hyperlink"/>
            <w:rFonts w:ascii="Calibri" w:hAnsi="Calibri" w:cs="Calibri"/>
            <w:sz w:val="22"/>
            <w:szCs w:val="22"/>
          </w:rPr>
          <w:t>.3.2</w:t>
        </w:r>
      </w:hyperlink>
      <w:r w:rsidRPr="00055771">
        <w:rPr>
          <w:rFonts w:ascii="Calibri" w:hAnsi="Calibri" w:cs="Calibri"/>
          <w:sz w:val="22"/>
          <w:szCs w:val="22"/>
        </w:rPr>
        <w:t>).</w:t>
      </w:r>
      <w:r w:rsidRPr="006720E4">
        <w:rPr>
          <w:rFonts w:ascii="Calibri" w:hAnsi="Calibri" w:cs="Calibri"/>
          <w:sz w:val="22"/>
          <w:szCs w:val="22"/>
        </w:rPr>
        <w:t xml:space="preserve">  </w:t>
      </w:r>
    </w:p>
    <w:p w14:paraId="1E76B923" w14:textId="6451E77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some Australian jurisdictions, a further legislative safeguard exists in relation to the removal of non-regenerative tissue and organs from an adult who lacks decision-making capacity to make a donation decision themselves. These provisions are contained in the substitute decision-making legislation (</w:t>
      </w:r>
      <w:r w:rsidRPr="0094629F">
        <w:rPr>
          <w:rFonts w:ascii="Calibri" w:hAnsi="Calibri" w:cs="Calibri"/>
          <w:sz w:val="22"/>
          <w:szCs w:val="22"/>
        </w:rPr>
        <w:t xml:space="preserve">see </w:t>
      </w:r>
      <w:r w:rsidRPr="0094629F">
        <w:rPr>
          <w:rFonts w:ascii="Calibri" w:hAnsi="Calibri" w:cs="Calibri"/>
          <w:b/>
          <w:bCs/>
          <w:sz w:val="22"/>
          <w:szCs w:val="22"/>
        </w:rPr>
        <w:t xml:space="preserve">Table </w:t>
      </w:r>
      <w:r w:rsidR="00CF420B" w:rsidRPr="0094629F">
        <w:rPr>
          <w:rFonts w:ascii="Calibri" w:hAnsi="Calibri" w:cs="Calibri"/>
          <w:b/>
          <w:bCs/>
          <w:sz w:val="22"/>
          <w:szCs w:val="22"/>
        </w:rPr>
        <w:t>5</w:t>
      </w:r>
      <w:r w:rsidRPr="0094629F">
        <w:rPr>
          <w:rFonts w:ascii="Calibri" w:hAnsi="Calibri" w:cs="Calibri"/>
          <w:b/>
          <w:bCs/>
          <w:sz w:val="22"/>
          <w:szCs w:val="22"/>
        </w:rPr>
        <w:t>.1</w:t>
      </w:r>
      <w:r w:rsidRPr="006720E4">
        <w:rPr>
          <w:rFonts w:ascii="Calibri" w:hAnsi="Calibri" w:cs="Calibri"/>
          <w:sz w:val="22"/>
          <w:szCs w:val="22"/>
        </w:rPr>
        <w:t xml:space="preserve"> in </w:t>
      </w:r>
      <w:hyperlink w:anchor="_Substitute_decision-making_and" w:history="1">
        <w:r w:rsidRPr="00055771">
          <w:rPr>
            <w:rStyle w:val="Hyperlink"/>
            <w:rFonts w:ascii="Calibri" w:hAnsi="Calibri" w:cs="Calibri"/>
            <w:sz w:val="22"/>
            <w:szCs w:val="22"/>
          </w:rPr>
          <w:t xml:space="preserve">Chapter </w:t>
        </w:r>
        <w:r w:rsidR="00CF420B" w:rsidRPr="00055771">
          <w:rPr>
            <w:rStyle w:val="Hyperlink"/>
            <w:rFonts w:ascii="Calibri" w:hAnsi="Calibri" w:cs="Calibri"/>
            <w:sz w:val="22"/>
            <w:szCs w:val="22"/>
          </w:rPr>
          <w:t>5</w:t>
        </w:r>
        <w:r w:rsidRPr="00055771">
          <w:rPr>
            <w:rStyle w:val="Hyperlink"/>
            <w:rFonts w:ascii="Calibri" w:hAnsi="Calibri" w:cs="Calibri"/>
            <w:sz w:val="22"/>
            <w:szCs w:val="22"/>
          </w:rPr>
          <w:t>.2</w:t>
        </w:r>
      </w:hyperlink>
      <w:r w:rsidRPr="00055771">
        <w:rPr>
          <w:rFonts w:ascii="Calibri" w:hAnsi="Calibri" w:cs="Calibri"/>
          <w:sz w:val="22"/>
          <w:szCs w:val="22"/>
        </w:rPr>
        <w:t>) rather</w:t>
      </w:r>
      <w:r w:rsidRPr="006720E4">
        <w:rPr>
          <w:rFonts w:ascii="Calibri" w:hAnsi="Calibri" w:cs="Calibri"/>
          <w:sz w:val="22"/>
          <w:szCs w:val="22"/>
        </w:rPr>
        <w:t xml:space="preserve"> than the human tissue legislation </w:t>
      </w:r>
      <w:r w:rsidRPr="00055771">
        <w:rPr>
          <w:rFonts w:ascii="Calibri" w:hAnsi="Calibri" w:cs="Calibri"/>
          <w:sz w:val="22"/>
          <w:szCs w:val="22"/>
        </w:rPr>
        <w:t xml:space="preserve">(see </w:t>
      </w:r>
      <w:hyperlink w:anchor="_Human_tissue_legislation" w:history="1">
        <w:r w:rsidRPr="00055771">
          <w:rPr>
            <w:rStyle w:val="Hyperlink"/>
            <w:rFonts w:ascii="Calibri" w:hAnsi="Calibri" w:cs="Calibri"/>
            <w:sz w:val="22"/>
            <w:szCs w:val="22"/>
          </w:rPr>
          <w:t xml:space="preserve">Chapter </w:t>
        </w:r>
        <w:r w:rsidR="00CF420B" w:rsidRPr="00055771">
          <w:rPr>
            <w:rStyle w:val="Hyperlink"/>
            <w:rFonts w:ascii="Calibri" w:hAnsi="Calibri" w:cs="Calibri"/>
            <w:sz w:val="22"/>
            <w:szCs w:val="22"/>
          </w:rPr>
          <w:t>3</w:t>
        </w:r>
        <w:r w:rsidRPr="00055771">
          <w:rPr>
            <w:rStyle w:val="Hyperlink"/>
            <w:rFonts w:ascii="Calibri" w:hAnsi="Calibri" w:cs="Calibri"/>
            <w:sz w:val="22"/>
            <w:szCs w:val="22"/>
          </w:rPr>
          <w:t>.</w:t>
        </w:r>
        <w:r w:rsidR="00055771" w:rsidRPr="00055771">
          <w:rPr>
            <w:rStyle w:val="Hyperlink"/>
            <w:rFonts w:ascii="Calibri" w:hAnsi="Calibri" w:cs="Calibri"/>
            <w:sz w:val="22"/>
            <w:szCs w:val="22"/>
          </w:rPr>
          <w:t>5</w:t>
        </w:r>
        <w:r w:rsidRPr="00055771">
          <w:rPr>
            <w:rStyle w:val="Hyperlink"/>
            <w:rFonts w:ascii="Calibri" w:hAnsi="Calibri" w:cs="Calibri"/>
            <w:sz w:val="22"/>
            <w:szCs w:val="22"/>
          </w:rPr>
          <w:t>.1</w:t>
        </w:r>
      </w:hyperlink>
      <w:r w:rsidRPr="00055771">
        <w:rPr>
          <w:rFonts w:ascii="Calibri" w:hAnsi="Calibri" w:cs="Calibri"/>
          <w:sz w:val="22"/>
          <w:szCs w:val="22"/>
        </w:rPr>
        <w:t>).</w:t>
      </w:r>
      <w:r w:rsidRPr="006720E4">
        <w:rPr>
          <w:rFonts w:ascii="Calibri" w:hAnsi="Calibri" w:cs="Calibri"/>
          <w:sz w:val="22"/>
          <w:szCs w:val="22"/>
        </w:rPr>
        <w:t xml:space="preserve"> </w:t>
      </w:r>
    </w:p>
    <w:p w14:paraId="4BA92D2F" w14:textId="14D0DB9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Australian Capital Territory, Northern Territory, Queensland, Tasmania, and Victoria the relevant Civil Administrative Tribunal is required to approve a decision to remove tissue for the purposes of transplantation to another person. Usually, the Tribunal will need to consider or be satisfied of a range of factors. For example, that the risk to the adult is small, that the risk of failure of the donated tissue is low, the nature of the relationship between the proposed donor and recipient and the wishes of the person as far as they can be ascertained. In Queensland, the tribunal cannot consent if the adult objects to the removal of tissue for donation. </w:t>
      </w:r>
      <w:bookmarkStart w:id="2167" w:name="_Toc63683497"/>
      <w:bookmarkStart w:id="2168" w:name="_Toc70241846"/>
      <w:bookmarkStart w:id="2169" w:name="_Toc70243481"/>
      <w:bookmarkStart w:id="2170" w:name="_Toc70414970"/>
      <w:bookmarkStart w:id="2171" w:name="_Toc70538917"/>
      <w:bookmarkStart w:id="2172" w:name="_Toc72615230"/>
    </w:p>
    <w:p w14:paraId="34374A21" w14:textId="2B859A4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court order from a Supreme Court could also provide authority for an adult lacking decision-making capacity to act as a donor for transplantation into another. A court would consider what is in the best interests of the proposed adult donor in making their decision.</w:t>
      </w:r>
    </w:p>
    <w:p w14:paraId="48239699" w14:textId="77777777" w:rsidR="006C6EBA" w:rsidRPr="006720E4" w:rsidRDefault="006C6EBA" w:rsidP="00EA22AE">
      <w:pPr>
        <w:pStyle w:val="Heading3"/>
        <w:spacing w:after="120"/>
      </w:pPr>
      <w:bookmarkStart w:id="2173" w:name="_Toc73129959"/>
      <w:bookmarkStart w:id="2174" w:name="_Toc73301834"/>
      <w:bookmarkStart w:id="2175" w:name="_Toc73302340"/>
      <w:bookmarkStart w:id="2176" w:name="_Toc73303473"/>
      <w:bookmarkStart w:id="2177" w:name="_Toc73303685"/>
      <w:bookmarkStart w:id="2178" w:name="_Toc74080802"/>
      <w:bookmarkStart w:id="2179" w:name="_Toc74081110"/>
      <w:bookmarkStart w:id="2180" w:name="_Toc74081340"/>
      <w:bookmarkStart w:id="2181" w:name="_Toc74081618"/>
      <w:bookmarkStart w:id="2182" w:name="_Toc74171171"/>
      <w:bookmarkStart w:id="2183" w:name="_Toc74172395"/>
      <w:bookmarkStart w:id="2184" w:name="_Toc74172931"/>
      <w:bookmarkStart w:id="2185" w:name="_Toc74238845"/>
      <w:bookmarkStart w:id="2186" w:name="_Toc79406374"/>
      <w:bookmarkStart w:id="2187" w:name="_Toc82773570"/>
      <w:bookmarkStart w:id="2188" w:name="_Toc82773923"/>
      <w:r w:rsidRPr="006720E4">
        <w:t>Exceptional circumstances in which living donation by children and adults lacking decision-making capacity may be considered</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185557C8" w14:textId="699E06D2"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Living donation by a dependent donor should exceptionally be considered only in circumstances of strict necessity and where the expected benefits of donation substantially outweigh the potential risks. These and other conditions are set out in following sections. Given the substantially greater burdens and risks associated with living organ donation compared with HSC donation, including a risk of death as high as 0.2% for living liver donation,</w:t>
      </w:r>
      <w:r w:rsidRPr="006720E4">
        <w:rPr>
          <w:rFonts w:cs="Calibri"/>
          <w:szCs w:val="22"/>
        </w:rPr>
        <w:fldChar w:fldCharType="begin" w:fldLock="1"/>
      </w:r>
      <w:r w:rsidR="00EB088B">
        <w:rPr>
          <w:rFonts w:cs="Calibri"/>
          <w:szCs w:val="22"/>
        </w:rPr>
        <w:instrText>ADDIN CSL_CITATION {"citationItems":[{"id":"ITEM-1","itemData":{"DOI":"10.1002/lt","ISSN":"15276465","PMID":"17563933","author":[{"dropping-particle":"","family":"Cheah","given":"Yee Lee","non-dropping-particle":"","parse-names":false,"suffix":""},{"dropping-particle":"","family":"Simpson","given":"Mary Ann","non-dropping-particle":"","parse-names":false,"suffix":""},{"dropping-particle":"","family":"Pomposelli","given":"James J.","non-dropping-particle":"","parse-names":false,"suffix":""},{"dropping-particle":"","family":"Pomfret","given":"Elizabeth A","non-dropping-particle":"","parse-names":false,"suffix":""}],"container-title":"Liver Transplantation","id":"ITEM-1","issued":{"date-parts":[["2013"]]},"page":"499-506","title":"Incidence of Death and Potentially Life- Threatening Near-Miss Events in Living Donor Hepatic Lobectomy: A World-Wide Survey","type":"article-journal","volume":"19"},"uris":["http://www.mendeley.com/documents/?uuid=2a3cf627-41c6-434b-839e-c8338659d62f"]}],"mendeley":{"formattedCitation":"(64)","plainTextFormattedCitation":"(64)","previouslyFormattedCitation":"(64)"},"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(64)</w:t>
      </w:r>
      <w:r w:rsidRPr="006720E4">
        <w:rPr>
          <w:rFonts w:cs="Calibri"/>
          <w:szCs w:val="22"/>
        </w:rPr>
        <w:fldChar w:fldCharType="end"/>
      </w:r>
      <w:r w:rsidRPr="006720E4">
        <w:rPr>
          <w:rFonts w:cs="Calibri"/>
          <w:szCs w:val="22"/>
        </w:rPr>
        <w:t xml:space="preserve"> these considerations should be more stringently applied where organ donation is being considered. This is regardless of whether the organ (e.g., liver) is defined as regenerative or non-regenerative. </w:t>
      </w:r>
    </w:p>
    <w:p w14:paraId="1D155239" w14:textId="0689F79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addition to the ethical conditions set out below, the general principles underpinning ethical practice in living donation outlined elsewhere in these Guidelines are also applicable to children and adults lacking decision-making capacity. For example, it is important to ensure the welfare of the dependent donor in the immediate, short, medium, and long-term following donation through the provision of best practice </w:t>
      </w:r>
      <w:r w:rsidRPr="0094629F">
        <w:rPr>
          <w:rFonts w:ascii="Calibri" w:hAnsi="Calibri" w:cs="Calibri"/>
          <w:sz w:val="22"/>
          <w:szCs w:val="22"/>
        </w:rPr>
        <w:t xml:space="preserve">care (see </w:t>
      </w:r>
      <w:hyperlink w:anchor="_Care_of_living" w:history="1">
        <w:r w:rsidRPr="0094629F">
          <w:rPr>
            <w:rStyle w:val="Hyperlink"/>
            <w:rFonts w:ascii="Calibri" w:hAnsi="Calibri" w:cs="Calibri"/>
            <w:sz w:val="22"/>
            <w:szCs w:val="22"/>
          </w:rPr>
          <w:t xml:space="preserve">Chapter </w:t>
        </w:r>
        <w:r w:rsidR="00CF420B" w:rsidRPr="0094629F">
          <w:rPr>
            <w:rStyle w:val="Hyperlink"/>
            <w:rFonts w:ascii="Calibri" w:hAnsi="Calibri" w:cs="Calibri"/>
            <w:sz w:val="22"/>
            <w:szCs w:val="22"/>
          </w:rPr>
          <w:t>6</w:t>
        </w:r>
        <w:r w:rsidRPr="0094629F">
          <w:rPr>
            <w:rStyle w:val="Hyperlink"/>
            <w:rFonts w:ascii="Calibri" w:hAnsi="Calibri" w:cs="Calibri"/>
            <w:sz w:val="22"/>
            <w:szCs w:val="22"/>
          </w:rPr>
          <w:t>.2.1</w:t>
        </w:r>
      </w:hyperlink>
      <w:r w:rsidRPr="0094629F">
        <w:rPr>
          <w:rFonts w:ascii="Calibri" w:hAnsi="Calibri" w:cs="Calibri"/>
          <w:sz w:val="22"/>
          <w:szCs w:val="22"/>
        </w:rPr>
        <w:t>). This includes</w:t>
      </w:r>
      <w:r w:rsidRPr="006720E4">
        <w:rPr>
          <w:rFonts w:ascii="Calibri" w:hAnsi="Calibri" w:cs="Calibri"/>
          <w:sz w:val="22"/>
          <w:szCs w:val="22"/>
        </w:rPr>
        <w:t xml:space="preserve"> mobilising formal expressions of gratitude for their </w:t>
      </w:r>
      <w:r w:rsidRPr="0094629F">
        <w:rPr>
          <w:rFonts w:ascii="Calibri" w:hAnsi="Calibri" w:cs="Calibri"/>
          <w:sz w:val="22"/>
          <w:szCs w:val="22"/>
        </w:rPr>
        <w:t xml:space="preserve">involvement (see </w:t>
      </w:r>
      <w:hyperlink w:anchor="_Acknowledging_donors" w:history="1">
        <w:r w:rsidRPr="0094629F">
          <w:rPr>
            <w:rStyle w:val="Hyperlink"/>
            <w:rFonts w:ascii="Calibri" w:hAnsi="Calibri" w:cs="Calibri"/>
            <w:sz w:val="22"/>
            <w:szCs w:val="22"/>
          </w:rPr>
          <w:t xml:space="preserve">Chapter </w:t>
        </w:r>
        <w:r w:rsidR="00CF420B" w:rsidRPr="0094629F">
          <w:rPr>
            <w:rStyle w:val="Hyperlink"/>
            <w:rFonts w:ascii="Calibri" w:hAnsi="Calibri" w:cs="Calibri"/>
            <w:sz w:val="22"/>
            <w:szCs w:val="22"/>
          </w:rPr>
          <w:t>3</w:t>
        </w:r>
        <w:r w:rsidRPr="0094629F">
          <w:rPr>
            <w:rStyle w:val="Hyperlink"/>
            <w:rFonts w:ascii="Calibri" w:hAnsi="Calibri" w:cs="Calibri"/>
            <w:sz w:val="22"/>
            <w:szCs w:val="22"/>
          </w:rPr>
          <w:t>.</w:t>
        </w:r>
        <w:r w:rsidR="0094629F" w:rsidRPr="0094629F">
          <w:rPr>
            <w:rStyle w:val="Hyperlink"/>
            <w:rFonts w:ascii="Calibri" w:hAnsi="Calibri" w:cs="Calibri"/>
            <w:sz w:val="22"/>
            <w:szCs w:val="22"/>
          </w:rPr>
          <w:t>2</w:t>
        </w:r>
        <w:r w:rsidRPr="0094629F">
          <w:rPr>
            <w:rStyle w:val="Hyperlink"/>
            <w:rFonts w:ascii="Calibri" w:hAnsi="Calibri" w:cs="Calibri"/>
            <w:sz w:val="22"/>
            <w:szCs w:val="22"/>
          </w:rPr>
          <w:t>.1.1</w:t>
        </w:r>
      </w:hyperlink>
      <w:r w:rsidRPr="0094629F">
        <w:rPr>
          <w:rFonts w:ascii="Calibri" w:hAnsi="Calibri" w:cs="Calibri"/>
          <w:sz w:val="22"/>
          <w:szCs w:val="22"/>
        </w:rPr>
        <w:t>) and</w:t>
      </w:r>
      <w:r w:rsidRPr="006720E4">
        <w:rPr>
          <w:rFonts w:ascii="Calibri" w:hAnsi="Calibri" w:cs="Calibri"/>
          <w:sz w:val="22"/>
          <w:szCs w:val="22"/>
        </w:rPr>
        <w:t xml:space="preserve"> having appropriate medical and psychological follow up of donors. This is particularly necessary where transplant outcomes are poor or result in the death of the recipient who will normally be a close family member of the donor. Consideration should also be given to the long-term impact of donation on children as they mature and as their understanding of their donation experience and its implications grows. </w:t>
      </w:r>
    </w:p>
    <w:p w14:paraId="560021E2" w14:textId="77777777" w:rsidR="006C6EBA" w:rsidRPr="006720E4" w:rsidRDefault="006C6EBA" w:rsidP="00EA22AE">
      <w:pPr>
        <w:pStyle w:val="Heading4"/>
        <w:spacing w:after="120"/>
      </w:pPr>
      <w:bookmarkStart w:id="2189" w:name="_Necessity_of_living"/>
      <w:bookmarkStart w:id="2190" w:name="_Toc82773571"/>
      <w:bookmarkStart w:id="2191" w:name="_Toc82773924"/>
      <w:bookmarkEnd w:id="2189"/>
      <w:r w:rsidRPr="006720E4">
        <w:t>Necessity of living donation by dependent donors</w:t>
      </w:r>
      <w:bookmarkEnd w:id="2190"/>
      <w:bookmarkEnd w:id="2191"/>
    </w:p>
    <w:p w14:paraId="5E20B86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Dependent donors should only be considered as potential donors when all other options have been considered and no feasible alternatives can be found. For example, there are no alternative donors </w:t>
      </w:r>
      <w:r w:rsidRPr="006720E4">
        <w:rPr>
          <w:rFonts w:ascii="Calibri" w:hAnsi="Calibri" w:cs="Calibri"/>
          <w:sz w:val="22"/>
          <w:szCs w:val="22"/>
        </w:rPr>
        <w:lastRenderedPageBreak/>
        <w:t xml:space="preserve">available, and no feasible opportunities for a deceased donor transplant (where relevant), and there are no alternative forms of treatment available for the transplant candidate. This is sometimes referred to as the principle of </w:t>
      </w:r>
      <w:r w:rsidRPr="006720E4">
        <w:rPr>
          <w:rFonts w:ascii="Calibri" w:hAnsi="Calibri" w:cs="Calibri"/>
          <w:b/>
          <w:bCs/>
          <w:sz w:val="22"/>
          <w:szCs w:val="22"/>
        </w:rPr>
        <w:t>last resort</w:t>
      </w:r>
      <w:r w:rsidRPr="006720E4">
        <w:rPr>
          <w:rFonts w:ascii="Calibri" w:hAnsi="Calibri" w:cs="Calibri"/>
          <w:sz w:val="22"/>
          <w:szCs w:val="22"/>
        </w:rPr>
        <w:t xml:space="preserve">. </w:t>
      </w:r>
    </w:p>
    <w:p w14:paraId="284E8D47" w14:textId="0A8190E7" w:rsidR="006C6EBA" w:rsidRPr="006720E4" w:rsidRDefault="006C6EBA" w:rsidP="00EA22AE">
      <w:pPr>
        <w:spacing w:after="120"/>
        <w:rPr>
          <w:rFonts w:ascii="Calibri" w:hAnsi="Calibri" w:cs="Calibri"/>
        </w:rPr>
      </w:pPr>
      <w:r w:rsidRPr="006720E4">
        <w:rPr>
          <w:rFonts w:ascii="Calibri" w:hAnsi="Calibri" w:cs="Calibri"/>
          <w:sz w:val="22"/>
          <w:szCs w:val="22"/>
        </w:rPr>
        <w:t>In implementing the principle of last resort, all feasible alternatives to using the child or adult lacking decision-making capacity as a living donor ought to be considered. This includes exploring the option of obtaining a HSC donation from the available national and international bone marrow donor registries and considering potential adult living donors outside the immediate family with decision-making capacity.</w:t>
      </w:r>
    </w:p>
    <w:p w14:paraId="688E9211" w14:textId="77777777" w:rsidR="006C6EBA" w:rsidRPr="006720E4" w:rsidRDefault="006C6EBA" w:rsidP="00EA22AE">
      <w:pPr>
        <w:pStyle w:val="Heading4"/>
        <w:spacing w:after="120"/>
      </w:pPr>
      <w:bookmarkStart w:id="2192" w:name="_Proportionality_of_risks"/>
      <w:bookmarkStart w:id="2193" w:name="_Toc82773572"/>
      <w:bookmarkStart w:id="2194" w:name="_Toc82773925"/>
      <w:bookmarkEnd w:id="2192"/>
      <w:r w:rsidRPr="006720E4">
        <w:t>Proportionality of risks and benefits of living donation by dependent donors</w:t>
      </w:r>
      <w:bookmarkEnd w:id="2193"/>
      <w:bookmarkEnd w:id="2194"/>
    </w:p>
    <w:p w14:paraId="408675A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living donation by children or adults lacking capacity is considered, the evaluation of risks and potential benefits becomes particularly important. It is more difficult to justify acceptance of any significant risks when a potential donor is unable to autonomously choose to incur those risks.</w:t>
      </w:r>
    </w:p>
    <w:p w14:paraId="015BB16E" w14:textId="27A0B5C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Rigorous evaluation of the short, medium, and long-term risks and potential benefits of donation for the potential dependent donor - as compared with the expected outcomes for them if donation does not occur - should demonstrate the risks of proceeding with donation are substantively outweighed by the expected benefits. </w:t>
      </w:r>
    </w:p>
    <w:p w14:paraId="35B279D1" w14:textId="28F6BFD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w:t>
      </w:r>
      <w:r w:rsidRPr="004B64BA">
        <w:rPr>
          <w:rFonts w:ascii="Calibri" w:hAnsi="Calibri" w:cs="Calibri"/>
          <w:sz w:val="22"/>
          <w:szCs w:val="22"/>
        </w:rPr>
        <w:t xml:space="preserve">discussed in </w:t>
      </w:r>
      <w:hyperlink w:anchor="_Evaluating_potential_benefits_1" w:history="1">
        <w:r w:rsidR="00CF420B" w:rsidRPr="004B64BA">
          <w:rPr>
            <w:rStyle w:val="Hyperlink"/>
            <w:rFonts w:ascii="Calibri" w:hAnsi="Calibri" w:cs="Calibri"/>
            <w:sz w:val="22"/>
            <w:szCs w:val="22"/>
          </w:rPr>
          <w:t>Chapter</w:t>
        </w:r>
      </w:hyperlink>
      <w:r w:rsidR="00CF420B" w:rsidRPr="004B64BA">
        <w:rPr>
          <w:rStyle w:val="Hyperlink"/>
          <w:rFonts w:ascii="Calibri" w:hAnsi="Calibri" w:cs="Calibri"/>
          <w:sz w:val="22"/>
          <w:szCs w:val="22"/>
        </w:rPr>
        <w:t xml:space="preserve"> 6</w:t>
      </w:r>
      <w:r w:rsidRPr="004B64BA">
        <w:rPr>
          <w:rFonts w:ascii="Calibri" w:hAnsi="Calibri" w:cs="Calibri"/>
          <w:sz w:val="22"/>
          <w:szCs w:val="22"/>
        </w:rPr>
        <w:t>, when</w:t>
      </w:r>
      <w:r w:rsidRPr="006720E4">
        <w:rPr>
          <w:rFonts w:ascii="Calibri" w:hAnsi="Calibri" w:cs="Calibri"/>
          <w:sz w:val="22"/>
          <w:szCs w:val="22"/>
        </w:rPr>
        <w:t xml:space="preserve"> living donation is a non-therapeutic procedure, a donor is only likely to derive psychological and social benefit from helping a loved one. It is important to recognize that people who lack decision-making capacity may have strong interests that extend beyond physical health, which should be duly considered when making decisions on their behalf. </w:t>
      </w:r>
    </w:p>
    <w:p w14:paraId="1AF80AE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Where a proposed donor’s current and predicted future decision-making incapacity is severe and prevents any understanding of why a donation is needed or the potential benefits it offers, the psychological benefits of donation to the prospective donor may be harder to justify. However, in cases where donation provides the only opportunity to preserve the life of a close family member such as a parent or primary carer, the broader benefits of donation for the prospective donor may be substantial in comparison to the risks of the family member dying. For example, whilst a potential adult donor with severe cognitive impairment may have limited capacity to experience emotional distress if their primary carer dies, the loss of that carer in some cases may be highly detrimental to the long-term welfare of the potential donor. </w:t>
      </w:r>
    </w:p>
    <w:p w14:paraId="38C6821A" w14:textId="5B6A4E2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Any potential benefits of donation need to be weighed against the physical burdens and risks of donation. These risks include the potential lack of understanding experienced by the proposed donor if donation proceeds, which may exacerbate distress throughout the donation process and could potentially cause long-term psychological harm. Whether this lack of understanding will change over time (e.g., a child who may come to understand and appreciate their role in helping a loved one as they mature) may also be relevant. </w:t>
      </w:r>
    </w:p>
    <w:p w14:paraId="3279FEE8" w14:textId="7E00DA2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w:t>
      </w:r>
      <w:r w:rsidRPr="004B64BA">
        <w:rPr>
          <w:rFonts w:ascii="Calibri" w:hAnsi="Calibri" w:cs="Calibri"/>
          <w:sz w:val="22"/>
          <w:szCs w:val="22"/>
        </w:rPr>
        <w:t xml:space="preserve">noted in </w:t>
      </w:r>
      <w:hyperlink w:anchor="_Evaluating_potential_benefits_1" w:history="1">
        <w:r w:rsidRPr="004B64BA">
          <w:rPr>
            <w:rStyle w:val="Hyperlink"/>
            <w:rFonts w:ascii="Calibri" w:hAnsi="Calibri" w:cs="Calibri"/>
            <w:sz w:val="22"/>
            <w:szCs w:val="22"/>
          </w:rPr>
          <w:t xml:space="preserve">Chapter </w:t>
        </w:r>
        <w:r w:rsidR="00CF420B" w:rsidRPr="004B64BA">
          <w:rPr>
            <w:rStyle w:val="Hyperlink"/>
            <w:rFonts w:ascii="Calibri" w:hAnsi="Calibri" w:cs="Calibri"/>
            <w:sz w:val="22"/>
            <w:szCs w:val="22"/>
          </w:rPr>
          <w:t>6</w:t>
        </w:r>
        <w:r w:rsidRPr="004B64BA">
          <w:rPr>
            <w:rStyle w:val="Hyperlink"/>
            <w:rFonts w:ascii="Calibri" w:hAnsi="Calibri" w:cs="Calibri"/>
            <w:sz w:val="22"/>
            <w:szCs w:val="22"/>
          </w:rPr>
          <w:t>.1</w:t>
        </w:r>
      </w:hyperlink>
      <w:r w:rsidRPr="004B64BA">
        <w:rPr>
          <w:rFonts w:ascii="Calibri" w:hAnsi="Calibri" w:cs="Calibri"/>
          <w:sz w:val="22"/>
          <w:szCs w:val="22"/>
        </w:rPr>
        <w:t>, in the event that an</w:t>
      </w:r>
      <w:r w:rsidRPr="006720E4">
        <w:rPr>
          <w:rFonts w:ascii="Calibri" w:hAnsi="Calibri" w:cs="Calibri"/>
          <w:sz w:val="22"/>
          <w:szCs w:val="22"/>
        </w:rPr>
        <w:t xml:space="preserve"> individual is considered as a potential donor on more than one occasion or asked to donate again following a previous donation, the risks and potential benefits must be reassessed. </w:t>
      </w:r>
    </w:p>
    <w:p w14:paraId="0D34CD7F" w14:textId="77777777" w:rsidR="006C6EBA" w:rsidRPr="006720E4" w:rsidRDefault="006C6EBA" w:rsidP="00EA22AE">
      <w:pPr>
        <w:pStyle w:val="Heading4"/>
        <w:spacing w:after="120"/>
      </w:pPr>
      <w:bookmarkStart w:id="2195" w:name="_Relationship_between_intended"/>
      <w:bookmarkStart w:id="2196" w:name="_Toc82773573"/>
      <w:bookmarkStart w:id="2197" w:name="_Toc82773926"/>
      <w:bookmarkEnd w:id="2195"/>
      <w:r w:rsidRPr="006720E4">
        <w:t>Relationship between intended recipients and potential dependent living donors</w:t>
      </w:r>
      <w:bookmarkEnd w:id="2196"/>
      <w:bookmarkEnd w:id="2197"/>
      <w:r w:rsidRPr="006720E4">
        <w:t xml:space="preserve"> </w:t>
      </w:r>
    </w:p>
    <w:p w14:paraId="3DBC31FE" w14:textId="18465870"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Proposed recipients of living donations from dependent donors should generally be close family of the proposed donor, with whom there should be an existing positive psychosocial relationship. </w:t>
      </w:r>
      <w:r w:rsidRPr="006720E4">
        <w:rPr>
          <w:rFonts w:ascii="Calibri" w:hAnsi="Calibri" w:cs="Calibri"/>
          <w:sz w:val="22"/>
          <w:szCs w:val="22"/>
        </w:rPr>
        <w:t xml:space="preserve">Only in the context of a close interpersonal relationship is it likely that the balance of potential benefits and risks associated with living donation may outweigh those associated with a missed opportunity for living donation by a child or adult lacking capacity. </w:t>
      </w:r>
    </w:p>
    <w:p w14:paraId="77D6A13B" w14:textId="5DBB81B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contrast to adults who have the capacity to make autonomous decisions about donation, a child or adult lacking capacity </w:t>
      </w:r>
      <w:r w:rsidRPr="006720E4">
        <w:rPr>
          <w:rFonts w:ascii="Calibri" w:hAnsi="Calibri" w:cs="Calibri"/>
          <w:b/>
          <w:bCs/>
          <w:sz w:val="22"/>
          <w:szCs w:val="22"/>
        </w:rPr>
        <w:t>should no</w:t>
      </w:r>
      <w:r w:rsidRPr="006720E4">
        <w:rPr>
          <w:rFonts w:ascii="Calibri" w:hAnsi="Calibri" w:cs="Calibri"/>
          <w:sz w:val="22"/>
          <w:szCs w:val="22"/>
        </w:rPr>
        <w:t xml:space="preserve">t be permitted to assume the risks of living donation for purely altruistic purposes (i.e., non-directed living organ donation). Benefits derived from a wish to help </w:t>
      </w:r>
      <w:r w:rsidRPr="006720E4">
        <w:rPr>
          <w:rFonts w:ascii="Calibri" w:hAnsi="Calibri" w:cs="Calibri"/>
          <w:sz w:val="22"/>
          <w:szCs w:val="22"/>
        </w:rPr>
        <w:lastRenderedPageBreak/>
        <w:t>(unknown) others should not be considered sufficient to outweigh the risks associated with living donation and the risks of exploitation of those who lack decision-making capacity.</w:t>
      </w:r>
    </w:p>
    <w:p w14:paraId="7FF44AF7" w14:textId="7D6C8985" w:rsidR="006C6EBA" w:rsidRPr="006720E4" w:rsidRDefault="006C6EBA" w:rsidP="00EA22AE">
      <w:pPr>
        <w:pStyle w:val="Heading4"/>
        <w:spacing w:after="120"/>
      </w:pPr>
      <w:bookmarkStart w:id="2198" w:name="_Assent_for_living"/>
      <w:bookmarkStart w:id="2199" w:name="_Toc82773574"/>
      <w:bookmarkStart w:id="2200" w:name="_Toc82773927"/>
      <w:bookmarkEnd w:id="2198"/>
      <w:r w:rsidRPr="006720E4">
        <w:t>Assent for living donation by a dependent donor</w:t>
      </w:r>
      <w:bookmarkEnd w:id="2199"/>
      <w:bookmarkEnd w:id="2200"/>
      <w:r w:rsidRPr="006720E4">
        <w:t xml:space="preserve"> </w:t>
      </w:r>
    </w:p>
    <w:p w14:paraId="59ECF3B8" w14:textId="23A49584"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Where the potential donor can contribute to decision-making, their voluntary </w:t>
      </w:r>
      <w:r w:rsidRPr="00CF420B">
        <w:rPr>
          <w:rFonts w:cs="Calibri"/>
          <w:szCs w:val="22"/>
        </w:rPr>
        <w:t xml:space="preserve">assent (see </w:t>
      </w:r>
      <w:hyperlink w:anchor="_The_importance_of" w:history="1">
        <w:r w:rsidRPr="00CF420B">
          <w:rPr>
            <w:rStyle w:val="Hyperlink"/>
            <w:rFonts w:cs="Calibri"/>
            <w:szCs w:val="22"/>
          </w:rPr>
          <w:t xml:space="preserve">Chapter </w:t>
        </w:r>
        <w:r w:rsidR="00CF420B" w:rsidRPr="00CF420B">
          <w:rPr>
            <w:rStyle w:val="Hyperlink"/>
            <w:rFonts w:cs="Calibri"/>
            <w:szCs w:val="22"/>
          </w:rPr>
          <w:t>5</w:t>
        </w:r>
        <w:r w:rsidRPr="00CF420B">
          <w:rPr>
            <w:rStyle w:val="Hyperlink"/>
            <w:rFonts w:cs="Calibri"/>
            <w:szCs w:val="22"/>
          </w:rPr>
          <w:t>.1.4.1</w:t>
        </w:r>
      </w:hyperlink>
      <w:r w:rsidRPr="00CF420B">
        <w:rPr>
          <w:rFonts w:cs="Calibri"/>
          <w:szCs w:val="22"/>
        </w:rPr>
        <w:t>) to donation is essential. When the child or adult lacking decision-making capacity is able to participate in decision-making about potential living donation, every effort should be made to support their understanding of the situation (</w:t>
      </w:r>
      <w:r w:rsidRPr="00CF420B">
        <w:rPr>
          <w:rFonts w:cs="Calibri"/>
        </w:rPr>
        <w:t xml:space="preserve">see </w:t>
      </w:r>
      <w:hyperlink w:anchor="_Involvement_of_children" w:history="1">
        <w:r w:rsidRPr="00CF420B">
          <w:rPr>
            <w:rStyle w:val="Hyperlink"/>
            <w:rFonts w:cs="Calibri"/>
          </w:rPr>
          <w:t xml:space="preserve">Chapter </w:t>
        </w:r>
        <w:r w:rsidR="00CF420B" w:rsidRPr="00CF420B">
          <w:rPr>
            <w:rStyle w:val="Hyperlink"/>
            <w:rFonts w:cs="Calibri"/>
          </w:rPr>
          <w:t>5</w:t>
        </w:r>
        <w:r w:rsidRPr="00CF420B">
          <w:rPr>
            <w:rStyle w:val="Hyperlink"/>
            <w:rFonts w:cs="Calibri"/>
          </w:rPr>
          <w:t>.1.4</w:t>
        </w:r>
      </w:hyperlink>
      <w:r w:rsidRPr="00CF420B">
        <w:rPr>
          <w:rFonts w:cs="Calibri"/>
        </w:rPr>
        <w:t>)</w:t>
      </w:r>
      <w:r w:rsidRPr="00CF420B">
        <w:rPr>
          <w:rFonts w:cs="Calibri"/>
          <w:szCs w:val="22"/>
        </w:rPr>
        <w:t xml:space="preserve"> and to commu</w:t>
      </w:r>
      <w:r w:rsidRPr="006720E4">
        <w:rPr>
          <w:rFonts w:cs="Calibri"/>
          <w:szCs w:val="22"/>
        </w:rPr>
        <w:t xml:space="preserve">nicate their preferences regarding donation. The limits of their ability to appreciate the potential consequences of decision-making should be carefully considered. For example, even older children may have limited capacity to imagine their lives and appreciate the potential longer-term impact of organ donation on their future lives, particularly as they are still forming their characters and preferences in response to greater life experience as they mature.  </w:t>
      </w:r>
    </w:p>
    <w:p w14:paraId="724EBBC6" w14:textId="789B79BB"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While a child’s understanding is likely to increase as they age and it is important to respect the emerging autonomy of children and adolescents, there must also be an awareness that children may be more easily susceptible to pressures to agree within a family unit. Most children are heavily reliant on parents for most of their life activities and are likely to be influenced by the views of their parents.</w:t>
      </w:r>
    </w:p>
    <w:p w14:paraId="51868447" w14:textId="75260E6F"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Any manifest reluctance or objection to acting </w:t>
      </w:r>
      <w:r w:rsidRPr="00CF420B">
        <w:rPr>
          <w:rFonts w:cs="Calibri"/>
          <w:szCs w:val="22"/>
        </w:rPr>
        <w:t xml:space="preserve">as a donor by a child or adult lacking capacity must be taken seriously. For </w:t>
      </w:r>
      <w:r w:rsidRPr="00CF420B">
        <w:rPr>
          <w:rFonts w:cs="Calibri"/>
          <w:i/>
          <w:iCs/>
          <w:szCs w:val="22"/>
        </w:rPr>
        <w:t>Gillick</w:t>
      </w:r>
      <w:r w:rsidRPr="00CF420B">
        <w:rPr>
          <w:rFonts w:cs="Calibri"/>
          <w:szCs w:val="22"/>
        </w:rPr>
        <w:t xml:space="preserve">-competent children (see </w:t>
      </w:r>
      <w:hyperlink w:anchor="_Children_who_may" w:history="1">
        <w:r w:rsidRPr="00CF420B">
          <w:rPr>
            <w:rStyle w:val="Hyperlink"/>
            <w:rFonts w:cs="Calibri"/>
            <w:szCs w:val="22"/>
          </w:rPr>
          <w:t xml:space="preserve">Chapter </w:t>
        </w:r>
        <w:r w:rsidR="00CF420B" w:rsidRPr="00CF420B">
          <w:rPr>
            <w:rStyle w:val="Hyperlink"/>
            <w:rFonts w:cs="Calibri"/>
            <w:szCs w:val="22"/>
          </w:rPr>
          <w:t>5</w:t>
        </w:r>
        <w:r w:rsidRPr="00CF420B">
          <w:rPr>
            <w:rStyle w:val="Hyperlink"/>
            <w:rFonts w:cs="Calibri"/>
            <w:szCs w:val="22"/>
          </w:rPr>
          <w:t>.1.2</w:t>
        </w:r>
      </w:hyperlink>
      <w:r w:rsidRPr="00CF420B">
        <w:rPr>
          <w:rFonts w:cs="Calibri"/>
          <w:szCs w:val="22"/>
        </w:rPr>
        <w:t>), a refusal to act as a donor must always be respected. The non-therapeutic nature of donation means that it</w:t>
      </w:r>
      <w:r w:rsidRPr="006720E4">
        <w:rPr>
          <w:rFonts w:cs="Calibri"/>
          <w:szCs w:val="22"/>
        </w:rPr>
        <w:t xml:space="preserve"> is unlikely to be in a child’s best interests to donate where they demonstrate an unwillingness to donate. This may be evident in strong physical objection to interventions and more considered refusals by children or by adults with some understanding who lack capacity. In such cases, attempts to address the potential concerns (e.g., where unwillingness relates to a fear of hospital or pain from needles) can be made. However, where an unwillingness to donate is maintained for a period of time despite such attempts, an objection should be respected.</w:t>
      </w:r>
    </w:p>
    <w:p w14:paraId="308D809E" w14:textId="77777777" w:rsidR="006C6EBA" w:rsidRPr="006720E4" w:rsidRDefault="006C6EBA" w:rsidP="00EA22AE">
      <w:pPr>
        <w:pStyle w:val="Heading3"/>
        <w:spacing w:after="120"/>
      </w:pPr>
      <w:bookmarkStart w:id="2201" w:name="_Evaluation_of_potential"/>
      <w:bookmarkStart w:id="2202" w:name="_Toc70538923"/>
      <w:bookmarkStart w:id="2203" w:name="_Toc72615237"/>
      <w:bookmarkStart w:id="2204" w:name="_Toc73129964"/>
      <w:bookmarkStart w:id="2205" w:name="_Toc73301837"/>
      <w:bookmarkStart w:id="2206" w:name="_Toc73302343"/>
      <w:bookmarkStart w:id="2207" w:name="_Toc73303476"/>
      <w:bookmarkStart w:id="2208" w:name="_Toc73303686"/>
      <w:bookmarkStart w:id="2209" w:name="_Toc74080803"/>
      <w:bookmarkStart w:id="2210" w:name="_Toc74081111"/>
      <w:bookmarkStart w:id="2211" w:name="_Toc74081341"/>
      <w:bookmarkStart w:id="2212" w:name="_Toc74081621"/>
      <w:bookmarkStart w:id="2213" w:name="_Toc74171172"/>
      <w:bookmarkStart w:id="2214" w:name="_Toc74172398"/>
      <w:bookmarkStart w:id="2215" w:name="_Toc74172933"/>
      <w:bookmarkStart w:id="2216" w:name="_Toc74238846"/>
      <w:bookmarkStart w:id="2217" w:name="_Toc79406375"/>
      <w:bookmarkStart w:id="2218" w:name="_Toc82773575"/>
      <w:bookmarkStart w:id="2219" w:name="_Toc82773928"/>
      <w:bookmarkEnd w:id="2201"/>
      <w:r w:rsidRPr="006720E4">
        <w:t>Requirements for decision-making when children and adults lacking decision-making capacity are considered as potential living donors</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p w14:paraId="3F8C0BA9" w14:textId="77777777"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A number of strategies are required to address concerns about decision-making regarding potential living donation by children and adults lacking capacity which are set out below.</w:t>
      </w:r>
    </w:p>
    <w:p w14:paraId="7AA81933" w14:textId="77777777" w:rsidR="006C6EBA" w:rsidRPr="006720E4" w:rsidRDefault="006C6EBA" w:rsidP="00EA22AE">
      <w:pPr>
        <w:pStyle w:val="Heading4"/>
        <w:spacing w:after="120"/>
      </w:pPr>
      <w:bookmarkStart w:id="2220" w:name="_Formal_independence_in"/>
      <w:bookmarkStart w:id="2221" w:name="_Toc82773576"/>
      <w:bookmarkStart w:id="2222" w:name="_Toc82773929"/>
      <w:bookmarkEnd w:id="2220"/>
      <w:r w:rsidRPr="006720E4">
        <w:t>Formal independence in decision-making about living donation by dependent donors</w:t>
      </w:r>
      <w:bookmarkEnd w:id="2221"/>
      <w:bookmarkEnd w:id="2222"/>
    </w:p>
    <w:p w14:paraId="1DDBAC52" w14:textId="51809CA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Those ordinarily tasked with making substitute decisions on behalf of adults lacking capacity or children proposed as donors may be in a conflicted position due to their relationships with the potential recipient.  An independent decision-maker (for example a court, tribunal, or independent committee) is likely to be best placed, or required by law, to make the final donation decision. </w:t>
      </w:r>
    </w:p>
    <w:p w14:paraId="0F6E83C2" w14:textId="60C8DD8C" w:rsidR="006C6EBA" w:rsidRPr="006720E4" w:rsidRDefault="006C6EBA" w:rsidP="00EA22AE">
      <w:pPr>
        <w:spacing w:after="120"/>
        <w:rPr>
          <w:rFonts w:ascii="Calibri" w:hAnsi="Calibri" w:cs="Calibri"/>
        </w:rPr>
      </w:pPr>
      <w:r w:rsidRPr="006720E4">
        <w:rPr>
          <w:rFonts w:ascii="Calibri" w:hAnsi="Calibri" w:cs="Calibri"/>
          <w:sz w:val="22"/>
          <w:szCs w:val="22"/>
        </w:rPr>
        <w:t xml:space="preserve">Evaluation of risks and potential benefits of living donation by children and adults lacking capacity may also be complicated, requiring additional safeguards as </w:t>
      </w:r>
      <w:r w:rsidRPr="00CF420B">
        <w:rPr>
          <w:rFonts w:ascii="Calibri" w:hAnsi="Calibri" w:cs="Calibri"/>
          <w:sz w:val="22"/>
          <w:szCs w:val="22"/>
        </w:rPr>
        <w:t xml:space="preserve">outlined in </w:t>
      </w:r>
      <w:hyperlink w:anchor="_Assessment_of_risks_1" w:history="1">
        <w:r w:rsidRPr="00CF420B">
          <w:rPr>
            <w:rStyle w:val="Hyperlink"/>
            <w:rFonts w:ascii="Calibri" w:hAnsi="Calibri" w:cs="Calibri"/>
            <w:sz w:val="22"/>
            <w:szCs w:val="22"/>
          </w:rPr>
          <w:t xml:space="preserve">Chapter </w:t>
        </w:r>
        <w:r w:rsidR="00CF420B" w:rsidRPr="00CF420B">
          <w:rPr>
            <w:rStyle w:val="Hyperlink"/>
            <w:rFonts w:ascii="Calibri" w:hAnsi="Calibri" w:cs="Calibri"/>
            <w:sz w:val="22"/>
            <w:szCs w:val="22"/>
          </w:rPr>
          <w:t>5</w:t>
        </w:r>
        <w:r w:rsidRPr="00CF420B">
          <w:rPr>
            <w:rStyle w:val="Hyperlink"/>
            <w:rFonts w:ascii="Calibri" w:hAnsi="Calibri" w:cs="Calibri"/>
            <w:sz w:val="22"/>
            <w:szCs w:val="22"/>
          </w:rPr>
          <w:t>.3.3</w:t>
        </w:r>
      </w:hyperlink>
      <w:r w:rsidRPr="00CF420B">
        <w:rPr>
          <w:rFonts w:ascii="Calibri" w:hAnsi="Calibri" w:cs="Calibri"/>
          <w:sz w:val="22"/>
          <w:szCs w:val="22"/>
        </w:rPr>
        <w:t>.</w:t>
      </w:r>
    </w:p>
    <w:p w14:paraId="1DC16546" w14:textId="77777777" w:rsidR="006C6EBA" w:rsidRPr="006720E4" w:rsidRDefault="006C6EBA" w:rsidP="00EA22AE">
      <w:pPr>
        <w:pStyle w:val="Heading4"/>
        <w:spacing w:after="120"/>
      </w:pPr>
      <w:bookmarkStart w:id="2223" w:name="_Independence_in_the"/>
      <w:bookmarkStart w:id="2224" w:name="_Toc82773577"/>
      <w:bookmarkStart w:id="2225" w:name="_Toc82773930"/>
      <w:bookmarkEnd w:id="2223"/>
      <w:r w:rsidRPr="006720E4">
        <w:t>Independence in the assessment of dependent donors’ preferences</w:t>
      </w:r>
      <w:bookmarkEnd w:id="2224"/>
      <w:bookmarkEnd w:id="2225"/>
      <w:r w:rsidRPr="006720E4">
        <w:t xml:space="preserve"> </w:t>
      </w:r>
    </w:p>
    <w:p w14:paraId="1F56DFF6" w14:textId="436F037D"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The potential donor may be able to participate in decision-making or otherwise influence decision-making by expressing their values and preferences. Children and adults lacking capacity are often highly emotionally, physically, and socially dependent on parents, carers or substitute decision-makers who may have the authority to make a decision for them about donation, or who may be the intended recipients of donation or have conflicting interests with regards to the intended recipient (see below). This means the prospective donors may be vulnerable to the influence of these individuals when formulating or expressing their preferences regarding donation. As is recommended for all living donors, strategies such as the use of an independent advocate (see </w:t>
      </w:r>
      <w:hyperlink w:anchor="_The_role_of" w:history="1">
        <w:r w:rsidRPr="00CB5556">
          <w:rPr>
            <w:rStyle w:val="Hyperlink"/>
            <w:rFonts w:cs="Calibri"/>
          </w:rPr>
          <w:t xml:space="preserve">Chapter </w:t>
        </w:r>
        <w:r w:rsidR="00CF420B" w:rsidRPr="00CB5556">
          <w:rPr>
            <w:rStyle w:val="Hyperlink"/>
            <w:rFonts w:cs="Calibri"/>
          </w:rPr>
          <w:t>3</w:t>
        </w:r>
        <w:r w:rsidRPr="00CB5556">
          <w:rPr>
            <w:rStyle w:val="Hyperlink"/>
            <w:rFonts w:cs="Calibri"/>
          </w:rPr>
          <w:t>.</w:t>
        </w:r>
        <w:r w:rsidR="00CB5556" w:rsidRPr="00CB5556">
          <w:rPr>
            <w:rStyle w:val="Hyperlink"/>
            <w:rFonts w:cs="Calibri"/>
          </w:rPr>
          <w:t>4</w:t>
        </w:r>
        <w:r w:rsidRPr="00CB5556">
          <w:rPr>
            <w:rStyle w:val="Hyperlink"/>
            <w:rFonts w:cs="Calibri"/>
          </w:rPr>
          <w:t>.5</w:t>
        </w:r>
      </w:hyperlink>
      <w:r w:rsidRPr="00CB5556">
        <w:rPr>
          <w:rFonts w:cs="Calibri"/>
        </w:rPr>
        <w:t>)</w:t>
      </w:r>
      <w:r w:rsidRPr="00CB5556">
        <w:rPr>
          <w:rFonts w:cs="Calibri"/>
          <w:szCs w:val="22"/>
        </w:rPr>
        <w:t xml:space="preserve"> should be implemented</w:t>
      </w:r>
      <w:r w:rsidRPr="006720E4">
        <w:rPr>
          <w:rFonts w:cs="Calibri"/>
          <w:szCs w:val="22"/>
        </w:rPr>
        <w:t xml:space="preserve"> to ensure that potential donors are supported to make voluntary decisions or to express their preferences regarding donation free from undue influence or potentially coercive forces.</w:t>
      </w:r>
    </w:p>
    <w:p w14:paraId="62DA9650" w14:textId="0780EF6B" w:rsidR="006C6EBA" w:rsidRPr="006720E4" w:rsidRDefault="006C6EBA" w:rsidP="00EA22AE">
      <w:pPr>
        <w:pStyle w:val="Heading4"/>
        <w:spacing w:after="120"/>
      </w:pPr>
      <w:bookmarkStart w:id="2226" w:name="_Management_of_conflicts_1"/>
      <w:bookmarkStart w:id="2227" w:name="_Toc82773578"/>
      <w:bookmarkStart w:id="2228" w:name="_Toc82773931"/>
      <w:bookmarkEnd w:id="2226"/>
      <w:r w:rsidRPr="006720E4">
        <w:t>Management of conflicts of interest in living donation by dependent donors</w:t>
      </w:r>
      <w:bookmarkEnd w:id="2227"/>
      <w:bookmarkEnd w:id="2228"/>
      <w:r w:rsidRPr="006720E4">
        <w:t xml:space="preserve"> </w:t>
      </w:r>
    </w:p>
    <w:p w14:paraId="76C572DF" w14:textId="2FA2B1D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child or adult lacking decision-making capacity who is considered as a potential living donor may be dependent on the potential recipient as a parent, guardian or carer, or the intended recipient may be another member of the family with close ties to the prospective donor. The prospective donor’s natural substitute decision-maker(s) are thus likely to be in a position of conflict of interest </w:t>
      </w:r>
      <w:r w:rsidRPr="0094629F">
        <w:rPr>
          <w:rFonts w:ascii="Calibri" w:hAnsi="Calibri" w:cs="Calibri"/>
          <w:sz w:val="22"/>
          <w:szCs w:val="22"/>
        </w:rPr>
        <w:t>(see</w:t>
      </w:r>
      <w:r w:rsidR="00787BDB" w:rsidRPr="0094629F">
        <w:rPr>
          <w:rFonts w:ascii="Calibri" w:hAnsi="Calibri" w:cs="Calibri"/>
          <w:sz w:val="22"/>
          <w:szCs w:val="22"/>
        </w:rPr>
        <w:t xml:space="preserve"> </w:t>
      </w:r>
      <w:hyperlink w:anchor="_Legislation" w:history="1">
        <w:r w:rsidR="00787BDB" w:rsidRPr="0094629F">
          <w:rPr>
            <w:rStyle w:val="Hyperlink"/>
            <w:rFonts w:ascii="Calibri" w:hAnsi="Calibri" w:cs="Calibri"/>
            <w:sz w:val="22"/>
            <w:szCs w:val="22"/>
          </w:rPr>
          <w:t>Chapter 3.8</w:t>
        </w:r>
      </w:hyperlink>
      <w:r w:rsidRPr="0094629F">
        <w:rPr>
          <w:rFonts w:ascii="Calibri" w:hAnsi="Calibri" w:cs="Calibri"/>
          <w:sz w:val="22"/>
          <w:szCs w:val="22"/>
        </w:rPr>
        <w:t>). Members</w:t>
      </w:r>
      <w:r w:rsidRPr="006720E4">
        <w:rPr>
          <w:rFonts w:ascii="Calibri" w:hAnsi="Calibri" w:cs="Calibri"/>
          <w:sz w:val="22"/>
          <w:szCs w:val="22"/>
        </w:rPr>
        <w:t xml:space="preserve"> of the clinical team may also have conflicts of interest if they are involved in the care of both the potential donor and the intended transplant recipient. </w:t>
      </w:r>
    </w:p>
    <w:p w14:paraId="0FD4BFDD" w14:textId="32C43739" w:rsidR="006C6EBA" w:rsidRPr="006720E4" w:rsidRDefault="006C6EBA" w:rsidP="00EA22AE">
      <w:pPr>
        <w:spacing w:after="120"/>
        <w:rPr>
          <w:rFonts w:ascii="Calibri" w:hAnsi="Calibri" w:cs="Calibri"/>
        </w:rPr>
      </w:pPr>
      <w:bookmarkStart w:id="2229" w:name="_Toc73129965"/>
      <w:bookmarkStart w:id="2230" w:name="_Toc73301838"/>
      <w:bookmarkStart w:id="2231" w:name="_Toc73302344"/>
      <w:bookmarkStart w:id="2232" w:name="_Toc73303477"/>
      <w:bookmarkStart w:id="2233" w:name="_Toc74081622"/>
      <w:bookmarkStart w:id="2234" w:name="_Toc74172399"/>
      <w:r w:rsidRPr="006720E4">
        <w:rPr>
          <w:rFonts w:ascii="Calibri" w:hAnsi="Calibri" w:cs="Calibri"/>
          <w:sz w:val="22"/>
          <w:szCs w:val="22"/>
        </w:rPr>
        <w:t xml:space="preserve">Specific strategies to assist in managing potential conflicts of interest in decision-making should be </w:t>
      </w:r>
      <w:r w:rsidRPr="00CB5556">
        <w:rPr>
          <w:rFonts w:ascii="Calibri" w:hAnsi="Calibri" w:cs="Calibri"/>
          <w:sz w:val="22"/>
          <w:szCs w:val="22"/>
        </w:rPr>
        <w:t xml:space="preserve">implemented (see </w:t>
      </w:r>
      <w:hyperlink w:anchor="_Management_of_conflicts" w:history="1">
        <w:r w:rsidRPr="00CB5556">
          <w:rPr>
            <w:rStyle w:val="Hyperlink"/>
            <w:rFonts w:ascii="Calibri" w:hAnsi="Calibri" w:cs="Calibri"/>
            <w:sz w:val="22"/>
            <w:szCs w:val="22"/>
          </w:rPr>
          <w:t xml:space="preserve">Chapter </w:t>
        </w:r>
        <w:r w:rsidR="00CF420B" w:rsidRPr="00CB5556">
          <w:rPr>
            <w:rStyle w:val="Hyperlink"/>
            <w:rFonts w:ascii="Calibri" w:hAnsi="Calibri" w:cs="Calibri"/>
            <w:sz w:val="22"/>
            <w:szCs w:val="22"/>
          </w:rPr>
          <w:t>3</w:t>
        </w:r>
        <w:r w:rsidRPr="00CB5556">
          <w:rPr>
            <w:rStyle w:val="Hyperlink"/>
            <w:rFonts w:ascii="Calibri" w:hAnsi="Calibri" w:cs="Calibri"/>
            <w:sz w:val="22"/>
            <w:szCs w:val="22"/>
          </w:rPr>
          <w:t>.</w:t>
        </w:r>
        <w:r w:rsidR="00787BDB" w:rsidRPr="00CB5556">
          <w:rPr>
            <w:rStyle w:val="Hyperlink"/>
            <w:rFonts w:ascii="Calibri" w:hAnsi="Calibri" w:cs="Calibri"/>
            <w:sz w:val="22"/>
            <w:szCs w:val="22"/>
          </w:rPr>
          <w:t>8</w:t>
        </w:r>
        <w:r w:rsidRPr="00CB5556">
          <w:rPr>
            <w:rStyle w:val="Hyperlink"/>
            <w:rFonts w:ascii="Calibri" w:hAnsi="Calibri" w:cs="Calibri"/>
            <w:sz w:val="22"/>
            <w:szCs w:val="22"/>
          </w:rPr>
          <w:t>.2</w:t>
        </w:r>
      </w:hyperlink>
      <w:r w:rsidRPr="00CB5556">
        <w:rPr>
          <w:rFonts w:ascii="Calibri" w:hAnsi="Calibri" w:cs="Calibri"/>
          <w:sz w:val="22"/>
          <w:szCs w:val="22"/>
        </w:rPr>
        <w:t>), including</w:t>
      </w:r>
      <w:r w:rsidRPr="006720E4">
        <w:rPr>
          <w:rFonts w:ascii="Calibri" w:hAnsi="Calibri" w:cs="Calibri"/>
          <w:sz w:val="22"/>
          <w:szCs w:val="22"/>
        </w:rPr>
        <w:t xml:space="preserve"> the involvement of separate treating health professionals for</w:t>
      </w:r>
      <w:bookmarkEnd w:id="2229"/>
      <w:bookmarkEnd w:id="2230"/>
      <w:bookmarkEnd w:id="2231"/>
      <w:bookmarkEnd w:id="2232"/>
      <w:bookmarkEnd w:id="2233"/>
      <w:bookmarkEnd w:id="2234"/>
      <w:r w:rsidRPr="006720E4">
        <w:rPr>
          <w:rFonts w:ascii="Calibri" w:hAnsi="Calibri" w:cs="Calibri"/>
          <w:sz w:val="22"/>
          <w:szCs w:val="22"/>
        </w:rPr>
        <w:t xml:space="preserve"> donors and recipient, independent advocates for donors whose priority it is to protect the best interests of the potential donor, and the requirement for donation decisions to be reviewed and authorised by independent decision-makers (i.e., courts, independent committees etc). The potential donor should have an independent advocate in place from the point of testing for compatibility.</w:t>
      </w:r>
    </w:p>
    <w:p w14:paraId="6FD135A8" w14:textId="77777777" w:rsidR="006C6EBA" w:rsidRPr="006720E4" w:rsidRDefault="006C6EBA" w:rsidP="00EA22AE">
      <w:pPr>
        <w:pStyle w:val="Heading4"/>
        <w:spacing w:after="120"/>
      </w:pPr>
      <w:bookmarkStart w:id="2235" w:name="_Satisfaction_of_legal"/>
      <w:bookmarkStart w:id="2236" w:name="_Toc82773579"/>
      <w:bookmarkStart w:id="2237" w:name="_Toc82773932"/>
      <w:bookmarkEnd w:id="2235"/>
      <w:r w:rsidRPr="006720E4">
        <w:t>Satisfaction of legal conditions for living donation by dependent donors</w:t>
      </w:r>
      <w:bookmarkEnd w:id="2236"/>
      <w:bookmarkEnd w:id="2237"/>
      <w:r w:rsidRPr="006720E4">
        <w:t xml:space="preserve"> </w:t>
      </w:r>
    </w:p>
    <w:p w14:paraId="48046CF6" w14:textId="440D628C" w:rsidR="006C6EBA" w:rsidRPr="006720E4" w:rsidRDefault="006C6EBA" w:rsidP="00EA22AE">
      <w:pPr>
        <w:spacing w:after="120"/>
        <w:rPr>
          <w:rFonts w:ascii="Calibri" w:hAnsi="Calibri" w:cs="Calibri"/>
        </w:rPr>
      </w:pPr>
      <w:r w:rsidRPr="006720E4">
        <w:rPr>
          <w:rFonts w:ascii="Calibri" w:hAnsi="Calibri" w:cs="Calibri"/>
          <w:sz w:val="22"/>
          <w:szCs w:val="22"/>
        </w:rPr>
        <w:t>Importantly</w:t>
      </w:r>
      <w:r w:rsidRPr="0094629F">
        <w:rPr>
          <w:rFonts w:ascii="Calibri" w:hAnsi="Calibri" w:cs="Calibri"/>
          <w:sz w:val="22"/>
          <w:szCs w:val="22"/>
        </w:rPr>
        <w:t xml:space="preserve">, as noted in </w:t>
      </w:r>
      <w:hyperlink w:anchor="_Legal_aspects_of" w:history="1">
        <w:r w:rsidRPr="0094629F">
          <w:rPr>
            <w:rStyle w:val="Hyperlink"/>
            <w:rFonts w:ascii="Calibri" w:hAnsi="Calibri" w:cs="Calibri"/>
            <w:sz w:val="22"/>
            <w:szCs w:val="22"/>
          </w:rPr>
          <w:t xml:space="preserve">Chapter </w:t>
        </w:r>
        <w:r w:rsidR="0094629F">
          <w:rPr>
            <w:rStyle w:val="Hyperlink"/>
            <w:rFonts w:ascii="Calibri" w:hAnsi="Calibri" w:cs="Calibri"/>
            <w:sz w:val="22"/>
            <w:szCs w:val="22"/>
          </w:rPr>
          <w:t>5</w:t>
        </w:r>
        <w:r w:rsidRPr="0094629F">
          <w:rPr>
            <w:rStyle w:val="Hyperlink"/>
            <w:rFonts w:ascii="Calibri" w:hAnsi="Calibri" w:cs="Calibri"/>
            <w:sz w:val="22"/>
            <w:szCs w:val="22"/>
          </w:rPr>
          <w:t>.5.1</w:t>
        </w:r>
      </w:hyperlink>
      <w:r w:rsidRPr="0094629F">
        <w:rPr>
          <w:rFonts w:ascii="Calibri" w:hAnsi="Calibri" w:cs="Calibri"/>
          <w:sz w:val="22"/>
          <w:szCs w:val="22"/>
        </w:rPr>
        <w:t>, laws</w:t>
      </w:r>
      <w:r w:rsidRPr="006720E4">
        <w:rPr>
          <w:rFonts w:ascii="Calibri" w:hAnsi="Calibri" w:cs="Calibri"/>
          <w:sz w:val="22"/>
          <w:szCs w:val="22"/>
        </w:rPr>
        <w:t xml:space="preserve"> exist</w:t>
      </w:r>
      <w:r w:rsidRPr="006720E4">
        <w:rPr>
          <w:rStyle w:val="Hyperlink"/>
          <w:rFonts w:ascii="Calibri" w:hAnsi="Calibri" w:cs="Calibri"/>
          <w:sz w:val="22"/>
          <w:szCs w:val="22"/>
          <w:u w:val="none"/>
        </w:rPr>
        <w:t xml:space="preserve"> </w:t>
      </w:r>
      <w:r w:rsidRPr="006720E4">
        <w:rPr>
          <w:rFonts w:ascii="Calibri" w:hAnsi="Calibri" w:cs="Calibri"/>
          <w:sz w:val="22"/>
          <w:szCs w:val="22"/>
        </w:rPr>
        <w:t>in Australia that may require steps to be taken before removal of tissue or organs is lawful. For example, it is unlawful to remove an organ from a child without an order from the Court and in some circumstances a Court order is required for removal of HSCs for donation to another. Having this independent legal safeguard ensures the proposed donor best interests remain central to the decision regarding whether to donate. Where exceptional circumstances are considered to exist that may justify living donation by a dependent donor, the legal conditions must be met, and, where necessary, a Court order obtained.  The Court will make a decision in the best interests of the proposed donor.</w:t>
      </w:r>
    </w:p>
    <w:p w14:paraId="6CD4E7D1" w14:textId="77777777" w:rsidR="006C6EBA" w:rsidRPr="006720E4" w:rsidRDefault="006C6EBA" w:rsidP="00EA22AE">
      <w:pPr>
        <w:pStyle w:val="Heading2"/>
        <w:spacing w:after="120"/>
      </w:pPr>
      <w:bookmarkStart w:id="2238" w:name="_Deceased_donation_decision-making"/>
      <w:bookmarkStart w:id="2239" w:name="_Toc61810394"/>
      <w:bookmarkStart w:id="2240" w:name="_Toc63683500"/>
      <w:bookmarkStart w:id="2241" w:name="_Toc70241849"/>
      <w:bookmarkStart w:id="2242" w:name="_Toc70243484"/>
      <w:bookmarkStart w:id="2243" w:name="_Toc70328776"/>
      <w:bookmarkStart w:id="2244" w:name="_Toc70334006"/>
      <w:bookmarkStart w:id="2245" w:name="_Toc70414974"/>
      <w:bookmarkStart w:id="2246" w:name="_Toc70538928"/>
      <w:bookmarkStart w:id="2247" w:name="_Toc70539583"/>
      <w:bookmarkStart w:id="2248" w:name="_Toc72615242"/>
      <w:bookmarkStart w:id="2249" w:name="_Toc73129966"/>
      <w:bookmarkStart w:id="2250" w:name="_Toc73301839"/>
      <w:bookmarkStart w:id="2251" w:name="_Toc73302345"/>
      <w:bookmarkStart w:id="2252" w:name="_Toc73303478"/>
      <w:bookmarkStart w:id="2253" w:name="_Toc73303687"/>
      <w:bookmarkStart w:id="2254" w:name="_Toc74080804"/>
      <w:bookmarkStart w:id="2255" w:name="_Toc74081112"/>
      <w:bookmarkStart w:id="2256" w:name="_Toc74081342"/>
      <w:bookmarkStart w:id="2257" w:name="_Toc74081623"/>
      <w:bookmarkStart w:id="2258" w:name="_Toc74171173"/>
      <w:bookmarkStart w:id="2259" w:name="_Toc74172400"/>
      <w:bookmarkStart w:id="2260" w:name="_Toc74172934"/>
      <w:bookmarkStart w:id="2261" w:name="_Toc74238847"/>
      <w:bookmarkStart w:id="2262" w:name="_Toc78304804"/>
      <w:bookmarkStart w:id="2263" w:name="_Toc79330858"/>
      <w:bookmarkStart w:id="2264" w:name="_Toc79331238"/>
      <w:bookmarkStart w:id="2265" w:name="_Toc79406376"/>
      <w:bookmarkStart w:id="2266" w:name="_Toc82773580"/>
      <w:bookmarkStart w:id="2267" w:name="_Toc82773933"/>
      <w:bookmarkStart w:id="2268" w:name="_Toc128314207"/>
      <w:bookmarkStart w:id="2269" w:name="_Toc135131451"/>
      <w:bookmarkEnd w:id="2238"/>
      <w:r w:rsidRPr="006720E4">
        <w:t>Deceased donation decision-making for children and adults lacking decision-making capacity</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14:paraId="3ECE1D95" w14:textId="3E6A359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same process </w:t>
      </w:r>
      <w:r w:rsidRPr="0094629F">
        <w:rPr>
          <w:rFonts w:ascii="Calibri" w:hAnsi="Calibri" w:cs="Calibri"/>
          <w:sz w:val="22"/>
          <w:szCs w:val="22"/>
        </w:rPr>
        <w:t xml:space="preserve">outlined in </w:t>
      </w:r>
      <w:hyperlink w:anchor="_Consent_for_deceased" w:history="1">
        <w:r w:rsidRPr="0094629F">
          <w:rPr>
            <w:rStyle w:val="Hyperlink"/>
            <w:rFonts w:ascii="Calibri" w:hAnsi="Calibri" w:cs="Calibri"/>
            <w:sz w:val="22"/>
            <w:szCs w:val="22"/>
          </w:rPr>
          <w:t xml:space="preserve">Chapter </w:t>
        </w:r>
        <w:r w:rsidR="00CF420B" w:rsidRPr="0094629F">
          <w:rPr>
            <w:rStyle w:val="Hyperlink"/>
            <w:rFonts w:ascii="Calibri" w:hAnsi="Calibri" w:cs="Calibri"/>
            <w:sz w:val="22"/>
            <w:szCs w:val="22"/>
          </w:rPr>
          <w:t>4</w:t>
        </w:r>
        <w:r w:rsidRPr="0094629F">
          <w:rPr>
            <w:rStyle w:val="Hyperlink"/>
            <w:rFonts w:ascii="Calibri" w:hAnsi="Calibri" w:cs="Calibri"/>
            <w:sz w:val="22"/>
            <w:szCs w:val="22"/>
          </w:rPr>
          <w:t>.4</w:t>
        </w:r>
      </w:hyperlink>
      <w:r w:rsidRPr="0094629F">
        <w:rPr>
          <w:rFonts w:ascii="Calibri" w:hAnsi="Calibri" w:cs="Calibri"/>
          <w:sz w:val="22"/>
          <w:szCs w:val="22"/>
        </w:rPr>
        <w:t xml:space="preserve"> should be</w:t>
      </w:r>
      <w:r w:rsidRPr="006720E4">
        <w:rPr>
          <w:rFonts w:ascii="Calibri" w:hAnsi="Calibri" w:cs="Calibri"/>
          <w:sz w:val="22"/>
          <w:szCs w:val="22"/>
        </w:rPr>
        <w:t xml:space="preserve"> followed when making decisions about deceased donation on behalf of children or adults lacking decision-making capacity. In the case of children, the child’s parents are likely to be the senior available next of kin (SANOK) and thus authorised to make donation decisions on their behalf. In the event of a disagreement about donation between two SANOK that cannot be resolved, legislation states that the objection to donation will be respected and donation will not proceed.</w:t>
      </w:r>
    </w:p>
    <w:p w14:paraId="0451C34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Children may join the Australian Organ Donor Registry at the age of 16. Where children of any age, or adults lacking decision-making capacity have expressed a wish to become a donor, these preferences should be given careful consideration in donation decision-making as they would be in the case of any other potential donor. </w:t>
      </w:r>
    </w:p>
    <w:p w14:paraId="4FBC848E" w14:textId="77777777" w:rsidR="006C6EBA" w:rsidRPr="006720E4" w:rsidRDefault="006C6EBA" w:rsidP="00EA22AE">
      <w:pPr>
        <w:spacing w:after="120"/>
        <w:rPr>
          <w:rFonts w:ascii="Calibri" w:hAnsi="Calibri" w:cs="Calibri"/>
          <w:sz w:val="22"/>
          <w:szCs w:val="22"/>
        </w:rPr>
      </w:pPr>
    </w:p>
    <w:p w14:paraId="2C3AB496" w14:textId="77777777" w:rsidR="006C6EBA" w:rsidRPr="006720E4" w:rsidRDefault="006C6EBA" w:rsidP="00EA22AE">
      <w:pPr>
        <w:pStyle w:val="ListParagraph"/>
        <w:spacing w:after="120"/>
        <w:contextualSpacing w:val="0"/>
        <w:rPr>
          <w:rFonts w:cs="Calibri"/>
          <w:highlight w:val="yellow"/>
        </w:rPr>
      </w:pPr>
    </w:p>
    <w:p w14:paraId="4D2AC8E0" w14:textId="77777777" w:rsidR="006C6EBA" w:rsidRPr="006720E4" w:rsidRDefault="006C6EBA" w:rsidP="00EA22AE">
      <w:pPr>
        <w:spacing w:after="120"/>
        <w:rPr>
          <w:rFonts w:ascii="Calibri" w:hAnsi="Calibri" w:cs="Calibri"/>
          <w:sz w:val="22"/>
          <w:szCs w:val="22"/>
        </w:rPr>
      </w:pPr>
    </w:p>
    <w:p w14:paraId="7D6910AA" w14:textId="77777777" w:rsidR="006C6EBA" w:rsidRPr="006720E4" w:rsidRDefault="006C6EBA" w:rsidP="00EA22AE">
      <w:pPr>
        <w:spacing w:after="120"/>
        <w:rPr>
          <w:rFonts w:ascii="Calibri" w:hAnsi="Calibri" w:cs="Calibri"/>
          <w:b/>
          <w:bCs/>
          <w:color w:val="4472C4" w:themeColor="accent1"/>
          <w:sz w:val="32"/>
          <w:szCs w:val="32"/>
          <w:u w:val="single"/>
        </w:rPr>
      </w:pPr>
      <w:r w:rsidRPr="006720E4">
        <w:rPr>
          <w:rFonts w:ascii="Calibri" w:hAnsi="Calibri" w:cs="Calibri"/>
        </w:rPr>
        <w:br w:type="page"/>
      </w:r>
    </w:p>
    <w:p w14:paraId="42B13B0D" w14:textId="77777777" w:rsidR="006C6EBA" w:rsidRPr="006720E4" w:rsidRDefault="006C6EBA" w:rsidP="00EA22AE">
      <w:pPr>
        <w:pStyle w:val="Heading1"/>
      </w:pPr>
      <w:bookmarkStart w:id="2270" w:name="_Risks_and_benefits_1"/>
      <w:bookmarkStart w:id="2271" w:name="_Risks__and"/>
      <w:bookmarkStart w:id="2272" w:name="_Toc79330859"/>
      <w:bookmarkStart w:id="2273" w:name="_Toc79331239"/>
      <w:bookmarkStart w:id="2274" w:name="_Toc79406377"/>
      <w:bookmarkStart w:id="2275" w:name="_Toc82773581"/>
      <w:bookmarkStart w:id="2276" w:name="_Toc82773934"/>
      <w:bookmarkStart w:id="2277" w:name="_Toc128314208"/>
      <w:bookmarkStart w:id="2278" w:name="_Toc135131452"/>
      <w:bookmarkEnd w:id="2270"/>
      <w:bookmarkEnd w:id="2271"/>
      <w:r w:rsidRPr="006720E4">
        <w:lastRenderedPageBreak/>
        <w:t>Risks and benefits of donation and transplantation</w:t>
      </w:r>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2272"/>
      <w:bookmarkEnd w:id="2273"/>
      <w:bookmarkEnd w:id="2274"/>
      <w:bookmarkEnd w:id="2275"/>
      <w:bookmarkEnd w:id="2276"/>
      <w:bookmarkEnd w:id="2277"/>
      <w:bookmarkEnd w:id="2278"/>
    </w:p>
    <w:p w14:paraId="24332DC7" w14:textId="5399AD0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w:t>
      </w:r>
      <w:r w:rsidRPr="009B495F">
        <w:rPr>
          <w:rFonts w:ascii="Calibri" w:hAnsi="Calibri" w:cs="Calibri"/>
          <w:sz w:val="22"/>
          <w:szCs w:val="22"/>
        </w:rPr>
        <w:t xml:space="preserve">outlined in </w:t>
      </w:r>
      <w:hyperlink w:anchor="_Information_and_understanding" w:history="1">
        <w:r w:rsidR="00B22196" w:rsidRPr="009B495F">
          <w:rPr>
            <w:rStyle w:val="Hyperlink"/>
            <w:rFonts w:ascii="Calibri" w:hAnsi="Calibri" w:cs="Calibri"/>
            <w:sz w:val="22"/>
            <w:szCs w:val="22"/>
          </w:rPr>
          <w:t>Chapter</w:t>
        </w:r>
      </w:hyperlink>
      <w:r w:rsidR="00B22196" w:rsidRPr="009B495F">
        <w:rPr>
          <w:rStyle w:val="Hyperlink"/>
          <w:rFonts w:ascii="Calibri" w:hAnsi="Calibri" w:cs="Calibri"/>
          <w:sz w:val="22"/>
          <w:szCs w:val="22"/>
        </w:rPr>
        <w:t xml:space="preserve"> </w:t>
      </w:r>
      <w:r w:rsidR="002B5DD4" w:rsidRPr="009B495F">
        <w:rPr>
          <w:rStyle w:val="Hyperlink"/>
          <w:rFonts w:ascii="Calibri" w:hAnsi="Calibri" w:cs="Calibri"/>
          <w:sz w:val="22"/>
          <w:szCs w:val="22"/>
        </w:rPr>
        <w:t>4</w:t>
      </w:r>
      <w:r w:rsidR="00B22196" w:rsidRPr="009B495F">
        <w:rPr>
          <w:rStyle w:val="Hyperlink"/>
          <w:rFonts w:ascii="Calibri" w:hAnsi="Calibri" w:cs="Calibri"/>
          <w:sz w:val="22"/>
          <w:szCs w:val="22"/>
        </w:rPr>
        <w:t>.1.3</w:t>
      </w:r>
      <w:r w:rsidRPr="009B495F">
        <w:rPr>
          <w:rFonts w:ascii="Calibri" w:hAnsi="Calibri" w:cs="Calibri"/>
          <w:sz w:val="22"/>
          <w:szCs w:val="22"/>
        </w:rPr>
        <w:t>, decisions</w:t>
      </w:r>
      <w:r w:rsidRPr="006720E4">
        <w:rPr>
          <w:rFonts w:ascii="Calibri" w:hAnsi="Calibri" w:cs="Calibri"/>
          <w:sz w:val="22"/>
          <w:szCs w:val="22"/>
        </w:rPr>
        <w:t xml:space="preserve"> about donation or transplantation for an individual must be informed by the specific risks and benefits of available options for that individual, as well as by the individual’s own values and preferences with regards to risks and potential benefits. In contrast to most clinical decision-making, where the recipient of the treatment is the focus, in donation and transplantation the assessment of risks and potential benefits is additionally often complicated because of the need to evaluate risks and potential benefits for both transplant recipients and donors. The characteristics of donors as well as of recipients will often be influential in determining risks and potential benefits, and decision-makers may need to weigh the potential benefits and risks for recipients against those of donors.</w:t>
      </w:r>
    </w:p>
    <w:p w14:paraId="4184135E" w14:textId="39B59BAA" w:rsidR="006C6EBA" w:rsidRPr="00DC0F44" w:rsidRDefault="006C6EBA" w:rsidP="00EA22AE">
      <w:pPr>
        <w:spacing w:after="120"/>
        <w:rPr>
          <w:rFonts w:ascii="Calibri" w:hAnsi="Calibri" w:cs="Calibri"/>
          <w:sz w:val="22"/>
          <w:szCs w:val="22"/>
          <w:highlight w:val="yellow"/>
        </w:rPr>
      </w:pPr>
      <w:r w:rsidRPr="006720E4">
        <w:rPr>
          <w:rFonts w:ascii="Calibri" w:hAnsi="Calibri" w:cs="Calibri"/>
          <w:sz w:val="22"/>
          <w:szCs w:val="22"/>
        </w:rPr>
        <w:t xml:space="preserve">Many ethical dilemmas in donation and transplantation relate to difficulties in deciding when the expected risks of donation and/or transplantation are sufficient to justify declining an opportunity for donation or transplantation, and in deciding who should have the authority to make the final decision about the acceptable balance of benefits and risks. This chapter accordingly provides information about key considerations in donation and transplantation decision-making with regards </w:t>
      </w:r>
      <w:r w:rsidRPr="00070E0E">
        <w:rPr>
          <w:rFonts w:ascii="Calibri" w:hAnsi="Calibri" w:cs="Calibri"/>
          <w:b/>
          <w:bCs/>
          <w:sz w:val="22"/>
          <w:szCs w:val="22"/>
        </w:rPr>
        <w:t xml:space="preserve">to </w:t>
      </w:r>
      <w:r w:rsidR="00174C70" w:rsidRPr="00070E0E">
        <w:rPr>
          <w:rFonts w:ascii="Calibri" w:hAnsi="Calibri" w:cs="Calibri"/>
          <w:b/>
          <w:bCs/>
          <w:sz w:val="22"/>
          <w:szCs w:val="22"/>
        </w:rPr>
        <w:t xml:space="preserve">the core value </w:t>
      </w:r>
      <w:r w:rsidR="00DC0F44" w:rsidRPr="00DC0F44">
        <w:rPr>
          <w:rFonts w:ascii="Calibri" w:hAnsi="Calibri" w:cs="Calibri"/>
          <w:b/>
          <w:bCs/>
          <w:sz w:val="22"/>
          <w:szCs w:val="22"/>
        </w:rPr>
        <w:t>“</w:t>
      </w:r>
      <w:r w:rsidR="00174C70" w:rsidRPr="00DC0F44">
        <w:rPr>
          <w:rFonts w:ascii="Calibri" w:hAnsi="Calibri" w:cs="Calibri"/>
          <w:sz w:val="22"/>
          <w:szCs w:val="22"/>
          <w:u w:color="0000FF"/>
          <w:lang w:val="en-GB"/>
        </w:rPr>
        <w:t>Promotion of the wellbeing of potential and actual donors, recipients, and their families and communities</w:t>
      </w:r>
      <w:r w:rsidR="00DC0F44" w:rsidRPr="00070E0E">
        <w:rPr>
          <w:rFonts w:ascii="Calibri" w:hAnsi="Calibri" w:cs="Calibri"/>
          <w:sz w:val="22"/>
          <w:szCs w:val="22"/>
          <w:u w:color="0000FF"/>
          <w:lang w:val="en-GB"/>
        </w:rPr>
        <w:t>”</w:t>
      </w:r>
      <w:r w:rsidR="00070E0E" w:rsidRPr="00070E0E">
        <w:rPr>
          <w:rFonts w:ascii="Calibri" w:hAnsi="Calibri" w:cs="Calibri"/>
          <w:sz w:val="22"/>
          <w:szCs w:val="22"/>
          <w:u w:color="0000FF"/>
          <w:lang w:val="en-GB"/>
        </w:rPr>
        <w:t xml:space="preserve"> (see </w:t>
      </w:r>
      <w:hyperlink w:anchor="_Promotion_of_the" w:history="1">
        <w:r w:rsidR="00070E0E" w:rsidRPr="00070E0E">
          <w:rPr>
            <w:rStyle w:val="Hyperlink"/>
            <w:rFonts w:ascii="Calibri" w:hAnsi="Calibri" w:cs="Calibri"/>
            <w:sz w:val="22"/>
            <w:szCs w:val="22"/>
            <w:lang w:val="en-GB"/>
          </w:rPr>
          <w:t>Chapter 3.</w:t>
        </w:r>
        <w:r w:rsidR="004F318F">
          <w:rPr>
            <w:rStyle w:val="Hyperlink"/>
            <w:rFonts w:ascii="Calibri" w:hAnsi="Calibri" w:cs="Calibri"/>
            <w:sz w:val="22"/>
            <w:szCs w:val="22"/>
            <w:lang w:val="en-GB"/>
          </w:rPr>
          <w:t>2</w:t>
        </w:r>
        <w:r w:rsidR="00070E0E" w:rsidRPr="00070E0E">
          <w:rPr>
            <w:rStyle w:val="Hyperlink"/>
            <w:rFonts w:ascii="Calibri" w:hAnsi="Calibri" w:cs="Calibri"/>
            <w:sz w:val="22"/>
            <w:szCs w:val="22"/>
            <w:lang w:val="en-GB"/>
          </w:rPr>
          <w:t>.2</w:t>
        </w:r>
      </w:hyperlink>
      <w:r w:rsidR="00070E0E" w:rsidRPr="00070E0E">
        <w:rPr>
          <w:rStyle w:val="Hyperlink"/>
          <w:rFonts w:ascii="Calibri" w:hAnsi="Calibri" w:cs="Calibri"/>
          <w:sz w:val="22"/>
          <w:szCs w:val="22"/>
          <w:lang w:val="en-GB"/>
        </w:rPr>
        <w:t>)</w:t>
      </w:r>
      <w:r w:rsidR="00DC0F44" w:rsidRPr="00070E0E">
        <w:rPr>
          <w:rFonts w:ascii="Calibri" w:hAnsi="Calibri" w:cs="Calibri"/>
          <w:sz w:val="22"/>
          <w:szCs w:val="22"/>
          <w:u w:color="0000FF"/>
          <w:lang w:val="en-GB"/>
        </w:rPr>
        <w:t>.</w:t>
      </w:r>
    </w:p>
    <w:p w14:paraId="02E7C289" w14:textId="10F27BC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Further resources and readings relevant to this chapter can </w:t>
      </w:r>
      <w:r w:rsidRPr="009C2EF0">
        <w:rPr>
          <w:rFonts w:ascii="Calibri" w:hAnsi="Calibri" w:cs="Calibri"/>
          <w:sz w:val="22"/>
          <w:szCs w:val="22"/>
        </w:rPr>
        <w:t xml:space="preserve">be found in </w:t>
      </w:r>
      <w:hyperlink w:anchor="_Appendix_3_–" w:history="1">
        <w:r w:rsidR="009C2EF0" w:rsidRPr="009C2EF0">
          <w:rPr>
            <w:rStyle w:val="Hyperlink"/>
            <w:rFonts w:ascii="Calibri" w:hAnsi="Calibri" w:cs="Calibri"/>
            <w:sz w:val="22"/>
            <w:szCs w:val="22"/>
          </w:rPr>
          <w:t>Appendix 1</w:t>
        </w:r>
      </w:hyperlink>
      <w:r w:rsidR="009C2EF0" w:rsidRPr="009C2EF0">
        <w:rPr>
          <w:rFonts w:ascii="Calibri" w:hAnsi="Calibri" w:cs="Calibri"/>
          <w:sz w:val="22"/>
          <w:szCs w:val="22"/>
        </w:rPr>
        <w:t>.</w:t>
      </w:r>
    </w:p>
    <w:p w14:paraId="101EBCE4" w14:textId="77777777" w:rsidR="006C6EBA" w:rsidRPr="006720E4" w:rsidRDefault="006C6EBA" w:rsidP="00EA22AE">
      <w:pPr>
        <w:pStyle w:val="Heading2"/>
        <w:spacing w:after="120"/>
      </w:pPr>
      <w:bookmarkStart w:id="2279" w:name="_Evaluating_potential_benefits_1"/>
      <w:bookmarkStart w:id="2280" w:name="_Toc63683421"/>
      <w:bookmarkStart w:id="2281" w:name="_Toc70241763"/>
      <w:bookmarkStart w:id="2282" w:name="_Toc70243398"/>
      <w:bookmarkStart w:id="2283" w:name="_Toc70328736"/>
      <w:bookmarkStart w:id="2284" w:name="_Toc70333966"/>
      <w:bookmarkStart w:id="2285" w:name="_Toc70414860"/>
      <w:bookmarkStart w:id="2286" w:name="_Toc70844183"/>
      <w:bookmarkStart w:id="2287" w:name="_Toc70858991"/>
      <w:bookmarkStart w:id="2288" w:name="_Toc70861092"/>
      <w:bookmarkStart w:id="2289" w:name="_Toc70876576"/>
      <w:bookmarkStart w:id="2290" w:name="_Toc72615115"/>
      <w:bookmarkStart w:id="2291" w:name="_Toc73129838"/>
      <w:bookmarkStart w:id="2292" w:name="_Toc73301707"/>
      <w:bookmarkStart w:id="2293" w:name="_Toc73302213"/>
      <w:bookmarkStart w:id="2294" w:name="_Toc73303346"/>
      <w:bookmarkStart w:id="2295" w:name="_Toc73303585"/>
      <w:bookmarkStart w:id="2296" w:name="_Toc74080702"/>
      <w:bookmarkStart w:id="2297" w:name="_Toc74081010"/>
      <w:bookmarkStart w:id="2298" w:name="_Toc74081240"/>
      <w:bookmarkStart w:id="2299" w:name="_Toc74081491"/>
      <w:bookmarkStart w:id="2300" w:name="_Toc74171071"/>
      <w:bookmarkStart w:id="2301" w:name="_Toc74172268"/>
      <w:bookmarkStart w:id="2302" w:name="_Toc74172804"/>
      <w:bookmarkStart w:id="2303" w:name="_Toc74238745"/>
      <w:bookmarkStart w:id="2304" w:name="_Toc78304767"/>
      <w:bookmarkStart w:id="2305" w:name="_Toc79330860"/>
      <w:bookmarkStart w:id="2306" w:name="_Toc79331240"/>
      <w:bookmarkStart w:id="2307" w:name="_Toc79406378"/>
      <w:bookmarkStart w:id="2308" w:name="_Toc82773582"/>
      <w:bookmarkStart w:id="2309" w:name="_Toc82773935"/>
      <w:bookmarkStart w:id="2310" w:name="_Toc128314209"/>
      <w:bookmarkStart w:id="2311" w:name="_Toc135131453"/>
      <w:bookmarkEnd w:id="2279"/>
      <w:r w:rsidRPr="006720E4">
        <w:t>Evaluating potential benefits and risks of donation and transplantation</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14:paraId="5F2CEE13" w14:textId="77777777" w:rsidR="00014DBB" w:rsidRDefault="006C6EBA" w:rsidP="00EA22AE">
      <w:pPr>
        <w:spacing w:after="120"/>
        <w:rPr>
          <w:rFonts w:ascii="Calibri" w:hAnsi="Calibri" w:cs="Calibri"/>
          <w:sz w:val="22"/>
          <w:szCs w:val="22"/>
        </w:rPr>
      </w:pPr>
      <w:r w:rsidRPr="006720E4">
        <w:rPr>
          <w:rFonts w:ascii="Calibri" w:hAnsi="Calibri" w:cs="Calibri"/>
          <w:sz w:val="22"/>
          <w:szCs w:val="22"/>
        </w:rPr>
        <w:t>Assessment of the potential benefits and risks of donation and transplantation is a step of fundamental ethical significance in decision-making about donation and transplantation. It may be practically and ethically challenging as it may involve gathering information, communication of information, and evaluation of information by multiple stakeholders whose personal experiences, beliefs, and values may influence their judgements about risks and benefits in specific cases.</w:t>
      </w:r>
    </w:p>
    <w:p w14:paraId="4FC65A3F" w14:textId="59B64404" w:rsidR="00014DBB" w:rsidRPr="006720E4" w:rsidRDefault="00014DBB" w:rsidP="00EA22AE">
      <w:pPr>
        <w:spacing w:after="120"/>
        <w:rPr>
          <w:rFonts w:ascii="Calibri" w:hAnsi="Calibri" w:cs="Calibri"/>
          <w:sz w:val="22"/>
          <w:szCs w:val="22"/>
        </w:rPr>
      </w:pPr>
      <w:r w:rsidRPr="00014DBB">
        <w:rPr>
          <w:rFonts w:ascii="Calibri" w:hAnsi="Calibri" w:cs="Calibri"/>
          <w:sz w:val="22"/>
          <w:szCs w:val="22"/>
        </w:rPr>
        <w:t>Evaluation of the risks and potential benefits of donation or transplantation should be aimed at informing decision-making and guiding efforts to maximise potential benefits and eliminate or reduce risks and burdens where possible for all relevant stakeholders, in particular donors and transplant recipients.</w:t>
      </w:r>
    </w:p>
    <w:p w14:paraId="0ECFA631" w14:textId="3A34F89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Information about typical risks and potential benefits associated with particular types of donation and transplantation is available from sources such as </w:t>
      </w:r>
      <w:hyperlink r:id="rId87" w:history="1">
        <w:r w:rsidRPr="006720E4">
          <w:rPr>
            <w:rStyle w:val="Hyperlink"/>
            <w:rFonts w:ascii="Calibri" w:hAnsi="Calibri" w:cs="Calibri"/>
            <w:sz w:val="22"/>
            <w:szCs w:val="22"/>
          </w:rPr>
          <w:t>DonateLife Australia</w:t>
        </w:r>
      </w:hyperlink>
      <w:r w:rsidRPr="006720E4">
        <w:rPr>
          <w:rFonts w:ascii="Calibri" w:hAnsi="Calibri" w:cs="Calibri"/>
          <w:sz w:val="22"/>
          <w:szCs w:val="22"/>
        </w:rPr>
        <w:t xml:space="preserve">, </w:t>
      </w:r>
      <w:hyperlink r:id="rId88" w:history="1">
        <w:r w:rsidRPr="006720E4">
          <w:rPr>
            <w:rStyle w:val="Hyperlink"/>
            <w:rFonts w:ascii="Calibri" w:hAnsi="Calibri" w:cs="Calibri"/>
            <w:sz w:val="22"/>
            <w:szCs w:val="22"/>
          </w:rPr>
          <w:t>Transplant Australia</w:t>
        </w:r>
      </w:hyperlink>
      <w:r w:rsidRPr="006720E4">
        <w:rPr>
          <w:rFonts w:ascii="Calibri" w:hAnsi="Calibri" w:cs="Calibri"/>
          <w:sz w:val="22"/>
          <w:szCs w:val="22"/>
        </w:rPr>
        <w:t xml:space="preserve">, the </w:t>
      </w:r>
      <w:hyperlink r:id="rId89" w:history="1">
        <w:r w:rsidRPr="006720E4">
          <w:rPr>
            <w:rStyle w:val="Hyperlink"/>
            <w:rFonts w:ascii="Calibri" w:hAnsi="Calibri" w:cs="Calibri"/>
            <w:sz w:val="22"/>
            <w:szCs w:val="22"/>
          </w:rPr>
          <w:t>Australian Bone Marrow Donor Registry</w:t>
        </w:r>
      </w:hyperlink>
      <w:r w:rsidRPr="006720E4">
        <w:rPr>
          <w:rStyle w:val="Hyperlink"/>
          <w:rFonts w:ascii="Calibri" w:hAnsi="Calibri" w:cs="Calibri"/>
          <w:sz w:val="22"/>
          <w:szCs w:val="22"/>
        </w:rPr>
        <w:t>,</w:t>
      </w:r>
      <w:r w:rsidRPr="006720E4">
        <w:rPr>
          <w:rFonts w:ascii="Calibri" w:hAnsi="Calibri" w:cs="Calibri"/>
          <w:sz w:val="22"/>
          <w:szCs w:val="22"/>
        </w:rPr>
        <w:t xml:space="preserve"> and </w:t>
      </w:r>
      <w:hyperlink r:id="rId90" w:history="1">
        <w:r w:rsidRPr="006720E4">
          <w:rPr>
            <w:rStyle w:val="Hyperlink"/>
            <w:rFonts w:ascii="Calibri" w:hAnsi="Calibri" w:cs="Calibri"/>
            <w:sz w:val="22"/>
            <w:szCs w:val="22"/>
          </w:rPr>
          <w:t>EBAANZ</w:t>
        </w:r>
      </w:hyperlink>
      <w:r w:rsidRPr="006720E4">
        <w:rPr>
          <w:rFonts w:ascii="Calibri" w:hAnsi="Calibri" w:cs="Calibri"/>
          <w:sz w:val="22"/>
          <w:szCs w:val="22"/>
        </w:rPr>
        <w:t>. More specific information should be made available to individuals when making decisions about donation and transplantation from health professionals with expertise in the relevant field. The evidence base that informs decision-making is evolving as new research reveals valuable information that may shed light on risks and benefits for particular groups or individuals in specific circumstances.</w:t>
      </w:r>
    </w:p>
    <w:p w14:paraId="3A2F2CB5" w14:textId="77777777" w:rsidR="00612097" w:rsidRDefault="006C6EBA" w:rsidP="00EA22AE">
      <w:pPr>
        <w:spacing w:after="120"/>
        <w:rPr>
          <w:rFonts w:ascii="Calibri" w:hAnsi="Calibri" w:cs="Calibri"/>
          <w:sz w:val="22"/>
          <w:szCs w:val="22"/>
        </w:rPr>
      </w:pPr>
      <w:r w:rsidRPr="006720E4">
        <w:rPr>
          <w:rFonts w:ascii="Calibri" w:hAnsi="Calibri" w:cs="Calibri"/>
          <w:sz w:val="22"/>
          <w:szCs w:val="22"/>
        </w:rPr>
        <w:t xml:space="preserve">When identifying and evaluating risks associated with specific choices, it is important to consider how risks may be avoided or reduced; in many cases, risks may be modifiable. For example, clinical risks factors may be responsive to intervention or lifestyle or behavioural modification on the part of donors or transplant recipients. The addition of social (including cultural) supports may also help to reduce some financial and psychosocial risks of donation and </w:t>
      </w:r>
      <w:r w:rsidRPr="004B64BA">
        <w:rPr>
          <w:rFonts w:ascii="Calibri" w:hAnsi="Calibri" w:cs="Calibri"/>
          <w:sz w:val="22"/>
          <w:szCs w:val="22"/>
        </w:rPr>
        <w:t xml:space="preserve">transplantation (see </w:t>
      </w:r>
      <w:hyperlink w:anchor="_Care_of_donors" w:history="1">
        <w:r w:rsidRPr="004B64BA">
          <w:rPr>
            <w:rStyle w:val="Hyperlink"/>
            <w:rFonts w:ascii="Calibri" w:hAnsi="Calibri" w:cs="Calibri"/>
            <w:sz w:val="22"/>
            <w:szCs w:val="22"/>
          </w:rPr>
          <w:t xml:space="preserve">Chapter </w:t>
        </w:r>
        <w:r w:rsidR="00070E0E" w:rsidRPr="004B64BA">
          <w:rPr>
            <w:rStyle w:val="Hyperlink"/>
            <w:rFonts w:ascii="Calibri" w:hAnsi="Calibri" w:cs="Calibri"/>
            <w:sz w:val="22"/>
            <w:szCs w:val="22"/>
          </w:rPr>
          <w:t>6</w:t>
        </w:r>
        <w:r w:rsidRPr="004B64BA">
          <w:rPr>
            <w:rStyle w:val="Hyperlink"/>
            <w:rFonts w:ascii="Calibri" w:hAnsi="Calibri" w:cs="Calibri"/>
            <w:sz w:val="22"/>
            <w:szCs w:val="22"/>
          </w:rPr>
          <w:t>.2</w:t>
        </w:r>
      </w:hyperlink>
      <w:r w:rsidRPr="004B64BA">
        <w:rPr>
          <w:rFonts w:ascii="Calibri" w:hAnsi="Calibri" w:cs="Calibri"/>
          <w:sz w:val="22"/>
          <w:szCs w:val="22"/>
        </w:rPr>
        <w:t>).</w:t>
      </w:r>
      <w:r w:rsidR="00612097">
        <w:rPr>
          <w:rFonts w:ascii="Calibri" w:hAnsi="Calibri" w:cs="Calibri"/>
          <w:sz w:val="22"/>
          <w:szCs w:val="22"/>
        </w:rPr>
        <w:t xml:space="preserve"> </w:t>
      </w:r>
    </w:p>
    <w:p w14:paraId="4F276ACF" w14:textId="01400504" w:rsidR="006C6EBA" w:rsidRPr="00612097" w:rsidRDefault="00612097" w:rsidP="00EA22AE">
      <w:pPr>
        <w:spacing w:after="120"/>
        <w:rPr>
          <w:rFonts w:ascii="Calibri" w:hAnsi="Calibri" w:cs="Calibri"/>
          <w:i/>
          <w:iCs/>
          <w:sz w:val="22"/>
          <w:szCs w:val="22"/>
        </w:rPr>
      </w:pPr>
      <w:r>
        <w:rPr>
          <w:rFonts w:ascii="Calibri" w:hAnsi="Calibri" w:cs="Calibri"/>
          <w:sz w:val="22"/>
          <w:szCs w:val="22"/>
        </w:rPr>
        <w:t>Information about some risks revealed during screening or evaluation of potential donors and transplant recipients may require action (</w:t>
      </w:r>
      <w:r w:rsidRPr="00612097">
        <w:rPr>
          <w:rFonts w:ascii="Calibri" w:hAnsi="Calibri" w:cs="Calibri"/>
          <w:sz w:val="22"/>
          <w:szCs w:val="22"/>
        </w:rPr>
        <w:t xml:space="preserve">see </w:t>
      </w:r>
      <w:r w:rsidRPr="00612097">
        <w:rPr>
          <w:rFonts w:ascii="Calibri" w:hAnsi="Calibri" w:cs="Calibri"/>
          <w:b/>
          <w:bCs/>
          <w:sz w:val="22"/>
          <w:szCs w:val="22"/>
        </w:rPr>
        <w:t>Box 6.1</w:t>
      </w:r>
      <w:r w:rsidRPr="00612097">
        <w:rPr>
          <w:rFonts w:ascii="Calibri" w:hAnsi="Calibri" w:cs="Calibri"/>
          <w:sz w:val="22"/>
          <w:szCs w:val="22"/>
        </w:rPr>
        <w:t>) in accordance with the duty of care</w:t>
      </w:r>
      <w:r w:rsidR="00630779">
        <w:rPr>
          <w:rFonts w:ascii="Calibri" w:hAnsi="Calibri" w:cs="Calibri"/>
          <w:sz w:val="22"/>
          <w:szCs w:val="22"/>
        </w:rPr>
        <w:t xml:space="preserve"> (</w:t>
      </w:r>
      <w:hyperlink w:anchor="_Duty_of_care" w:history="1">
        <w:r w:rsidR="00630779" w:rsidRPr="006720E4">
          <w:rPr>
            <w:rStyle w:val="Hyperlink"/>
            <w:rFonts w:ascii="Calibri" w:hAnsi="Calibri" w:cs="Calibri"/>
            <w:sz w:val="22"/>
            <w:szCs w:val="22"/>
          </w:rPr>
          <w:t>Chapter 3.3.4.1</w:t>
        </w:r>
      </w:hyperlink>
      <w:r w:rsidRPr="00612097">
        <w:rPr>
          <w:rFonts w:ascii="Calibri" w:hAnsi="Calibri" w:cs="Calibri"/>
          <w:sz w:val="22"/>
          <w:szCs w:val="22"/>
        </w:rPr>
        <w:t>.</w:t>
      </w:r>
      <w:r>
        <w:rPr>
          <w:rFonts w:ascii="Calibri" w:hAnsi="Calibri" w:cs="Calibri"/>
          <w:i/>
          <w:iCs/>
          <w:sz w:val="22"/>
          <w:szCs w:val="22"/>
        </w:rPr>
        <w:t xml:space="preserve">  </w:t>
      </w:r>
    </w:p>
    <w:p w14:paraId="53F8DB09" w14:textId="4C99337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assessment of risks and potential benefits of donation or transplantation must be </w:t>
      </w:r>
      <w:r w:rsidRPr="006720E4">
        <w:rPr>
          <w:rFonts w:ascii="Calibri" w:hAnsi="Calibri" w:cs="Calibri"/>
          <w:b/>
          <w:bCs/>
          <w:sz w:val="22"/>
          <w:szCs w:val="22"/>
        </w:rPr>
        <w:t>current</w:t>
      </w:r>
      <w:r w:rsidRPr="006720E4">
        <w:rPr>
          <w:rFonts w:ascii="Calibri" w:hAnsi="Calibri" w:cs="Calibri"/>
          <w:sz w:val="22"/>
          <w:szCs w:val="22"/>
        </w:rPr>
        <w:t xml:space="preserve"> at the time a donation or transplantation decision is being made. This means that if an individual has </w:t>
      </w:r>
      <w:r w:rsidRPr="006720E4">
        <w:rPr>
          <w:rFonts w:ascii="Calibri" w:hAnsi="Calibri" w:cs="Calibri"/>
          <w:sz w:val="22"/>
          <w:szCs w:val="22"/>
        </w:rPr>
        <w:lastRenderedPageBreak/>
        <w:t>previously been assessed as suitable or unsuitable to donate or receive a transplant, this should be reassessed if donation or transplantation is considered again at a later time. The potential impact and outcomes of any previous donation or transplant should be considered as part of the reassessment.</w:t>
      </w:r>
    </w:p>
    <w:p w14:paraId="0CF7C170" w14:textId="77777777" w:rsidR="006C6EBA" w:rsidRDefault="006C6EBA" w:rsidP="00EA22AE">
      <w:pPr>
        <w:spacing w:after="120"/>
        <w:rPr>
          <w:rFonts w:ascii="Calibri" w:hAnsi="Calibri" w:cs="Calibri"/>
          <w:sz w:val="22"/>
          <w:szCs w:val="22"/>
        </w:rPr>
      </w:pPr>
      <w:r w:rsidRPr="006720E4">
        <w:rPr>
          <w:rFonts w:ascii="Calibri" w:hAnsi="Calibri" w:cs="Calibri"/>
          <w:sz w:val="22"/>
          <w:szCs w:val="22"/>
        </w:rPr>
        <w:t>Specific ethical considerations in the evaluation of risks and potential benefits are explored in the following sections.</w:t>
      </w:r>
    </w:p>
    <w:p w14:paraId="028303DE" w14:textId="77777777" w:rsidR="00612097" w:rsidRDefault="00612097" w:rsidP="00EA22AE">
      <w:pPr>
        <w:spacing w:after="120"/>
        <w:rPr>
          <w:rFonts w:ascii="Calibri" w:hAnsi="Calibri" w:cs="Calibri"/>
          <w:sz w:val="22"/>
          <w:szCs w:val="22"/>
        </w:rPr>
      </w:pPr>
    </w:p>
    <w:p w14:paraId="6B3122FD" w14:textId="33728300" w:rsidR="00612097" w:rsidRPr="006720E4" w:rsidRDefault="00612097" w:rsidP="00EA22AE">
      <w:pPr>
        <w:spacing w:after="120"/>
        <w:rPr>
          <w:rFonts w:ascii="Calibri" w:hAnsi="Calibri" w:cs="Calibri"/>
          <w:sz w:val="22"/>
          <w:szCs w:val="22"/>
        </w:rPr>
      </w:pPr>
      <w:r>
        <w:rPr>
          <w:noProof/>
        </w:rPr>
        <mc:AlternateContent>
          <mc:Choice Requires="wps">
            <w:drawing>
              <wp:anchor distT="0" distB="0" distL="114300" distR="114300" simplePos="0" relativeHeight="251658244" behindDoc="0" locked="0" layoutInCell="1" allowOverlap="1" wp14:anchorId="21101AD8" wp14:editId="3471D270">
                <wp:simplePos x="0" y="0"/>
                <wp:positionH relativeFrom="column">
                  <wp:posOffset>0</wp:posOffset>
                </wp:positionH>
                <wp:positionV relativeFrom="paragraph">
                  <wp:posOffset>0</wp:posOffset>
                </wp:positionV>
                <wp:extent cx="1828800" cy="1828800"/>
                <wp:effectExtent l="12700" t="12700" r="19050" b="8890"/>
                <wp:wrapSquare wrapText="bothSides"/>
                <wp:docPr id="1326433870" name="Text Box 1326433870" descr="P1612TB5#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2EB505C0" w14:textId="62CC48EF" w:rsidR="00612097" w:rsidRPr="00612097" w:rsidRDefault="00612097" w:rsidP="00271073">
                            <w:pPr>
                              <w:spacing w:after="80"/>
                              <w:rPr>
                                <w:rFonts w:ascii="Calibri" w:hAnsi="Calibri" w:cs="Calibri"/>
                                <w:b/>
                                <w:bCs/>
                                <w:sz w:val="22"/>
                                <w:szCs w:val="22"/>
                              </w:rPr>
                            </w:pPr>
                            <w:r w:rsidRPr="00612097">
                              <w:rPr>
                                <w:rFonts w:ascii="Calibri" w:hAnsi="Calibri" w:cs="Calibri"/>
                                <w:b/>
                                <w:bCs/>
                                <w:sz w:val="22"/>
                                <w:szCs w:val="22"/>
                              </w:rPr>
                              <w:t>Box 6.1 General recommendations with regards to management of risk information revealed on screening</w:t>
                            </w:r>
                            <w:r>
                              <w:rPr>
                                <w:rFonts w:ascii="Calibri" w:hAnsi="Calibri" w:cs="Calibri"/>
                                <w:b/>
                                <w:bCs/>
                                <w:sz w:val="22"/>
                                <w:szCs w:val="22"/>
                              </w:rPr>
                              <w:t xml:space="preserve"> and follow up care</w:t>
                            </w:r>
                          </w:p>
                          <w:p w14:paraId="226B9C88" w14:textId="77777777" w:rsidR="00612097" w:rsidRPr="00485565" w:rsidRDefault="00612097" w:rsidP="00C3783C">
                            <w:pPr>
                              <w:pStyle w:val="ListParagraph"/>
                              <w:numPr>
                                <w:ilvl w:val="0"/>
                                <w:numId w:val="134"/>
                              </w:numPr>
                              <w:spacing w:after="80"/>
                              <w:contextualSpacing w:val="0"/>
                              <w:rPr>
                                <w:rFonts w:cs="Calibri"/>
                                <w:szCs w:val="22"/>
                              </w:rPr>
                            </w:pPr>
                            <w:r w:rsidRPr="00485565">
                              <w:rPr>
                                <w:rFonts w:cs="Calibri"/>
                                <w:szCs w:val="22"/>
                              </w:rPr>
                              <w:t>Health professionals have obligations to prevent and minimise harms that may be associated with donation or transplantation. These include obligations to:</w:t>
                            </w:r>
                          </w:p>
                          <w:p w14:paraId="1560D6EA" w14:textId="77777777" w:rsidR="00612097" w:rsidRPr="00485565" w:rsidRDefault="00612097" w:rsidP="00C3783C">
                            <w:pPr>
                              <w:pStyle w:val="ListParagraph"/>
                              <w:numPr>
                                <w:ilvl w:val="1"/>
                                <w:numId w:val="134"/>
                              </w:numPr>
                              <w:spacing w:after="80"/>
                              <w:contextualSpacing w:val="0"/>
                              <w:rPr>
                                <w:rFonts w:cs="Calibri"/>
                                <w:szCs w:val="22"/>
                              </w:rPr>
                            </w:pPr>
                            <w:r w:rsidRPr="00485565">
                              <w:rPr>
                                <w:rFonts w:cs="Calibri"/>
                                <w:szCs w:val="22"/>
                              </w:rPr>
                              <w:t>identify and minimise risks associated with donation or transplantation where possible;</w:t>
                            </w:r>
                          </w:p>
                          <w:p w14:paraId="3F2189C1" w14:textId="77777777" w:rsidR="00612097" w:rsidRPr="00485565" w:rsidRDefault="00612097" w:rsidP="00C3783C">
                            <w:pPr>
                              <w:pStyle w:val="ListParagraph"/>
                              <w:numPr>
                                <w:ilvl w:val="1"/>
                                <w:numId w:val="134"/>
                              </w:numPr>
                              <w:spacing w:after="80"/>
                              <w:contextualSpacing w:val="0"/>
                              <w:rPr>
                                <w:rFonts w:cs="Calibri"/>
                                <w:szCs w:val="22"/>
                              </w:rPr>
                            </w:pPr>
                            <w:r w:rsidRPr="00485565">
                              <w:rPr>
                                <w:rFonts w:cs="Calibri"/>
                                <w:szCs w:val="22"/>
                              </w:rPr>
                              <w:t xml:space="preserve">ensure appropriate </w:t>
                            </w:r>
                            <w:r w:rsidRPr="00485565">
                              <w:rPr>
                                <w:rFonts w:cs="Calibri"/>
                                <w:sz w:val="21"/>
                                <w:szCs w:val="21"/>
                              </w:rPr>
                              <w:t xml:space="preserve">follow up care </w:t>
                            </w:r>
                            <w:r w:rsidRPr="00485565">
                              <w:rPr>
                                <w:rFonts w:cs="Calibri"/>
                                <w:szCs w:val="22"/>
                              </w:rPr>
                              <w:t>of donors and transplant recipients is available and accessible;</w:t>
                            </w:r>
                          </w:p>
                          <w:p w14:paraId="63788AA4" w14:textId="4D077E3A" w:rsidR="00612097" w:rsidRPr="00612097" w:rsidRDefault="00612097" w:rsidP="00C3783C">
                            <w:pPr>
                              <w:pStyle w:val="ListParagraph"/>
                              <w:numPr>
                                <w:ilvl w:val="1"/>
                                <w:numId w:val="134"/>
                              </w:numPr>
                              <w:spacing w:after="80"/>
                              <w:contextualSpacing w:val="0"/>
                              <w:rPr>
                                <w:rFonts w:cs="Calibri"/>
                                <w:szCs w:val="22"/>
                              </w:rPr>
                            </w:pPr>
                            <w:r w:rsidRPr="00485565">
                              <w:rPr>
                                <w:rFonts w:cs="Calibri"/>
                                <w:szCs w:val="22"/>
                              </w:rPr>
                              <w:t>ensure that the expected benefits and risks associated with donation or transplantation are proportionate, and that risks are within a clinically acceptable range.</w:t>
                            </w:r>
                          </w:p>
                          <w:p w14:paraId="71AA5FBA" w14:textId="2465764F" w:rsidR="00612097" w:rsidRPr="00612097" w:rsidRDefault="00612097" w:rsidP="00C3783C">
                            <w:pPr>
                              <w:pStyle w:val="ListParagraph"/>
                              <w:numPr>
                                <w:ilvl w:val="0"/>
                                <w:numId w:val="134"/>
                              </w:numPr>
                              <w:spacing w:after="80"/>
                              <w:rPr>
                                <w:rFonts w:cs="Calibri"/>
                                <w:szCs w:val="22"/>
                              </w:rPr>
                            </w:pPr>
                            <w:r w:rsidRPr="00612097">
                              <w:rPr>
                                <w:rFonts w:cs="Calibri"/>
                                <w:szCs w:val="22"/>
                              </w:rPr>
                              <w:t>Mechanisms to address risk factors identified during evaluation of prospective donors or transplant recipients should be established, e.g., referral pathways for management of conditions requiring treatment that are identified during screening.</w:t>
                            </w:r>
                          </w:p>
                          <w:p w14:paraId="30275FA0" w14:textId="1AF12D2F" w:rsidR="00612097" w:rsidRDefault="00612097" w:rsidP="00C3783C">
                            <w:pPr>
                              <w:pStyle w:val="ListParagraph"/>
                              <w:numPr>
                                <w:ilvl w:val="0"/>
                                <w:numId w:val="111"/>
                              </w:numPr>
                              <w:spacing w:after="80"/>
                              <w:rPr>
                                <w:rFonts w:cs="Calibri"/>
                                <w:szCs w:val="22"/>
                              </w:rPr>
                            </w:pPr>
                            <w:r w:rsidRPr="00485565">
                              <w:rPr>
                                <w:rFonts w:cs="Calibri"/>
                                <w:szCs w:val="22"/>
                              </w:rPr>
                              <w:t xml:space="preserve">Policies should be in place to guide decision-making if information is detected during evaluation of potential deceased donors that has potential health implications for donor family members, consistent with relevant privacy </w:t>
                            </w:r>
                            <w:r w:rsidRPr="0094629F">
                              <w:rPr>
                                <w:rFonts w:cs="Calibri"/>
                                <w:szCs w:val="22"/>
                              </w:rPr>
                              <w:t xml:space="preserve">legislation (see </w:t>
                            </w:r>
                            <w:hyperlink w:anchor="_Privacy_legislation_1" w:history="1">
                              <w:r w:rsidRPr="0094629F">
                                <w:rPr>
                                  <w:rStyle w:val="Hyperlink"/>
                                  <w:rFonts w:cs="Calibri"/>
                                  <w:szCs w:val="22"/>
                                </w:rPr>
                                <w:t>Chapter 7.</w:t>
                              </w:r>
                              <w:r w:rsidR="00F77570" w:rsidRPr="0094629F">
                                <w:rPr>
                                  <w:rStyle w:val="Hyperlink"/>
                                  <w:rFonts w:cs="Calibri"/>
                                  <w:szCs w:val="22"/>
                                </w:rPr>
                                <w:t>1</w:t>
                              </w:r>
                            </w:hyperlink>
                            <w:r w:rsidRPr="0094629F">
                              <w:rPr>
                                <w:rFonts w:cs="Calibri"/>
                                <w:szCs w:val="22"/>
                              </w:rPr>
                              <w:t>).</w:t>
                            </w:r>
                          </w:p>
                          <w:p w14:paraId="4ADE5905" w14:textId="77777777" w:rsidR="00612097" w:rsidRPr="00485565" w:rsidRDefault="00612097" w:rsidP="00C3783C">
                            <w:pPr>
                              <w:pStyle w:val="ListParagraph"/>
                              <w:numPr>
                                <w:ilvl w:val="0"/>
                                <w:numId w:val="111"/>
                              </w:numPr>
                              <w:spacing w:after="80"/>
                              <w:contextualSpacing w:val="0"/>
                              <w:rPr>
                                <w:rFonts w:cs="Calibri"/>
                                <w:szCs w:val="22"/>
                              </w:rPr>
                            </w:pPr>
                            <w:r w:rsidRPr="00485565">
                              <w:rPr>
                                <w:rFonts w:cs="Calibri"/>
                                <w:szCs w:val="22"/>
                              </w:rPr>
                              <w:t>Appropriate medical, social, and psychological follow up care should be available and accessible to all living donors and transplant recipients where necessary.</w:t>
                            </w:r>
                          </w:p>
                          <w:p w14:paraId="4F09F71F" w14:textId="77777777" w:rsidR="00612097" w:rsidRPr="00485565" w:rsidRDefault="00612097" w:rsidP="00C3783C">
                            <w:pPr>
                              <w:pStyle w:val="ListParagraph"/>
                              <w:numPr>
                                <w:ilvl w:val="1"/>
                                <w:numId w:val="111"/>
                              </w:numPr>
                              <w:spacing w:after="80"/>
                              <w:contextualSpacing w:val="0"/>
                              <w:rPr>
                                <w:rFonts w:cs="Calibri"/>
                                <w:szCs w:val="22"/>
                              </w:rPr>
                            </w:pPr>
                            <w:r w:rsidRPr="00485565">
                              <w:rPr>
                                <w:rFonts w:cs="Calibri"/>
                                <w:szCs w:val="22"/>
                              </w:rPr>
                              <w:t>Clinical guidelines should communicate clear standards for consistent practice in follow up care in specific circumstances.</w:t>
                            </w:r>
                          </w:p>
                          <w:p w14:paraId="4C5A4617" w14:textId="77777777" w:rsidR="00612097" w:rsidRPr="00485565" w:rsidRDefault="00612097" w:rsidP="00C3783C">
                            <w:pPr>
                              <w:pStyle w:val="ListParagraph"/>
                              <w:numPr>
                                <w:ilvl w:val="1"/>
                                <w:numId w:val="111"/>
                              </w:numPr>
                              <w:spacing w:after="80"/>
                              <w:contextualSpacing w:val="0"/>
                              <w:rPr>
                                <w:rFonts w:cs="Calibri"/>
                                <w:szCs w:val="22"/>
                              </w:rPr>
                            </w:pPr>
                            <w:r w:rsidRPr="00485565">
                              <w:rPr>
                                <w:rFonts w:cs="Calibri"/>
                                <w:szCs w:val="22"/>
                              </w:rPr>
                              <w:t>Follow up care should also be provided when necessary to those who are declined as living donors.</w:t>
                            </w:r>
                          </w:p>
                          <w:p w14:paraId="3E3FB46D" w14:textId="77777777" w:rsidR="00612097" w:rsidRPr="00485565" w:rsidRDefault="00612097" w:rsidP="00C3783C">
                            <w:pPr>
                              <w:pStyle w:val="ListParagraph"/>
                              <w:numPr>
                                <w:ilvl w:val="1"/>
                                <w:numId w:val="111"/>
                              </w:numPr>
                              <w:spacing w:after="80"/>
                              <w:contextualSpacing w:val="0"/>
                              <w:rPr>
                                <w:rFonts w:cs="Calibri"/>
                                <w:szCs w:val="22"/>
                              </w:rPr>
                            </w:pPr>
                            <w:r w:rsidRPr="00485565">
                              <w:rPr>
                                <w:rFonts w:cs="Calibri"/>
                                <w:szCs w:val="22"/>
                              </w:rPr>
                              <w:t>In the case of transplantation in a child, guidelines should address potential barriers to transitions in follow up care when the child becomes an adult, where relevant.</w:t>
                            </w:r>
                          </w:p>
                          <w:p w14:paraId="4E165C43" w14:textId="3A9F80B5" w:rsidR="00612097" w:rsidRPr="00612097" w:rsidRDefault="00612097" w:rsidP="00C3783C">
                            <w:pPr>
                              <w:pStyle w:val="ListParagraph"/>
                              <w:numPr>
                                <w:ilvl w:val="1"/>
                                <w:numId w:val="111"/>
                              </w:numPr>
                              <w:spacing w:after="80"/>
                              <w:contextualSpacing w:val="0"/>
                              <w:rPr>
                                <w:rFonts w:cs="Calibri"/>
                                <w:szCs w:val="22"/>
                              </w:rPr>
                            </w:pPr>
                            <w:r w:rsidRPr="00485565">
                              <w:rPr>
                                <w:rFonts w:cs="Calibri"/>
                                <w:szCs w:val="22"/>
                              </w:rPr>
                              <w:t>Follow up care should routinely incorporate data collection and reporting to relevant registries.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101AD8" id="Text Box 1326433870" o:spid="_x0000_s1030" type="#_x0000_t202" alt="P1612TB5#y1"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" filled="f" strokecolor="black [3213]" strokeweight="1.5pt">
                <v:textbox style="mso-fit-shape-to-text:t">
                  <w:txbxContent>
                    <w:p w14:paraId="2EB505C0" w14:textId="62CC48EF" w:rsidR="00612097" w:rsidRPr="00612097" w:rsidRDefault="00612097" w:rsidP="00271073">
                      <w:pPr>
                        <w:spacing w:after="80"/>
                        <w:rPr>
                          <w:rFonts w:ascii="Calibri" w:hAnsi="Calibri" w:cs="Calibri"/>
                          <w:b/>
                          <w:bCs/>
                          <w:sz w:val="22"/>
                          <w:szCs w:val="22"/>
                        </w:rPr>
                      </w:pPr>
                      <w:r w:rsidRPr="00612097">
                        <w:rPr>
                          <w:rFonts w:ascii="Calibri" w:hAnsi="Calibri" w:cs="Calibri"/>
                          <w:b/>
                          <w:bCs/>
                          <w:sz w:val="22"/>
                          <w:szCs w:val="22"/>
                        </w:rPr>
                        <w:t>Box 6.1 General recommendations with regards to management of risk information revealed on screening</w:t>
                      </w:r>
                      <w:r>
                        <w:rPr>
                          <w:rFonts w:ascii="Calibri" w:hAnsi="Calibri" w:cs="Calibri"/>
                          <w:b/>
                          <w:bCs/>
                          <w:sz w:val="22"/>
                          <w:szCs w:val="22"/>
                        </w:rPr>
                        <w:t xml:space="preserve"> and follow up care</w:t>
                      </w:r>
                    </w:p>
                    <w:p w14:paraId="226B9C88" w14:textId="77777777" w:rsidR="00612097" w:rsidRPr="00485565" w:rsidRDefault="00612097" w:rsidP="00C3783C">
                      <w:pPr>
                        <w:pStyle w:val="ListParagraph"/>
                        <w:numPr>
                          <w:ilvl w:val="0"/>
                          <w:numId w:val="134"/>
                        </w:numPr>
                        <w:spacing w:after="80"/>
                        <w:contextualSpacing w:val="0"/>
                        <w:rPr>
                          <w:rFonts w:cs="Calibri"/>
                          <w:szCs w:val="22"/>
                        </w:rPr>
                      </w:pPr>
                      <w:r w:rsidRPr="00485565">
                        <w:rPr>
                          <w:rFonts w:cs="Calibri"/>
                          <w:szCs w:val="22"/>
                        </w:rPr>
                        <w:t>Health professionals have obligations to prevent and minimise harms that may be associated with donation or transplantation. These include obligations to:</w:t>
                      </w:r>
                    </w:p>
                    <w:p w14:paraId="1560D6EA" w14:textId="77777777" w:rsidR="00612097" w:rsidRPr="00485565" w:rsidRDefault="00612097" w:rsidP="00C3783C">
                      <w:pPr>
                        <w:pStyle w:val="ListParagraph"/>
                        <w:numPr>
                          <w:ilvl w:val="1"/>
                          <w:numId w:val="134"/>
                        </w:numPr>
                        <w:spacing w:after="80"/>
                        <w:contextualSpacing w:val="0"/>
                        <w:rPr>
                          <w:rFonts w:cs="Calibri"/>
                          <w:szCs w:val="22"/>
                        </w:rPr>
                      </w:pPr>
                      <w:r w:rsidRPr="00485565">
                        <w:rPr>
                          <w:rFonts w:cs="Calibri"/>
                          <w:szCs w:val="22"/>
                        </w:rPr>
                        <w:t>identify and minimise risks associated with donation or transplantation where possible;</w:t>
                      </w:r>
                    </w:p>
                    <w:p w14:paraId="3F2189C1" w14:textId="77777777" w:rsidR="00612097" w:rsidRPr="00485565" w:rsidRDefault="00612097" w:rsidP="00C3783C">
                      <w:pPr>
                        <w:pStyle w:val="ListParagraph"/>
                        <w:numPr>
                          <w:ilvl w:val="1"/>
                          <w:numId w:val="134"/>
                        </w:numPr>
                        <w:spacing w:after="80"/>
                        <w:contextualSpacing w:val="0"/>
                        <w:rPr>
                          <w:rFonts w:cs="Calibri"/>
                          <w:szCs w:val="22"/>
                        </w:rPr>
                      </w:pPr>
                      <w:r w:rsidRPr="00485565">
                        <w:rPr>
                          <w:rFonts w:cs="Calibri"/>
                          <w:szCs w:val="22"/>
                        </w:rPr>
                        <w:t xml:space="preserve">ensure appropriate </w:t>
                      </w:r>
                      <w:r w:rsidRPr="00485565">
                        <w:rPr>
                          <w:rFonts w:cs="Calibri"/>
                          <w:sz w:val="21"/>
                          <w:szCs w:val="21"/>
                        </w:rPr>
                        <w:t xml:space="preserve">follow up care </w:t>
                      </w:r>
                      <w:r w:rsidRPr="00485565">
                        <w:rPr>
                          <w:rFonts w:cs="Calibri"/>
                          <w:szCs w:val="22"/>
                        </w:rPr>
                        <w:t>of donors and transplant recipients is available and accessible;</w:t>
                      </w:r>
                    </w:p>
                    <w:p w14:paraId="63788AA4" w14:textId="4D077E3A" w:rsidR="00612097" w:rsidRPr="00612097" w:rsidRDefault="00612097" w:rsidP="00C3783C">
                      <w:pPr>
                        <w:pStyle w:val="ListParagraph"/>
                        <w:numPr>
                          <w:ilvl w:val="1"/>
                          <w:numId w:val="134"/>
                        </w:numPr>
                        <w:spacing w:after="80"/>
                        <w:contextualSpacing w:val="0"/>
                        <w:rPr>
                          <w:rFonts w:cs="Calibri"/>
                          <w:szCs w:val="22"/>
                        </w:rPr>
                      </w:pPr>
                      <w:r w:rsidRPr="00485565">
                        <w:rPr>
                          <w:rFonts w:cs="Calibri"/>
                          <w:szCs w:val="22"/>
                        </w:rPr>
                        <w:t>ensure that the expected benefits and risks associated with donation or transplantation are proportionate, and that risks are within a clinically acceptable range.</w:t>
                      </w:r>
                    </w:p>
                    <w:p w14:paraId="71AA5FBA" w14:textId="2465764F" w:rsidR="00612097" w:rsidRPr="00612097" w:rsidRDefault="00612097" w:rsidP="00C3783C">
                      <w:pPr>
                        <w:pStyle w:val="ListParagraph"/>
                        <w:numPr>
                          <w:ilvl w:val="0"/>
                          <w:numId w:val="134"/>
                        </w:numPr>
                        <w:spacing w:after="80"/>
                        <w:rPr>
                          <w:rFonts w:cs="Calibri"/>
                          <w:szCs w:val="22"/>
                        </w:rPr>
                      </w:pPr>
                      <w:r w:rsidRPr="00612097">
                        <w:rPr>
                          <w:rFonts w:cs="Calibri"/>
                          <w:szCs w:val="22"/>
                        </w:rPr>
                        <w:t>Mechanisms to address risk factors identified during evaluation of prospective donors or transplant recipients should be established, e.g., referral pathways for management of conditions requiring treatment that are identified during screening.</w:t>
                      </w:r>
                    </w:p>
                    <w:p w14:paraId="30275FA0" w14:textId="1AF12D2F" w:rsidR="00612097" w:rsidRDefault="00612097" w:rsidP="00C3783C">
                      <w:pPr>
                        <w:pStyle w:val="ListParagraph"/>
                        <w:numPr>
                          <w:ilvl w:val="0"/>
                          <w:numId w:val="111"/>
                        </w:numPr>
                        <w:spacing w:after="80"/>
                        <w:rPr>
                          <w:rFonts w:cs="Calibri"/>
                          <w:szCs w:val="22"/>
                        </w:rPr>
                      </w:pPr>
                      <w:r w:rsidRPr="00485565">
                        <w:rPr>
                          <w:rFonts w:cs="Calibri"/>
                          <w:szCs w:val="22"/>
                        </w:rPr>
                        <w:t xml:space="preserve">Policies should be in place to guide decision-making if information is detected during evaluation of potential deceased donors that has potential health implications for donor family members, consistent with relevant privacy </w:t>
                      </w:r>
                      <w:r w:rsidRPr="0094629F">
                        <w:rPr>
                          <w:rFonts w:cs="Calibri"/>
                          <w:szCs w:val="22"/>
                        </w:rPr>
                        <w:t xml:space="preserve">legislation (see </w:t>
                      </w:r>
                      <w:hyperlink w:anchor="_Privacy_legislation_1" w:history="1">
                        <w:r w:rsidRPr="0094629F">
                          <w:rPr>
                            <w:rStyle w:val="Hyperlink"/>
                            <w:rFonts w:cs="Calibri"/>
                            <w:szCs w:val="22"/>
                          </w:rPr>
                          <w:t>Chapter 7.</w:t>
                        </w:r>
                        <w:r w:rsidR="00F77570" w:rsidRPr="0094629F">
                          <w:rPr>
                            <w:rStyle w:val="Hyperlink"/>
                            <w:rFonts w:cs="Calibri"/>
                            <w:szCs w:val="22"/>
                          </w:rPr>
                          <w:t>1</w:t>
                        </w:r>
                      </w:hyperlink>
                      <w:r w:rsidRPr="0094629F">
                        <w:rPr>
                          <w:rFonts w:cs="Calibri"/>
                          <w:szCs w:val="22"/>
                        </w:rPr>
                        <w:t>).</w:t>
                      </w:r>
                    </w:p>
                    <w:p w14:paraId="4ADE5905" w14:textId="77777777" w:rsidR="00612097" w:rsidRPr="00485565" w:rsidRDefault="00612097" w:rsidP="00C3783C">
                      <w:pPr>
                        <w:pStyle w:val="ListParagraph"/>
                        <w:numPr>
                          <w:ilvl w:val="0"/>
                          <w:numId w:val="111"/>
                        </w:numPr>
                        <w:spacing w:after="80"/>
                        <w:contextualSpacing w:val="0"/>
                        <w:rPr>
                          <w:rFonts w:cs="Calibri"/>
                          <w:szCs w:val="22"/>
                        </w:rPr>
                      </w:pPr>
                      <w:r w:rsidRPr="00485565">
                        <w:rPr>
                          <w:rFonts w:cs="Calibri"/>
                          <w:szCs w:val="22"/>
                        </w:rPr>
                        <w:t>Appropriate medical, social, and psychological follow up care should be available and accessible to all living donors and transplant recipients where necessary.</w:t>
                      </w:r>
                    </w:p>
                    <w:p w14:paraId="4F09F71F" w14:textId="77777777" w:rsidR="00612097" w:rsidRPr="00485565" w:rsidRDefault="00612097" w:rsidP="00C3783C">
                      <w:pPr>
                        <w:pStyle w:val="ListParagraph"/>
                        <w:numPr>
                          <w:ilvl w:val="1"/>
                          <w:numId w:val="111"/>
                        </w:numPr>
                        <w:spacing w:after="80"/>
                        <w:contextualSpacing w:val="0"/>
                        <w:rPr>
                          <w:rFonts w:cs="Calibri"/>
                          <w:szCs w:val="22"/>
                        </w:rPr>
                      </w:pPr>
                      <w:r w:rsidRPr="00485565">
                        <w:rPr>
                          <w:rFonts w:cs="Calibri"/>
                          <w:szCs w:val="22"/>
                        </w:rPr>
                        <w:t>Clinical guidelines should communicate clear standards for consistent practice in follow up care in specific circumstances.</w:t>
                      </w:r>
                    </w:p>
                    <w:p w14:paraId="4C5A4617" w14:textId="77777777" w:rsidR="00612097" w:rsidRPr="00485565" w:rsidRDefault="00612097" w:rsidP="00C3783C">
                      <w:pPr>
                        <w:pStyle w:val="ListParagraph"/>
                        <w:numPr>
                          <w:ilvl w:val="1"/>
                          <w:numId w:val="111"/>
                        </w:numPr>
                        <w:spacing w:after="80"/>
                        <w:contextualSpacing w:val="0"/>
                        <w:rPr>
                          <w:rFonts w:cs="Calibri"/>
                          <w:szCs w:val="22"/>
                        </w:rPr>
                      </w:pPr>
                      <w:r w:rsidRPr="00485565">
                        <w:rPr>
                          <w:rFonts w:cs="Calibri"/>
                          <w:szCs w:val="22"/>
                        </w:rPr>
                        <w:t>Follow up care should also be provided when necessary to those who are declined as living donors.</w:t>
                      </w:r>
                    </w:p>
                    <w:p w14:paraId="3E3FB46D" w14:textId="77777777" w:rsidR="00612097" w:rsidRPr="00485565" w:rsidRDefault="00612097" w:rsidP="00C3783C">
                      <w:pPr>
                        <w:pStyle w:val="ListParagraph"/>
                        <w:numPr>
                          <w:ilvl w:val="1"/>
                          <w:numId w:val="111"/>
                        </w:numPr>
                        <w:spacing w:after="80"/>
                        <w:contextualSpacing w:val="0"/>
                        <w:rPr>
                          <w:rFonts w:cs="Calibri"/>
                          <w:szCs w:val="22"/>
                        </w:rPr>
                      </w:pPr>
                      <w:r w:rsidRPr="00485565">
                        <w:rPr>
                          <w:rFonts w:cs="Calibri"/>
                          <w:szCs w:val="22"/>
                        </w:rPr>
                        <w:t>In the case of transplantation in a child, guidelines should address potential barriers to transitions in follow up care when the child becomes an adult, where relevant.</w:t>
                      </w:r>
                    </w:p>
                    <w:p w14:paraId="4E165C43" w14:textId="3A9F80B5" w:rsidR="00612097" w:rsidRPr="00612097" w:rsidRDefault="00612097" w:rsidP="00C3783C">
                      <w:pPr>
                        <w:pStyle w:val="ListParagraph"/>
                        <w:numPr>
                          <w:ilvl w:val="1"/>
                          <w:numId w:val="111"/>
                        </w:numPr>
                        <w:spacing w:after="80"/>
                        <w:contextualSpacing w:val="0"/>
                        <w:rPr>
                          <w:rFonts w:cs="Calibri"/>
                          <w:szCs w:val="22"/>
                        </w:rPr>
                      </w:pPr>
                      <w:r w:rsidRPr="00485565">
                        <w:rPr>
                          <w:rFonts w:cs="Calibri"/>
                          <w:szCs w:val="22"/>
                        </w:rPr>
                        <w:t>Follow up care should routinely incorporate data collection and reporting to relevant registries.</w:t>
                      </w:r>
                    </w:p>
                  </w:txbxContent>
                </v:textbox>
                <w10:wrap type="square"/>
              </v:shape>
            </w:pict>
          </mc:Fallback>
        </mc:AlternateContent>
      </w:r>
    </w:p>
    <w:p w14:paraId="17C49F03" w14:textId="77777777" w:rsidR="006C6EBA" w:rsidRPr="006720E4" w:rsidRDefault="006C6EBA" w:rsidP="00EA22AE">
      <w:pPr>
        <w:pStyle w:val="Heading3"/>
        <w:spacing w:after="120"/>
      </w:pPr>
      <w:bookmarkStart w:id="2312" w:name="_Holistic_and_person-centred"/>
      <w:bookmarkStart w:id="2313" w:name="_Toc70414861"/>
      <w:bookmarkStart w:id="2314" w:name="_Toc70844184"/>
      <w:bookmarkStart w:id="2315" w:name="_Toc72615116"/>
      <w:bookmarkStart w:id="2316" w:name="_Toc73129839"/>
      <w:bookmarkStart w:id="2317" w:name="_Toc73301708"/>
      <w:bookmarkStart w:id="2318" w:name="_Toc73302214"/>
      <w:bookmarkStart w:id="2319" w:name="_Toc73303347"/>
      <w:bookmarkStart w:id="2320" w:name="_Toc73303586"/>
      <w:bookmarkStart w:id="2321" w:name="_Toc74080703"/>
      <w:bookmarkStart w:id="2322" w:name="_Toc74081011"/>
      <w:bookmarkStart w:id="2323" w:name="_Toc74081241"/>
      <w:bookmarkStart w:id="2324" w:name="_Toc74081492"/>
      <w:bookmarkStart w:id="2325" w:name="_Toc74171072"/>
      <w:bookmarkStart w:id="2326" w:name="_Toc74172269"/>
      <w:bookmarkStart w:id="2327" w:name="_Toc74172805"/>
      <w:bookmarkStart w:id="2328" w:name="_Toc74238746"/>
      <w:bookmarkStart w:id="2329" w:name="_Toc79406379"/>
      <w:bookmarkStart w:id="2330" w:name="_Toc82773583"/>
      <w:bookmarkStart w:id="2331" w:name="_Toc82773936"/>
      <w:bookmarkStart w:id="2332" w:name="_Toc63683422"/>
      <w:bookmarkStart w:id="2333" w:name="_Toc70241764"/>
      <w:bookmarkStart w:id="2334" w:name="_Toc70243399"/>
      <w:bookmarkEnd w:id="2312"/>
      <w:r w:rsidRPr="006720E4">
        <w:t>Holistic and person-centred assessment of risks and potential benefits</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r w:rsidRPr="006720E4">
        <w:t xml:space="preserve"> </w:t>
      </w:r>
      <w:bookmarkEnd w:id="2332"/>
      <w:bookmarkEnd w:id="2333"/>
      <w:bookmarkEnd w:id="2334"/>
    </w:p>
    <w:p w14:paraId="6D14E7D7" w14:textId="197AFCE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importance of considering the psychosocial risks and potential benefits of donation and transplantation, and of declining donation or transplantation is increasingly recognized. For example, in some cases, the psychosocial impact of a missed opportunity to become a living organ donor might be a worse outcome for the potential donor than proceeding with living donation despite the substantial physical burdens and risks associated with donation.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{"citationItems":[{"id":"ITEM-1","itemData":{"DOI":"10.1111/ctr.13408","ISSN":"13990012","PMID":"30218994","abstract":"Background: A better understanding of the consequences of being turned down for living kidney donation could help transplant professionals to counsel individuals considering donation. Methods: In this exploratory study, we used survey instruments and qualitative interviews to characterize nonmedical outcomes among individuals turned down for living kidney donation between July 1, 2010 and December 31, 2013. We assembled a comparator group of kidney donors. Results: Among 83 turned-down donors with contact information at a single center, 43 (52%) participated in the study (median age 53 years; 53% female; 19% black). Quality of life, depression, financial stress, and provider empathy scores were similar between individuals turned down for donation (n = 43) and donors (n = 128). Participants selected a discrete choice response to a statement about the overall quality of their lives; 32% of turned-down donors versus 7% of donors (P &lt; 0.01) assessed that their lives were worse after the center's decision about whether they could donate a kidney. Among turned-down donors who reported that life had worsened, 77% had an intended recipient who was never transplanted, versus 36% among individuals who assessed life as the same or better (P = 0.02). In interviews, the majority of turned-down donors reported emotional impact, including empathy, stress, and other challenges, related to having someone in their lives with end-stage kidney disease. Conclusions: Generic instruments measuring quality of life, depression, financial stress, and provider empathy revealed no significant differences between kidney donors and turned-down donors. However, qualitative interviews revealed preliminary evidence that some turned-down donors experienced emotional consequences. These findings warrant confirmation in larger studies.","author":[{"dropping-particle":"","family":"Reese","given":"Peter P.","non-dropping-particle":"","parse-names":false,"suffix":""},{"dropping-particle":"","family":"Allen","given":"Matthew B.","non-dropping-particle":"","parse-names":false,"suffix":""},{"dropping-particle":"","family":"Carney","given":"Caroline","non-dropping-particle":"","parse-names":false,"suffix":""},{"dropping-particle":"","family":"Leidy","given":"Daniel","non-dropping-particle":"","parse-names":false,"suffix":""},{"dropping-particle":"","family":"Levsky","given":"Simona","non-dropping-particle":"","parse-names":false,"suffix":""},{"dropping-particle":"","family":"Pendse","given":"Ruchita","non-dropping-particle":"","parse-names":false,"suffix":""},{"dropping-particle":"","family":"Mussell","given":"Adam S.","non-dropping-particle":"","parse-names":false,"suffix":""},{"dropping-particle":"","family":"Bermudez","given":"Francisca","non-dropping-particle":"","parse-names":false,"suffix":""},{"dropping-particle":"","family":"Keddem","given":"Shimrit","non-dropping-particle":"","parse-names":false,"suffix":""},{"dropping-particle":"","family":"Thiessen","given":"Carrie","non-dropping-particle":"","parse-names":false,"suffix":""},{"dropping-particle":"","family":"Rodrigue","given":"James R.","non-dropping-particle":"","parse-names":false,"suffix":""},{"dropping-particle":"","family":"Emanuel","given":"Ezekiel J.","non-dropping-particle":"","parse-names":false,"suffix":""}],"container-title":"Clinical Transplantation","id":"ITEM-1","issue":"12","issued":{"date-parts":[["2018"]]},"page":"1-12","title":"Outcomes for individuals turned down for living kidney donation","type":"article-journal","volume":"32"},"uris":["http://www.mendeley.com/documents/?uuid=d39db47d-5090-4bae-87d1-bdf0c69df34d"]}],"mendeley":{"formattedCitation":"(65)","plainTextFormattedCitation":"(65)","previouslyFormattedCitation":"(65)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(65)</w:t>
      </w:r>
      <w:r w:rsidRPr="006720E4">
        <w:rPr>
          <w:rFonts w:ascii="Calibri" w:hAnsi="Calibri" w:cs="Calibri"/>
          <w:sz w:val="22"/>
          <w:szCs w:val="22"/>
        </w:rPr>
        <w:fldChar w:fldCharType="end"/>
      </w:r>
      <w:r w:rsidRPr="006720E4">
        <w:rPr>
          <w:rFonts w:ascii="Calibri" w:hAnsi="Calibri" w:cs="Calibri"/>
          <w:sz w:val="22"/>
          <w:szCs w:val="22"/>
        </w:rPr>
        <w:t xml:space="preserve"> A parent, for example, may be able to save the life of their child by donating part of their liver; this benefit could greatly outweigh the risks of living liver donation.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{"citationItems":[{"id":"ITEM-1","itemData":{"DOI":"10.1097/SLA.0000000000001849","ISBN":"0000000000","ISSN":"15281140","PMID":"27433909","abstract":"Objective: To measure and define the best achievable outcome after major hepatectomy. Background: No reference values are available on outcomes after major hepatectomies. Analysis in living liver donors, with safety as the highest priority, offers the opportunity to define outcome benchmarks as the best possible results. Methods: Outcome analyses of 5202 hemi-hepatectomies from living donors (LDs) from 12 high-volume centers worldwide were performed for a 10-year period. Endpoints, calculated at discharge, 3 and 6 months postoperatively, included postoperative morbidity measured by the Clavien-Dindo classification, the Comprehensive Complication Index (CCI), and liver failure according to different definitions. Benchmark values were defined as the 75th percentile of median morbidity values to represent the best achievable results at 3 month postoperatively. Results: Patients were young (34 ± [9] years), predominantly male (65%) and healthy. Surgery lasted 7 ± [2] hours; 2% needed blood transfusions. Mean hospital stay was 11.7 ± [5] days. 12% of patients developed at least 1 complication, of which 3.8% were major events (≥grade III, including 1 death), mostly related to biliary/bleeding events, and were twice higher after right hepatectomy. The incidence of postoperative liver failure was low. Within 3-month follow-up, benchmark values for overall complication were ≤31 %, for minor/major complications ≤23% and ≤9%, respectively, and a CCI ≤33 in LDs with complications. Centers having performed ≥100 hepatectomies had significantly lower rates for overall (10.2% vs 35.9%, P &lt; 0.001) and major (3% vs 12.1%, P &lt; 0.001) complications and overall CCI (2.1 vs 8.5, P &lt; 0.001). Conclusions: The thorough outcome analysis of healthy LDs may serve as a reference for evaluating surgical performance in patients undergoing major liver resection across centers and different patient populations. Further benchmark studies are needed to develop risk-adjusted comparisons of surgical outcomes.","author":[{"dropping-particle":"","family":"Rössler","given":"Fabian","non-dropping-particle":"","parse-names":false,"suffix":""},{"dropping-particle":"","family":"Sapisochin","given":"Gonzalo","non-dropping-particle":"","parse-names":false,"suffix":""},{"dropping-particle":"","family":"Song","given":"Gi Won","non-dropping-particle":"","parse-names":false,"suffix":""},{"dropping-particle":"","family":"Lin","given":"Yu Hung","non-dropping-particle":"","parse-names":false,"suffix":""},{"dropping-particle":"","family":"Simpson","given":"Mary Ann","non-dropping-particle":"","parse-names":false,"suffix":""},{"dropping-particle":"","family":"Hasegawa","given":"Kiyoshi","non-dropping-particle":"","parse-names":false,"suffix":""},{"dropping-particle":"","family":"Laurenzi","given":"Andrea","non-dropping-particle":"","parse-names":false,"suffix":""},{"dropping-particle":"","family":"Cabús","given":"Santiago Sánchez","non-dropping-particle":"","parse-names":false,"suffix":""},{"dropping-particle":"","family":"Nunez","given":"Milton Inostroza","non-dropping-particle":"","parse-names":false,"suffix":""},{"dropping-particle":"","family":"Gatti","given":"Andrea","non-dropping-particle":"","parse-names":false,"suffix":""},{"dropping-particle":"","family":"Beltrame","given":"Magali Chahdi","non-dropping-particle":"","parse-names":false,"suffix":""},{"dropping-particle":"","family":"Slankamenac","given":"Ksenija","non-dropping-particle":"","parse-names":false,"suffix":""},{"dropping-particle":"","family":"Greig","given":"Paul D.","non-dropping-particle":"","parse-names":false,"suffix":""},{"dropping-particle":"","family":"Lee","given":"Sung Gyu","non-dropping-particle":"","parse-names":false,"suffix":""},{"dropping-particle":"","family":"Chen","given":"Chao Long","non-dropping-particle":"","parse-names":false,"suffix":""},{"dropping-particle":"","family":"Grant","given":"David R.","non-dropping-particle":"","parse-names":false,"suffix":""},{"dropping-particle":"","family":"Pomfret","given":"Elizabeth A.","non-dropping-particle":"","parse-names":false,"suffix":""},{"dropping-particle":"","family":"Kokudo","given":"Norihiro","non-dropping-particle":"","parse-names":false,"suffix":""},{"dropping-particle":"","family":"Cherqui","given":"Daniel","non-dropping-particle":"","parse-names":false,"suffix":""},{"dropping-particle":"","family":"Olthoff","given":"Kim M.","non-dropping-particle":"","parse-names":false,"suffix":""},{"dropping-particle":"","family":"Shaked","given":"Abraham","non-dropping-particle":"","parse-names":false,"suffix":""},{"dropping-particle":"","family":"García-Valdecasas","given":"Juan Carlos","non-dropping-particle":"","parse-names":false,"suffix":""},{"dropping-particle":"","family":"Lerut","given":"Jan","non-dropping-particle":"","parse-names":false,"suffix":""},{"dropping-particle":"","family":"Troisi","given":"Roberto I.","non-dropping-particle":"","parse-names":false,"suffix":""},{"dropping-particle":"","family":"Santibanes","given":"Martin","non-dropping-particle":"De","parse-names":false,"suffix":""},{"dropping-particle":"","family":"Petrowsky","given":"Henrik","non-dropping-particle":"","parse-names":false,"suffix":""},{"dropping-particle":"","family":"Puhan","given":"Milo A.","non-dropping-particle":"","parse-names":false,"suffix":""},{"dropping-particle":"","family":"Clavien","given":"Pierre Alain","non-dropping-particle":"","parse-names":false,"suffix":""}],"container-title":"Annals of Surgery","id":"ITEM-1","issue":"3","issued":{"date-parts":[["2016"]]},"page":"492-499","title":"Defining benchmarks for major liver surgery: A multicenter analysis of 5202 living liver donors","type":"article-journal","volume":"264"},"uris":["http://www.mendeley.com/documents/?uuid=60d1bf81-66f6-4d91-b675-7d533eb00859"]}],"mendeley":{"formattedCitation":"(66)","plainTextFormattedCitation":"(66)","previouslyFormattedCitation":"(66)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(66)</w:t>
      </w:r>
      <w:r w:rsidRPr="006720E4">
        <w:rPr>
          <w:rFonts w:ascii="Calibri" w:hAnsi="Calibri" w:cs="Calibri"/>
          <w:sz w:val="22"/>
          <w:szCs w:val="22"/>
        </w:rPr>
        <w:fldChar w:fldCharType="end"/>
      </w:r>
    </w:p>
    <w:p w14:paraId="560F145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In some cases, patients and health professionals may disagree regarding the relative importance of specific risks or benefits and regarding the definition of specific measures used in evaluation of outcomes of donation or transplantation. Health professional perspectives and evaluation of risks and potential benefits are important and clinical expertise will determine the options that are clinically feasible in a particular case. However, careful consideration must be given to patient perspectives and preferences when evaluating risks and potential benefits.</w:t>
      </w:r>
    </w:p>
    <w:p w14:paraId="1B8B7950" w14:textId="0D2C4222"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Clinical guidelines and research in donation and transplantation are increasingly informed by donor and recipient perspectives,</w:t>
      </w:r>
      <w:r w:rsidRPr="006720E4">
        <w:rPr>
          <w:rFonts w:cs="Calibri"/>
          <w:szCs w:val="22"/>
        </w:rPr>
        <w:fldChar w:fldCharType="begin" w:fldLock="1"/>
      </w:r>
      <w:r w:rsidR="00EB088B">
        <w:rPr>
          <w:rFonts w:cs="Calibri"/>
          <w:szCs w:val="22"/>
        </w:rPr>
        <w:instrText>ADDIN CSL_CITATION {"citationItems":[{"id":"ITEM-1","itemData":{"DOI":"10.1097/TP.0000000000001942","ISBN":"0000000000","ISSN":"00411337","PMID":"28885494","abstract":"Background Prospective and longitudinal studies have examined liver donors' medical outcomes beyond the first 1 to 2 years postdonation. There is no analogous longitudinal evidence on long-term psychosocial outcomes, including patient-reported clinically significant mental health problems and perceptions of physical well-being. We examined prevalence, descriptive characteristics, and predictors of diagnosable mental health conditions and self-reported physical health problems, including fatigue and pain, in the long-term years after liver donation. Methods Donors from 9 centers who initially completed telephone interviews at 3 to 10 years postdonation (mean, 5.8 years; SD, 1.9) were reinterviewed annually for 2 years using validated measures. Outcomes were examined descriptively. Repeated-measures regression analyses evaluated potential predictors and correlates of outcomes. Results Of 517 donors initially interviewed (66% of those eligible), 424 (82%) were reassessed at least once. Prevalence rates of major depression and clinically significant pain were similar to general population norms; average fatigue levels were better than norms. All prevalence rates showed little temporal change. Anxiety and alcohol use disorder rates exceeded normative rates at 1 or more assessments. Longer postdonation hospitalization, female sex, higher body mass index, concerns about donation-related health effects, and burdensome donation-related financial cfile:///Users/martindo/Documents/OTA work/OTA literature/Prevalence and Predictors of Patient-Reported Long-term Mental and Physical Health After Donation in the Adult-to-Adult Living-Donor Liver Transplantation Cohort Study.pdfosts were associated with increased risk for most outcomes (P's &lt; 0.05). Men were at higher risk for alcohol use disorder (P &lt; 0.001). Conclusions Anxiety and alcohol use disorders were more common than would be expected; they may warrant increased research attention and clinical surveillance. Surveillance for long-term problems in the areas assessed may be optimized by targeting donors at higher risk based on identified predictors and correlates.","author":[{"dropping-particle":"","family":"Dew","given":"Mary Amanda","non-dropping-particle":"","parse-names":false,"suffix":""},{"dropping-particle":"","family":"Butt","given":"Zeeshan","non-dropping-particle":"","parse-names":false,"suffix":""},{"dropping-particle":"","family":"Liu","given":"Qian","non-dropping-particle":"","parse-names":false,"suffix":""},{"dropping-particle":"","family":"Simpson","given":"Mary Ann","non-dropping-particle":"","parse-names":false,"suffix":""},{"dropping-particle":"","family":"Zee","given":"Jarcy","non-dropping-particle":"","parse-names":false,"suffix":""},{"dropping-particle":"","family":"Ladner","given":"Daniela P.","non-dropping-particle":"","parse-names":false,"suffix":""},{"dropping-particle":"","family":"Holtzman","given":"Susan","non-dropping-particle":"","parse-names":false,"suffix":""},{"dropping-particle":"","family":"Smith","given":"Abigail R.","non-dropping-particle":"","parse-names":false,"suffix":""},{"dropping-particle":"","family":"Pomfret","given":"Elizabeth A.","non-dropping-particle":"","parse-names":false,"suffix":""},{"dropping-particle":"","family":"Merion","given":"Robert M.","non-dropping-particle":"","parse-names":false,"suffix":""},{"dropping-particle":"","family":"Gillespie","given":"Brenda W.","non-dropping-particle":"","parse-names":false,"suffix":""},{"dropping-particle":"","family":"Sherker","given":"Averell H.","non-dropping-particle":"","parse-names":false,"suffix":""},{"dropping-particle":"","family":"Fisher","given":"Robert A.","non-dropping-particle":"","parse-names":false,"suffix":""},{"dropping-particle":"","family":"Olthoff","given":"Kim M.","non-dropping-particle":"","parse-names":false,"suffix":""},{"dropping-particle":"","family":"Burton","given":"James R.","non-dropping-particle":"","parse-names":false,"suffix":""},{"dropping-particle":"","family":"Terrault","given":"Norah A.","non-dropping-particle":"","parse-names":false,"suffix":""},{"dropping-particle":"","family":"Fox","given":"Alyson N.","non-dropping-particle":"","parse-names":false,"suffix":""},{"dropping-particle":"","family":"Dimartini","given":"Andrea F.","non-dropping-particle":"","parse-names":false,"suffix":""}],"container-title":"Transplantation","id":"ITEM-1","issue":"1","issued":{"date-parts":[["2018"]]},"page":"105-118","title":"Prevalence and Predictors of Patient-Reported Long-term Mental and Physical Health after Donation in the Adult-to-Adult Living-Donor Liver Transplantation Cohort Study","type":"article-journal","volume":"102"},"uris":["http://www.mendeley.com/documents/?uuid=fe91bc74-b189-4600-b9b5-3189bbf3d7db"]},{"id":"ITEM-2","itemData":{"DOI":"10.1097/TP.0000000000001774","ISBN":"0000000000","ISSN":"00411337","PMID":"28737661","abstract":"Background Treatment decisions in kidney transplantation requires patients and clinicians to weigh the benefits and harms of a broad range of medical and surgical interventions, but the heterogeneity and lack of patient-relevant outcomes across trials in transplantation makes these trade-offs uncertain, thus, the need for a core outcome set that reflects stakeholder priorities. Methods We convened 2 international Standardized Outcomes in Nephrology-Kidney Transplantation stakeholder consensus workshops in Boston (17 patients/caregivers; 52 health professionals) and Hong Kong (10 patients/caregivers; 45 health professionals). In facilitated breakout groups, participants discussed the development and implementation of core outcome domains for trials in kidney transplantation. Results Seven themes were identified. Reinforcing the paramount importance of graft outcomes encompassed the prevailing dread of dialysis, distilling the meaning of graft function, and acknowledging the terrifying and ambiguous terminology of rejection. Reflecting critical trade-offs between graft health and medical comorbidities was fundamental. Contextualizing mortality explained discrepancies in the prioritization of death among stakeholders-inevitability of death (patients), preventing premature death (clinicians), and ensuring safety (regulators). Imperative to capture patient-reported outcomes was driven by making explicit patient priorities, fulfilling regulatory requirements, and addressing life participation. Specificity to transplant; feasibility and pragmatism (long-term impacts and responsiveness to interventions); and recognizing gradients of severity within outcome domains were raised as considerations. Conclusions Stakeholders support the inclusion of graft health, mortality, cardiovascular disease, infection, cancer, and patient-reported outcomes (ie, life participation) in a core outcomes set. Addressing ambiguous terminology and feasibility is needed in establishing these core outcome domains for trials in kidney transplantation.","author":[{"dropping-particle":"","family":"Tong","given":"Allison","non-dropping-particle":"","parse-names":false,"suffix":""},{"dropping-particle":"","family":"Gill","given":"John","non-dropping-particle":"","parse-names":false,"suffix":""},{"dropping-particle":"","family":"Budde","given":"Klemens","non-dropping-particle":"","parse-names":false,"suffix":""},{"dropping-particle":"","family":"Marson","given":"Lorna","non-dropping-particle":"","parse-names":false,"suffix":""},{"dropping-particle":"","family":"Reese","given":"Peter P.","non-dropping-particle":"","parse-names":false,"suffix":""},{"dropping-particle":"","family":"Rosenbloom","given":"David","non-dropping-particle":"","parse-names":false,"suffix":""},{"dropping-particle":"","family":"Rostaing","given":"Lionel","non-dropping-particle":"","parse-names":false,"suffix":""},{"dropping-particle":"","family":"Wong","given":"Germaine","non-dropping-particle":"","parse-names":false,"suffix":""},{"dropping-particle":"","family":"Josephson","given":"Michelle A.","non-dropping-particle":"","parse-names":false,"suffix":""},{"dropping-particle":"","family":"Pruett","given":"Timothy L.","non-dropping-particle":"","parse-names":false,"suffix":""},{"dropping-particle":"","family":"Warrens","given":"Anthony N.","non-dropping-particle":"","parse-names":false,"suffix":""},{"dropping-particle":"","family":"Craig","given":"Jonathan C.","non-dropping-particle":"","parse-names":false,"suffix":""},{"dropping-particle":"","family":"Sautenet","given":"Benedicte","non-dropping-particle":"","parse-names":false,"suffix":""},{"dropping-particle":"","family":"Evangelidis","given":"Nicole","non-dropping-particle":"","parse-names":false,"suffix":""},{"dropping-particle":"","family":"Ralph","given":"Angelique F.","non-dropping-particle":"","parse-names":false,"suffix":""},{"dropping-particle":"","family":"Hanson","given":"Camilla S.","non-dropping-particle":"","parse-names":false,"suffix":""},{"dropping-particle":"","family":"Shen","given":"Jenny I.","non-dropping-particle":"","parse-names":false,"suffix":""},{"dropping-particle":"","family":"Howard","given":"Kirsten","non-dropping-particle":"","parse-names":false,"suffix":""},{"dropping-particle":"","family":"Meyer","given":"Klemens","non-dropping-particle":"","parse-names":false,"suffix":""},{"dropping-particle":"","family":"Perrone","given":"Ronald D.","non-dropping-particle":"","parse-names":false,"suffix":""},{"dropping-particle":"","family":"Weiner","given":"Daniel E.","non-dropping-particle":"","parse-names":false,"suffix":""},{"dropping-particle":"","family":"Fung","given":"Samuel","non-dropping-particle":"","parse-names":false,"suffix":""},{"dropping-particle":"","family":"Ma","given":"Maggie K.M.","non-dropping-particle":"","parse-names":false,"suffix":""},{"dropping-particle":"","family":"Rose","given":"Caren","non-dropping-particle":"","parse-names":false,"suffix":""},{"dropping-particle":"","family":"Ryan","given":"Jessica","non-dropping-particle":"","parse-names":false,"suffix":""},{"dropping-particle":"","family":"Chen","given":"Ling Xin","non-dropping-particle":"","parse-names":false,"suffix":""},{"dropping-particle":"","family":"Howell","given":"Martin","non-dropping-particle":"","parse-names":false,"suffix":""},{"dropping-particle":"","family":"Larkins","given":"Nicholas","non-dropping-particle":"","parse-names":false,"suffix":""},{"dropping-particle":"","family":"Kim","given":"Siah","non-dropping-particle":"","parse-names":false,"suffix":""},{"dropping-particle":"","family":"Thangaraju","given":"Sobhana","non-dropping-particle":"","parse-names":false,"suffix":""},{"dropping-particle":"","family":"Ju","given":"Angela","non-dropping-particle":"","parse-names":false,"suffix":""},{"dropping-particle":"","family":"Chapman","given":"Jeremy R.","non-dropping-particle":"","parse-names":false,"suffix":""}],"container-title":"Transplantation","id":"ITEM-2","issue":"8","issued":{"date-parts":[["2017"]]},"page":"1887-1896","title":"Toward Establishing Core Outcome Domains for Trials in Kidney Transplantation: Report of the Standardized Outcomes in Nephrology-Kidney Transplantation Consensus Workshops","type":"article-journal","volume":"101"},"uris":["http://www.mendeley.com/documents/?uuid=7c42f894-8093-4912-95d2-aa2375038392"]},{"id":"ITEM-3","itemData":{"DOI":"10.1016/j.bbmt.2016.05.008","ISSN":"15236536","PMID":"27184627","abstract":"Although hematopoietic cell transplantation (HCT) is the only curative therapy for many advanced hematologic cancers, little is known about the financial hardship experienced by HCT patients nor the association of hardship with patient-reported outcomes. We mailed a 43-item survey to adult patients approximately 180 days after their first autologous or allogeneic HCT at 3 high-volume centers. We assessed decreases in household income; difficulty with HCT-related costs, such as need to relocate or travel; and 2 types of hardship: hardship_1 (reporting 1 or 2 of the following: dissatisfaction with present finances, difficulty meeting monthly bill payments, or not having enough money at the end of the month) and “hardship_2” (reporting all 3). Patient-reported stress was measured with the Perceived Stress Scale-4, and 7-point scales were provided for perceptions of overall quality of life (QOL) and health. In total, 325 of 499 surveys (65.1%) were received. The median days since HCT was 173; 47% underwent an allogeneic HCT, 60% were male, 51% were &gt; 60 years old, and 92% were white. Overall, 46% reported income decline after HCT, 56% reported hardship_1, and 15% reported hardship_2. In multivariable models controlling for income, those reporting difficulty paying for HCT-related costs were more likely to report financial hardship (odds ratio, 6.9; 95% confidence interval, 3.8 to 12.3). Hardship_1 was associated with QOL below the median (odds ratio, 2.9; 95% confidence interval, 1.7 to 4.9), health status below the median (odds ratio, 2.2; 95% confidence interval, 1.3 to 3.6), and stress above the median (odds ratio, 2.1; 95% confidence interval, 1.3 to 3.5). In this sizable cohort of HCT patients, financial hardship was prevalent and associated with worse QOL and higher levels of perceived stress. Interventions to address patient financial hardship—especially those that ameliorate HCT-specific costs—are likely to improve patient-reported outcomes.","author":[{"dropping-particle":"","family":"Abel","given":"Gregory A.","non-dropping-particle":"","parse-names":false,"suffix":""},{"dropping-particle":"","family":"Albelda","given":"Randy","non-dropping-particle":"","parse-names":false,"suffix":""},{"dropping-particle":"","family":"Khera","given":"Nandita","non-dropping-particle":"","parse-names":false,"suffix":""},{"dropping-particle":"","family":"Hahn","given":"Theresa","non-dropping-particle":"","parse-names":false,"suffix":""},{"dropping-particle":"","family":"Salas Coronado","given":"Diana Y.","non-dropping-particle":"","parse-names":false,"suffix":""},{"dropping-particle":"","family":"Odejide","given":"Oreofe O.","non-dropping-particle":"","parse-names":false,"suffix":""},{"dropping-particle":"","family":"Bona","given":"Kira","non-dropping-particle":"","parse-names":false,"suffix":""},{"dropping-particle":"","family":"Tucker-Seeley","given":"Reginald","non-dropping-particle":"","parse-names":false,"suffix":""},{"dropping-particle":"","family":"Soiffer","given":"Robert","non-dropping-particle":"","parse-names":false,"suffix":""}],"container-title":"Biology of Blood and Marrow Transplantation","id":"ITEM-3","issue":"8","issued":{"date-parts":[["2016"]]},"page":"1504-1510","publisher":"Elsevier Inc","title":"Financial Hardship and Patient-Reported Outcomes after Hematopoietic Cell Transplantation","type":"article-journal","volume":"22"},"uris":["http://www.mendeley.com/documents/?uuid=6b2959e2-9222-42d8-bc63-29917a7dfd03"]}],"mendeley":{"formattedCitation":"(67–69)","plainTextFormattedCitation":"(67–69)","previouslyFormattedCitation":"(67–69)"},"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(67–69)</w:t>
      </w:r>
      <w:r w:rsidRPr="006720E4">
        <w:rPr>
          <w:rFonts w:cs="Calibri"/>
          <w:szCs w:val="22"/>
        </w:rPr>
        <w:fldChar w:fldCharType="end"/>
      </w:r>
      <w:r w:rsidRPr="006720E4">
        <w:rPr>
          <w:rFonts w:cs="Calibri"/>
          <w:szCs w:val="22"/>
        </w:rPr>
        <w:t xml:space="preserve"> but it is important to ensure that any guidelines or evidence-based tools used to support decision-making are critically evaluated in the light of the personal values, experiences and perspectives of the individual potential donor or recipient.</w:t>
      </w:r>
    </w:p>
    <w:p w14:paraId="50B9BEA3" w14:textId="77777777" w:rsidR="006C6EBA" w:rsidRDefault="006C6EBA" w:rsidP="00EA22AE">
      <w:pPr>
        <w:spacing w:after="120"/>
        <w:rPr>
          <w:rFonts w:ascii="Calibri" w:hAnsi="Calibri" w:cs="Calibri"/>
          <w:sz w:val="22"/>
          <w:szCs w:val="22"/>
        </w:rPr>
      </w:pPr>
      <w:r w:rsidRPr="006720E4">
        <w:rPr>
          <w:rFonts w:ascii="Calibri" w:hAnsi="Calibri" w:cs="Calibri"/>
          <w:sz w:val="22"/>
          <w:szCs w:val="22"/>
        </w:rPr>
        <w:t>Individuals are usually embedded in families and communities and have multiple relationships that shape their experience of various burdens, risks, and benefits that may be associated with donation or transplantation. Holistic assessment of risks and potential benefits of donation and transplantation requires attention to these relationships and the familial and social context of individual lives.</w:t>
      </w:r>
    </w:p>
    <w:p w14:paraId="00D3657C" w14:textId="77777777" w:rsidR="006C6EBA" w:rsidRPr="006720E4" w:rsidRDefault="006C6EBA" w:rsidP="00EA22AE">
      <w:pPr>
        <w:pStyle w:val="Heading3"/>
        <w:spacing w:after="120"/>
      </w:pPr>
      <w:bookmarkStart w:id="2335" w:name="_Promoting_objectivity_in"/>
      <w:bookmarkStart w:id="2336" w:name="_Toc79406380"/>
      <w:bookmarkStart w:id="2337" w:name="_Toc82773584"/>
      <w:bookmarkStart w:id="2338" w:name="_Toc82773937"/>
      <w:bookmarkEnd w:id="2335"/>
      <w:r w:rsidRPr="006720E4">
        <w:t>Promoting objectivity in assessment of risks and potential benefits</w:t>
      </w:r>
      <w:bookmarkEnd w:id="2336"/>
      <w:bookmarkEnd w:id="2337"/>
      <w:bookmarkEnd w:id="2338"/>
      <w:r w:rsidRPr="006720E4">
        <w:t xml:space="preserve"> </w:t>
      </w:r>
    </w:p>
    <w:p w14:paraId="48E8F999" w14:textId="62C9466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evaluation of risks and potential benefits that may be associated with donation or transplantation in particular circumstances requires assessment of relevant available evidence, and careful discussion and consideration of potential donor and/or recipient values and preferences. Such assessments are qualitative in nature and may be influenced by bias on the part of health professionals as well as patients and others who may be involved directly or indirectly in decision-making. </w:t>
      </w:r>
    </w:p>
    <w:p w14:paraId="2CBC3B3A" w14:textId="5E9F865B"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Several strategies may be helpful in reducing bias when evaluating risks and potential benefits of donation or transplantation, or in reducing the potential impact of bias on decision-making about donation or transplantation. Not all strategies may be necessary, depending on the type of transplant or donation, and the circumstances of the prospective donor or transplant recipient.</w:t>
      </w:r>
    </w:p>
    <w:p w14:paraId="4C38DA70" w14:textId="77777777" w:rsidR="006C6EBA" w:rsidRPr="006720E4" w:rsidRDefault="006C6EBA" w:rsidP="00EA22AE">
      <w:pPr>
        <w:pStyle w:val="Bullet"/>
        <w:spacing w:after="120"/>
        <w:ind w:left="362"/>
        <w:contextualSpacing w:val="0"/>
        <w:rPr>
          <w:rFonts w:cs="Calibri"/>
          <w:szCs w:val="22"/>
        </w:rPr>
      </w:pPr>
      <w:r w:rsidRPr="006720E4">
        <w:rPr>
          <w:rFonts w:cs="Calibri"/>
          <w:szCs w:val="22"/>
        </w:rPr>
        <w:t>Routine and consistent implementation of up-to-date, evidence-based guidelines for evaluation of prospective transplant recipients and potential living or deceased donors.</w:t>
      </w:r>
    </w:p>
    <w:p w14:paraId="3C20E7A2" w14:textId="77777777" w:rsidR="006C6EBA" w:rsidRPr="006720E4" w:rsidRDefault="006C6EBA" w:rsidP="00EA22AE">
      <w:pPr>
        <w:pStyle w:val="Bullet"/>
        <w:spacing w:after="120"/>
        <w:ind w:left="362"/>
        <w:contextualSpacing w:val="0"/>
        <w:rPr>
          <w:rFonts w:cs="Calibri"/>
          <w:szCs w:val="22"/>
        </w:rPr>
      </w:pPr>
      <w:r w:rsidRPr="006720E4">
        <w:rPr>
          <w:rFonts w:cs="Calibri"/>
          <w:szCs w:val="22"/>
        </w:rPr>
        <w:t>Use of trained and experienced health professionals in a multidisciplinary team for evaluation of prospective donors and recipients.</w:t>
      </w:r>
    </w:p>
    <w:p w14:paraId="55630FBC" w14:textId="4775E2CC" w:rsidR="006C6EBA" w:rsidRPr="006720E4" w:rsidRDefault="006C6EBA" w:rsidP="00EA22AE">
      <w:pPr>
        <w:pStyle w:val="Bullet"/>
        <w:spacing w:after="120"/>
        <w:ind w:left="362"/>
        <w:contextualSpacing w:val="0"/>
        <w:rPr>
          <w:rFonts w:cs="Calibri"/>
          <w:szCs w:val="22"/>
        </w:rPr>
      </w:pPr>
      <w:r w:rsidRPr="006720E4">
        <w:rPr>
          <w:rFonts w:cs="Calibri"/>
          <w:szCs w:val="22"/>
        </w:rPr>
        <w:t xml:space="preserve">Use of an </w:t>
      </w:r>
      <w:hyperlink w:anchor="_The_role_of" w:history="1">
        <w:r w:rsidRPr="006720E4">
          <w:rPr>
            <w:rStyle w:val="Hyperlink"/>
            <w:rFonts w:cs="Calibri"/>
            <w:szCs w:val="22"/>
          </w:rPr>
          <w:t>advocate</w:t>
        </w:r>
      </w:hyperlink>
      <w:r w:rsidRPr="006720E4">
        <w:rPr>
          <w:rFonts w:cs="Calibri"/>
          <w:szCs w:val="22"/>
        </w:rPr>
        <w:t xml:space="preserve"> who is independent of the evaluation </w:t>
      </w:r>
      <w:r w:rsidRPr="00CB5556">
        <w:rPr>
          <w:rFonts w:cs="Calibri"/>
          <w:szCs w:val="22"/>
        </w:rPr>
        <w:t xml:space="preserve">team (see </w:t>
      </w:r>
      <w:hyperlink w:anchor="_The_role_of" w:history="1">
        <w:r w:rsidRPr="00CB5556">
          <w:rPr>
            <w:rStyle w:val="Hyperlink"/>
            <w:rFonts w:cs="Calibri"/>
            <w:szCs w:val="22"/>
          </w:rPr>
          <w:t xml:space="preserve">Chapter </w:t>
        </w:r>
        <w:r w:rsidR="008C34FF" w:rsidRPr="00CB5556">
          <w:rPr>
            <w:rStyle w:val="Hyperlink"/>
            <w:rFonts w:cs="Calibri"/>
            <w:szCs w:val="22"/>
          </w:rPr>
          <w:t>3</w:t>
        </w:r>
        <w:r w:rsidRPr="00CB5556">
          <w:rPr>
            <w:rStyle w:val="Hyperlink"/>
            <w:rFonts w:cs="Calibri"/>
            <w:szCs w:val="22"/>
          </w:rPr>
          <w:t>.</w:t>
        </w:r>
        <w:r w:rsidR="00CB5556" w:rsidRPr="00CB5556">
          <w:rPr>
            <w:rStyle w:val="Hyperlink"/>
            <w:rFonts w:cs="Calibri"/>
            <w:szCs w:val="22"/>
          </w:rPr>
          <w:t>4</w:t>
        </w:r>
        <w:r w:rsidRPr="00CB5556">
          <w:rPr>
            <w:rStyle w:val="Hyperlink"/>
            <w:rFonts w:cs="Calibri"/>
            <w:szCs w:val="22"/>
          </w:rPr>
          <w:t>.5</w:t>
        </w:r>
      </w:hyperlink>
      <w:r w:rsidRPr="00CB5556">
        <w:rPr>
          <w:rFonts w:cs="Calibri"/>
          <w:szCs w:val="22"/>
        </w:rPr>
        <w:t>).</w:t>
      </w:r>
    </w:p>
    <w:p w14:paraId="545F8FFD" w14:textId="77777777" w:rsidR="006C6EBA" w:rsidRPr="006720E4" w:rsidRDefault="006C6EBA" w:rsidP="00EA22AE">
      <w:pPr>
        <w:pStyle w:val="Bullet"/>
        <w:spacing w:after="120"/>
        <w:ind w:left="362"/>
        <w:contextualSpacing w:val="0"/>
        <w:rPr>
          <w:rFonts w:cs="Calibri"/>
          <w:szCs w:val="22"/>
        </w:rPr>
      </w:pPr>
      <w:r w:rsidRPr="006720E4">
        <w:rPr>
          <w:rFonts w:cs="Calibri"/>
          <w:szCs w:val="22"/>
        </w:rPr>
        <w:t>Routine consultation of or referral to additional physicians or surgeons when disagreements regarding the acceptability of risks and benefits are based on qualitative judgements or concerns about relative contraindications rather than absolute clinical exclusion criteria.</w:t>
      </w:r>
    </w:p>
    <w:p w14:paraId="7123BDF1" w14:textId="723B737C" w:rsidR="006C6EBA" w:rsidRPr="006720E4" w:rsidRDefault="006C6EBA" w:rsidP="00EA22AE">
      <w:pPr>
        <w:pStyle w:val="Bullet"/>
        <w:spacing w:after="120"/>
        <w:ind w:left="362"/>
        <w:contextualSpacing w:val="0"/>
        <w:rPr>
          <w:rFonts w:cs="Calibri"/>
          <w:szCs w:val="22"/>
        </w:rPr>
      </w:pPr>
      <w:r w:rsidRPr="006720E4">
        <w:rPr>
          <w:rFonts w:cs="Calibri"/>
        </w:rPr>
        <w:t>Routine auditing of decision-making regarding acceptance or refusal of prospective transplant recipients or donors and evaluation of outcomes to identify and address potential sources of bias and inform guidelines and future decision-making.</w:t>
      </w:r>
    </w:p>
    <w:p w14:paraId="033AA903" w14:textId="77777777" w:rsidR="006C6EBA" w:rsidRPr="006720E4" w:rsidRDefault="006C6EBA" w:rsidP="00EA22AE">
      <w:pPr>
        <w:pStyle w:val="Bullet"/>
        <w:spacing w:after="120"/>
        <w:ind w:left="362"/>
        <w:contextualSpacing w:val="0"/>
        <w:rPr>
          <w:rFonts w:cs="Calibri"/>
          <w:szCs w:val="22"/>
        </w:rPr>
      </w:pPr>
      <w:r w:rsidRPr="006720E4">
        <w:rPr>
          <w:rFonts w:cs="Calibri"/>
          <w:szCs w:val="22"/>
        </w:rPr>
        <w:t>Routine provision of information to patients on how to access an independent professional opinion.</w:t>
      </w:r>
    </w:p>
    <w:p w14:paraId="7C727F46" w14:textId="12C6B341" w:rsidR="006C6EBA" w:rsidRPr="006720E4" w:rsidRDefault="006C6EBA" w:rsidP="00EA22AE">
      <w:pPr>
        <w:pStyle w:val="Bullet"/>
        <w:numPr>
          <w:ilvl w:val="0"/>
          <w:numId w:val="0"/>
        </w:numPr>
        <w:spacing w:after="120"/>
        <w:contextualSpacing w:val="0"/>
        <w:rPr>
          <w:rFonts w:cs="Calibri"/>
          <w:szCs w:val="22"/>
        </w:rPr>
      </w:pPr>
      <w:r w:rsidRPr="006720E4">
        <w:rPr>
          <w:rFonts w:cs="Calibri"/>
        </w:rPr>
        <w:t>Evaluation of risks and potential benefits may be more difficult when there is limited evidence available to inform assessment of specific types of outcomes. This may be because research is lacking, such as research evaluating the longer-term psychosocial impact of being declined as a living directed donor. Or because existing evidence is based on research in specific populations who may not be representative of some prospective donors or transplant recipients.</w:t>
      </w:r>
      <w:r w:rsidRPr="006720E4">
        <w:rPr>
          <w:rFonts w:cs="Calibri"/>
        </w:rPr>
        <w:fldChar w:fldCharType="begin" w:fldLock="1"/>
      </w:r>
      <w:r w:rsidR="00EB088B">
        <w:rPr>
          <w:rFonts w:cs="Calibri"/>
        </w:rPr>
        <w:instrText>ADDIN CSL_CITATION {"citationItems":[{"id":"ITEM-1","itemData":{"DOI":"10.1016/S0140-6736(14)62484-3","ISSN":"1474547X","PMID":"26090646","abstract":"Since the first living-donor kidney transplantation in 1954, more than half a million living kidney donations have occurred and research has advanced knowledge about long-term donor outcomes. Donors in developed countries have a similar life expectancy and quality of life as healthy non-donors. Living kidney donation is associated with an increased risk of end-stage renal disease, although this outcome is uncommon (&lt;0·5% increase in incidence at 15 years). Kidney donation seems to elevate the risks of gestational hypertension and pre-eclampsia. Many donors incur financial expenses due to factors such as lost wages, need for sick days, and travel expenses. Yet, most donors have no regrets about donation. Living kidney donation is practised ethically when informed consent incorporates information about risks, uncertainty about outcomes is acknowledged when it exists, and a donor's risks are proportional to benefits for the donor and recipient. Future research should determine whether outcomes are similar for donors from developing countries and donors with pre-existing conditions such as obesity.","author":[{"dropping-particle":"","family":"Reese","given":"Peter P.","non-dropping-particle":"","parse-names":false,"suffix":""},{"dropping-particle":"","family":"Boudville","given":"Neil","non-dropping-particle":"","parse-names":false,"suffix":""},{"dropping-particle":"","family":"Garg","given":"Amit X.","non-dropping-particle":"","parse-names":false,"suffix":""}],"container-title":"The Lancet","id":"ITEM-1","issue":"9981","issued":{"date-parts":[["2015"]]},"page":"2003-2013","publisher":"Elsevier Ltd","title":"Living kidney donation: Outcomes, ethics, and uncertainty","type":"article-journal","volume":"385"},"uris":["http://www.mendeley.com/documents/?uuid=8b3f5cfa-60de-4dd8-98fc-b38dc6325265"]}],"mendeley":{"formattedCitation":"(70)","plainTextFormattedCitation":"(70)","previouslyFormattedCitation":"(70)"},"properties":{"noteIndex":0},"schema":"https://github.com/citation-style-language/schema/raw/master/csl-citation.json"}</w:instrText>
      </w:r>
      <w:r w:rsidRPr="006720E4">
        <w:rPr>
          <w:rFonts w:cs="Calibri"/>
        </w:rPr>
        <w:fldChar w:fldCharType="separate"/>
      </w:r>
      <w:r w:rsidR="00BA3D76" w:rsidRPr="00BA3D76">
        <w:rPr>
          <w:rFonts w:cs="Calibri"/>
          <w:noProof/>
        </w:rPr>
        <w:t>(70)</w:t>
      </w:r>
      <w:r w:rsidRPr="006720E4">
        <w:rPr>
          <w:rFonts w:cs="Calibri"/>
        </w:rPr>
        <w:fldChar w:fldCharType="end"/>
      </w:r>
      <w:r w:rsidRPr="006720E4">
        <w:rPr>
          <w:rFonts w:cs="Calibri"/>
        </w:rPr>
        <w:t xml:space="preserve"> The limitations of the </w:t>
      </w:r>
      <w:r w:rsidRPr="006720E4">
        <w:rPr>
          <w:rFonts w:cs="Calibri"/>
        </w:rPr>
        <w:lastRenderedPageBreak/>
        <w:t xml:space="preserve">available evidence and the implications of these for assessment of risks and potential benefits should be routinely disclosed and considered carefully in decision-making. </w:t>
      </w:r>
    </w:p>
    <w:p w14:paraId="4F89A08F" w14:textId="0578C97D" w:rsidR="006C6EBA" w:rsidRPr="006720E4" w:rsidRDefault="006C6EBA" w:rsidP="00EA22AE">
      <w:pPr>
        <w:pStyle w:val="Heading3"/>
        <w:spacing w:after="120"/>
      </w:pPr>
      <w:bookmarkStart w:id="2339" w:name="_Psychosocial_evaluation_of_1"/>
      <w:bookmarkStart w:id="2340" w:name="_Psychosocial_evaluation_of"/>
      <w:bookmarkStart w:id="2341" w:name="_Toc70414862"/>
      <w:bookmarkStart w:id="2342" w:name="_Toc70844185"/>
      <w:bookmarkStart w:id="2343" w:name="_Toc72615117"/>
      <w:bookmarkStart w:id="2344" w:name="_Toc73129840"/>
      <w:bookmarkStart w:id="2345" w:name="_Toc73301709"/>
      <w:bookmarkStart w:id="2346" w:name="_Toc73302215"/>
      <w:bookmarkStart w:id="2347" w:name="_Toc73303348"/>
      <w:bookmarkStart w:id="2348" w:name="_Toc73303587"/>
      <w:bookmarkStart w:id="2349" w:name="_Toc74080704"/>
      <w:bookmarkStart w:id="2350" w:name="_Toc74081012"/>
      <w:bookmarkStart w:id="2351" w:name="_Toc74081242"/>
      <w:bookmarkStart w:id="2352" w:name="_Toc74081493"/>
      <w:bookmarkStart w:id="2353" w:name="_Toc74171073"/>
      <w:bookmarkStart w:id="2354" w:name="_Toc74172270"/>
      <w:bookmarkStart w:id="2355" w:name="_Toc74172806"/>
      <w:bookmarkStart w:id="2356" w:name="_Toc74238747"/>
      <w:bookmarkStart w:id="2357" w:name="_Toc79406381"/>
      <w:bookmarkStart w:id="2358" w:name="_Toc82773585"/>
      <w:bookmarkStart w:id="2359" w:name="_Toc82773938"/>
      <w:bookmarkEnd w:id="2339"/>
      <w:bookmarkEnd w:id="2340"/>
      <w:r w:rsidRPr="006720E4">
        <w:t>Psychosocial evaluation of prospective living donors and transplant recipients</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6DE16FBA" w14:textId="0E0CC6B8"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Psychosocial evaluation of prospective living donors and transplant recipients can help to inform evaluation of potential psychosocial benefits and risks as well as management of risks and care of donors and recipients. </w:t>
      </w:r>
    </w:p>
    <w:p w14:paraId="7C883458" w14:textId="1B304674"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Robust psychosocial evaluation should be routinely included in evaluation of all prospective living donors and recipients of HSCs and organs, although the timing and components of psychosocial evaluation may vary according to the relevant clinical and social context. Specific clinical guidelines establishing evidence-based standards for psychosocial evaluation in specific contexts should be developed and routinely implemented.</w:t>
      </w:r>
    </w:p>
    <w:p w14:paraId="104D04E4" w14:textId="260BA02A"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Psychosocial evaluation can help to identify factors that may influence decision-making or undermine capacity or voluntariness of decision-makers, for example by detecting factors that may make potential living donors vulnerable to coercion or manipulation. It also helps to ensure that prospective transplant recipients are psychologically prepared and supported to manage the impact of transplantation on their lives. In the case of directed donation, psychosocial evaluation of prospective donors and recipients may help to inform future management of relationships that may be impacted by the outcomes of donation and transplantation.</w:t>
      </w:r>
    </w:p>
    <w:p w14:paraId="75C1481C" w14:textId="79C8387B"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Psychosocial evaluation is also important in identifying and addressing factors that could lead to living donor attrition and facilitating timely decisions not to proceed with donation. This is particularly important when late withdrawal of consent for donation may result in harm to intended transplant recipients. Such harm may be psychological, in the form of distress or disappointed at a missed opportunity for transplantation. In the case of HSC donation, it may be fatal, if an alternative donor cannot be found for a person who has commenced </w:t>
      </w:r>
      <w:hyperlink w:anchor="_Glossary_2" w:history="1">
        <w:r w:rsidRPr="006720E4">
          <w:rPr>
            <w:rStyle w:val="Hyperlink"/>
            <w:rFonts w:cs="Calibri"/>
            <w:szCs w:val="22"/>
          </w:rPr>
          <w:t>conditioning</w:t>
        </w:r>
      </w:hyperlink>
      <w:r w:rsidRPr="006720E4">
        <w:rPr>
          <w:rFonts w:cs="Calibri"/>
          <w:szCs w:val="22"/>
        </w:rPr>
        <w:t xml:space="preserve"> for transplantation (see </w:t>
      </w:r>
      <w:hyperlink w:anchor="_Withdrawal_of_consent" w:history="1">
        <w:r w:rsidRPr="00CB5556">
          <w:rPr>
            <w:rStyle w:val="Hyperlink"/>
            <w:rFonts w:cs="Calibri"/>
            <w:szCs w:val="22"/>
          </w:rPr>
          <w:t xml:space="preserve">Chapter </w:t>
        </w:r>
        <w:r w:rsidR="00070E0E" w:rsidRPr="00CB5556">
          <w:rPr>
            <w:rStyle w:val="Hyperlink"/>
            <w:rFonts w:cs="Calibri"/>
            <w:szCs w:val="22"/>
          </w:rPr>
          <w:t>4</w:t>
        </w:r>
        <w:r w:rsidRPr="00CB5556">
          <w:rPr>
            <w:rStyle w:val="Hyperlink"/>
            <w:rFonts w:cs="Calibri"/>
            <w:szCs w:val="22"/>
          </w:rPr>
          <w:t>.1.4.1</w:t>
        </w:r>
      </w:hyperlink>
      <w:r w:rsidRPr="00CB5556">
        <w:rPr>
          <w:rFonts w:cs="Calibri"/>
          <w:szCs w:val="22"/>
        </w:rPr>
        <w:t>).</w:t>
      </w:r>
      <w:r w:rsidRPr="006720E4">
        <w:rPr>
          <w:rFonts w:cs="Calibri"/>
          <w:szCs w:val="22"/>
        </w:rPr>
        <w:t xml:space="preserve"> Determining when a prospective donor is psychosocially unsuitable to donate, or unlikely to complete donation may also help to avoid some of the costs and burdens that may be associated with medical “work up” of prospective donors who eventually decide not to donate. </w:t>
      </w:r>
    </w:p>
    <w:p w14:paraId="12F85D99" w14:textId="77777777" w:rsidR="006C6EBA" w:rsidRPr="006720E4" w:rsidRDefault="006C6EBA" w:rsidP="00EA22AE">
      <w:pPr>
        <w:pStyle w:val="Heading3"/>
        <w:spacing w:after="120"/>
      </w:pPr>
      <w:bookmarkStart w:id="2360" w:name="_Determining_proportionality_and"/>
      <w:bookmarkStart w:id="2361" w:name="_Toc70328738"/>
      <w:bookmarkStart w:id="2362" w:name="_Toc70333968"/>
      <w:bookmarkStart w:id="2363" w:name="_Toc70414869"/>
      <w:bookmarkStart w:id="2364" w:name="_Toc70844191"/>
      <w:bookmarkStart w:id="2365" w:name="_Toc70858993"/>
      <w:bookmarkStart w:id="2366" w:name="_Toc70861094"/>
      <w:bookmarkStart w:id="2367" w:name="_Toc72615119"/>
      <w:bookmarkStart w:id="2368" w:name="_Toc73129842"/>
      <w:bookmarkStart w:id="2369" w:name="_Toc73301711"/>
      <w:bookmarkStart w:id="2370" w:name="_Toc73302217"/>
      <w:bookmarkStart w:id="2371" w:name="_Toc73303350"/>
      <w:bookmarkStart w:id="2372" w:name="_Toc73303589"/>
      <w:bookmarkStart w:id="2373" w:name="_Toc74080706"/>
      <w:bookmarkStart w:id="2374" w:name="_Toc74081014"/>
      <w:bookmarkStart w:id="2375" w:name="_Toc74081244"/>
      <w:bookmarkStart w:id="2376" w:name="_Toc74081495"/>
      <w:bookmarkStart w:id="2377" w:name="_Toc74171075"/>
      <w:bookmarkStart w:id="2378" w:name="_Toc74172272"/>
      <w:bookmarkStart w:id="2379" w:name="_Toc74172808"/>
      <w:bookmarkStart w:id="2380" w:name="_Toc74238749"/>
      <w:bookmarkStart w:id="2381" w:name="_Toc79406382"/>
      <w:bookmarkStart w:id="2382" w:name="_Toc82773586"/>
      <w:bookmarkStart w:id="2383" w:name="_Toc82773939"/>
      <w:bookmarkEnd w:id="2360"/>
      <w:r w:rsidRPr="006720E4">
        <w:t>Determining proportionality and acceptability of risks and potential benefits</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14:paraId="5D2B8122" w14:textId="77777777"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Prospective transplant recipients and donors or donor families must weigh the risks and potential benefits associated with choosing transplantation or donation against the risks and potential benefits of declining transplantation or donation. For example, some organ transplant candidates may decide that, on balance, the risks and potential benefits of non-surgical treatment for their organ failure may be preferable to those associated with pursuing a transplant opportunity.</w:t>
      </w:r>
    </w:p>
    <w:p w14:paraId="6905EB49" w14:textId="77777777"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Some health professionals will be responsible for determining whether the balance of risks and potential benefits of donation or transplantation in a particular case is sufficiently acceptable, and hence whether to offer an opportunity for transplantation or donation, or whether to support donation or transplantation when this is requested. Health professionals may refuse to proceed with donation or transplantation in a particular case if they believe it will be disproportionately harmful, or insufficiently beneficial to justify proceeding with a case, even if the prospective donor or recipient is willing to proceed. In other words, health professionals may determine the limits of acceptable risk and the threshold of benefit that are required for an opportunity to be considered ethically reasonable. Within those bounds, more weight is likely to be given to the preferences of the potential donor or recipient. </w:t>
      </w:r>
    </w:p>
    <w:p w14:paraId="23204BFA" w14:textId="0BBCDFBD"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Health professionals (and </w:t>
      </w:r>
      <w:r w:rsidRPr="00CB5556">
        <w:rPr>
          <w:rFonts w:cs="Calibri"/>
          <w:szCs w:val="22"/>
        </w:rPr>
        <w:t xml:space="preserve">policy makers see </w:t>
      </w:r>
      <w:hyperlink w:anchor="_Balancing_quality_and" w:history="1">
        <w:r w:rsidRPr="00CB5556">
          <w:rPr>
            <w:rStyle w:val="Hyperlink"/>
            <w:rFonts w:cs="Calibri"/>
            <w:szCs w:val="22"/>
          </w:rPr>
          <w:t xml:space="preserve">Chapter </w:t>
        </w:r>
        <w:r w:rsidR="00070E0E" w:rsidRPr="00CB5556">
          <w:rPr>
            <w:rStyle w:val="Hyperlink"/>
            <w:rFonts w:cs="Calibri"/>
            <w:szCs w:val="22"/>
          </w:rPr>
          <w:t>6</w:t>
        </w:r>
        <w:r w:rsidRPr="00CB5556">
          <w:rPr>
            <w:rStyle w:val="Hyperlink"/>
            <w:rFonts w:cs="Calibri"/>
            <w:szCs w:val="22"/>
          </w:rPr>
          <w:t>.1.4.2</w:t>
        </w:r>
      </w:hyperlink>
      <w:r w:rsidRPr="00CB5556">
        <w:rPr>
          <w:rFonts w:cs="Calibri"/>
          <w:szCs w:val="22"/>
        </w:rPr>
        <w:t>) should recognize</w:t>
      </w:r>
      <w:r w:rsidRPr="006720E4">
        <w:rPr>
          <w:rFonts w:cs="Calibri"/>
          <w:szCs w:val="22"/>
        </w:rPr>
        <w:t xml:space="preserve"> that decisions regarding acceptable risk thresholds and proportionality of potential benefits and risk are inherently normative. This means, for example, that in some cases there may be valid clinical disagreement </w:t>
      </w:r>
      <w:r w:rsidRPr="006720E4">
        <w:rPr>
          <w:rFonts w:cs="Calibri"/>
          <w:szCs w:val="22"/>
        </w:rPr>
        <w:lastRenderedPageBreak/>
        <w:t xml:space="preserve">regarding the level of acceptable risk. There may also be explicitly clinical disagreement regarding the probability of specific harms occurring or specific benefits being achieved if donation or transplantation proceeds. Care should be taken to avoid paternalism in decision-making (see </w:t>
      </w:r>
      <w:hyperlink w:anchor="_Limits_of_risk" w:history="1">
        <w:r w:rsidRPr="007C5159">
          <w:rPr>
            <w:rStyle w:val="Hyperlink"/>
            <w:rFonts w:cs="Calibri"/>
            <w:szCs w:val="22"/>
          </w:rPr>
          <w:t xml:space="preserve">Chapter </w:t>
        </w:r>
        <w:r w:rsidR="00070E0E" w:rsidRPr="007C5159">
          <w:rPr>
            <w:rStyle w:val="Hyperlink"/>
            <w:rFonts w:cs="Calibri"/>
            <w:szCs w:val="22"/>
          </w:rPr>
          <w:t>6</w:t>
        </w:r>
        <w:r w:rsidRPr="007C5159">
          <w:rPr>
            <w:rStyle w:val="Hyperlink"/>
            <w:rFonts w:cs="Calibri"/>
            <w:szCs w:val="22"/>
          </w:rPr>
          <w:t>.1.4.1</w:t>
        </w:r>
      </w:hyperlink>
      <w:r w:rsidRPr="007C5159">
        <w:rPr>
          <w:rFonts w:cs="Calibri"/>
          <w:szCs w:val="22"/>
        </w:rPr>
        <w:t>) and</w:t>
      </w:r>
      <w:r w:rsidRPr="006720E4">
        <w:rPr>
          <w:rFonts w:cs="Calibri"/>
          <w:szCs w:val="22"/>
        </w:rPr>
        <w:t xml:space="preserve"> to support patients and their families in accessing secondary sources of information or advice.</w:t>
      </w:r>
      <w:r w:rsidRPr="006720E4">
        <w:rPr>
          <w:rFonts w:cs="Calibri"/>
          <w:szCs w:val="22"/>
        </w:rPr>
        <w:fldChar w:fldCharType="begin" w:fldLock="1"/>
      </w:r>
      <w:r w:rsidR="00EB088B">
        <w:rPr>
          <w:rFonts w:cs="Calibri"/>
          <w:szCs w:val="22"/>
        </w:rPr>
        <w:instrText>ADDIN CSL_CITATION {"citationItems":[{"id":"ITEM-1","itemData":{"abstract":"Australian Health Practitioner Regulation Agency","author":[{"dropping-particle":"","family":"Medical Board of Australia","given":"(MBA)","non-dropping-particle":"","parse-names":false,"suffix":""}],"id":"ITEM-1","issue":"October","issued":{"date-parts":[["2020"]]},"title":"Good Medical Practice: A Code of Conduct for Doctors in Australia","type":"report"},"uris":["http://www.mendeley.com/documents/?uuid=8724ae4b-ea8f-4948-8468-c57db68b0066"]}],"mendeley":{"formattedCitation":"(46)","plainTextFormattedCitation":"(46)","previouslyFormattedCitation":"(46)"},"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(46)</w:t>
      </w:r>
      <w:r w:rsidRPr="006720E4">
        <w:rPr>
          <w:rFonts w:cs="Calibri"/>
          <w:szCs w:val="22"/>
        </w:rPr>
        <w:fldChar w:fldCharType="end"/>
      </w:r>
    </w:p>
    <w:p w14:paraId="290F8459" w14:textId="3233B5E9" w:rsidR="006C6EBA" w:rsidRPr="006720E4" w:rsidRDefault="006C6EBA" w:rsidP="00EA22AE">
      <w:pPr>
        <w:pStyle w:val="Heading4"/>
        <w:spacing w:after="120"/>
      </w:pPr>
      <w:bookmarkStart w:id="2384" w:name="_Limits_of_risk"/>
      <w:bookmarkStart w:id="2385" w:name="_Toc82773587"/>
      <w:bookmarkStart w:id="2386" w:name="_Toc82773940"/>
      <w:bookmarkEnd w:id="2384"/>
      <w:r w:rsidRPr="006720E4">
        <w:t>Limits of risk acceptance and concerns about paternalism</w:t>
      </w:r>
      <w:bookmarkEnd w:id="2385"/>
      <w:bookmarkEnd w:id="2386"/>
    </w:p>
    <w:p w14:paraId="53550B98" w14:textId="58ECB39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While an individual has a right to make informed choices about the risks they may assume in their own life, this does not mean that a health professional has an unrestricted obligation to perform clinical interventions at an individual’s request irrespective of the risks and benefits involved. Nor are people entitled to claim access to a therapy or intervention that is not clinically indicated</w:t>
      </w:r>
      <w:r w:rsidR="00823A54">
        <w:rPr>
          <w:rFonts w:ascii="Calibri" w:hAnsi="Calibri" w:cs="Calibri"/>
          <w:sz w:val="22"/>
          <w:szCs w:val="22"/>
        </w:rPr>
        <w:t xml:space="preserve"> (see </w:t>
      </w:r>
      <w:r w:rsidR="00823A54">
        <w:rPr>
          <w:rStyle w:val="Hyperlink"/>
          <w:rFonts w:ascii="Calibri" w:hAnsi="Calibri" w:cs="Calibri"/>
          <w:sz w:val="22"/>
          <w:szCs w:val="22"/>
          <w:highlight w:val="yellow"/>
        </w:rPr>
        <w:t xml:space="preserve"> </w:t>
      </w:r>
      <w:hyperlink w:anchor="_Misconceptions_regarding_the" w:history="1">
        <w:r w:rsidR="00823A54" w:rsidRPr="00823A54">
          <w:rPr>
            <w:rStyle w:val="Hyperlink"/>
            <w:rFonts w:ascii="Calibri" w:hAnsi="Calibri" w:cs="Calibri"/>
            <w:sz w:val="22"/>
            <w:szCs w:val="22"/>
          </w:rPr>
          <w:t>Chapter 3.2.1.3</w:t>
        </w:r>
      </w:hyperlink>
      <w:r w:rsidRPr="00823A54">
        <w:rPr>
          <w:rFonts w:ascii="Calibri" w:hAnsi="Calibri" w:cs="Calibri"/>
          <w:sz w:val="22"/>
          <w:szCs w:val="22"/>
        </w:rPr>
        <w:t>).</w:t>
      </w:r>
    </w:p>
    <w:p w14:paraId="00AAA814" w14:textId="6913B1C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Health professionals generally have a duty of care that, coupled with their duty of nonmaleficence, means they should only perform interventions when these are clinically necessary and when the expected risks and benefits are proportionate.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{"citationItems":[{"id":"ITEM-1","itemData":{"abstract":"Australian Health Practitioner Regulation Agency","author":[{"dropping-particle":"","family":"Medical Board of Australia","given":"(MBA)","non-dropping-particle":"","parse-names":false,"suffix":""}],"id":"ITEM-1","issue":"October","issued":{"date-parts":[["2020"]]},"title":"Good Medical Practice: A Code of Conduct for Doctors in Australia","type":"report"},"uris":["http://www.mendeley.com/documents/?uuid=8724ae4b-ea8f-4948-8468-c57db68b0066"]},{"id":"ITEM-2","itemData":{"ISBN":"9056328697","abstract":"Members are advised of the importance of seeking the advice of colleagues should they be facing difficult ethical situations.","author":[{"dropping-particle":"","family":"Australian Medical Association (AMA)","given":"","non-dropping-particle":"","parse-names":false,"suffix":""}],"container-title":"Australian Medical Association","id":"ITEM-2","issued":{"date-parts":[["2016"]]},"title":"AMA Code of Ethics 2004. Editorially revised 2006. Revised 2016.","type":"report"},"uris":["http://www.mendeley.com/documents/?uuid=40db518f-c586-4171-87e9-4b1fb02c05be"]},{"id":"ITEM-3","itemData":{"URL":"https://ama.com.au/position-statement/position-statement-end-life-care-and-advance-care-planning-2014","abstract":"1 Preamble 1.1 The primary role of the doctor (medical practitioner) in end of life care is to facilitate the provision of good quality patient-centred care that emphasises continuous, open, informed communication and collaboration between the patient, the health care team, and, where appropriate, the patient's carers, family members and/or substitute decision-maker. 1.2 Good quality end of life care should: 1.2.1 ensure the patient is always treated as an individual, with respect, dignity and compassion in a culturally sensitive manner; 1.2.2 endeavour to meet the patient's care needs and uphold their care preferences which should guide decision-making and planning; 1.2.3 strive to ensure that the patient is free from suffering; 1.2.4 endeavour to facilitate care in the patient's environment of choice, where practical, recognising that a patient's health care needs may change in the course of their condition; 1.2.5 ensure that the patient's goals and values for end of life care are respected; 1.2.6 respect the patient's privacy and confidentiality, even after death; 1.2.7 support not only the physical needs of the patient but also the psychological, emotional, religious and spiritual needs of the patient and their family members and carers; 1.2.8 empower patients and, where appropriate, their family members and carers to participate in managing their treatment; 1.2.9 provide counselling and other support to patients, their family members and carers throughout the patient's condition, including support for family members and carers beyond the patient's death; 1.2.10 ensure patients and their family members and carers have access to good quality palliative care resources such as educational materials as well as physical aids in a timely, easily accessible and coordinated manner; 1.2.11 recognise the role of doctors, allied health care professionals, carers and the wider community in working together to meet the needs of patients; 1 1.2.12 facilitate continuity and coordination of care within and between medical, health and community services including when the patient transitions from medical care that is primarily focussed on curative treatments to care that is focussed on palliative treatments. 1.3 Death, dying and bereavement are all an integral part of life; however, reflecting on and discussing death can be profoundly confronting and difficult. Open and frank discussion of death and dying including end of life care options, approach to futile treatm…","author":[{"dropping-particle":"","family":"Australian Medical Association (AMA)","given":"","non-dropping-particle":"","parse-names":false,"suffix":""}],"id":"ITEM-3","issued":{"date-parts":[["2014"]]},"title":"Position Statement on End of Life Care and Advance Care Planning 2014","type":"webpage"},"uris":["http://www.mendeley.com/documents/?uuid=373effd6-50c2-48da-a2bd-7229ef81da2c"]}],"mendeley":{"formattedCitation":"(46,71,72)","plainTextFormattedCitation":"(46,71,72)","previouslyFormattedCitation":"(46,71,72)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(46,71,72)</w:t>
      </w:r>
      <w:r w:rsidRPr="006720E4">
        <w:rPr>
          <w:rFonts w:ascii="Calibri" w:hAnsi="Calibri" w:cs="Calibri"/>
          <w:sz w:val="22"/>
          <w:szCs w:val="22"/>
        </w:rPr>
        <w:fldChar w:fldCharType="end"/>
      </w:r>
      <w:r w:rsidRPr="006720E4">
        <w:rPr>
          <w:rFonts w:ascii="Calibri" w:hAnsi="Calibri" w:cs="Calibri"/>
          <w:sz w:val="22"/>
          <w:szCs w:val="22"/>
        </w:rPr>
        <w:t xml:space="preserve"> </w:t>
      </w:r>
      <w:r w:rsidR="00CD249E">
        <w:rPr>
          <w:rFonts w:ascii="Calibri" w:hAnsi="Calibri" w:cs="Calibri"/>
          <w:sz w:val="22"/>
          <w:szCs w:val="22"/>
        </w:rPr>
        <w:t xml:space="preserve">(See </w:t>
      </w:r>
      <w:hyperlink w:anchor="_Duty_of_care" w:history="1">
        <w:r w:rsidR="00630779" w:rsidRPr="006720E4">
          <w:rPr>
            <w:rStyle w:val="Hyperlink"/>
            <w:rFonts w:ascii="Calibri" w:hAnsi="Calibri" w:cs="Calibri"/>
            <w:sz w:val="22"/>
            <w:szCs w:val="22"/>
          </w:rPr>
          <w:t>Chapter 3.3.4.1</w:t>
        </w:r>
      </w:hyperlink>
      <w:r w:rsidR="00CD249E">
        <w:rPr>
          <w:rFonts w:ascii="Calibri" w:hAnsi="Calibri" w:cs="Calibri"/>
          <w:sz w:val="22"/>
          <w:szCs w:val="22"/>
        </w:rPr>
        <w:t>)</w:t>
      </w:r>
      <w:r w:rsidR="00630779">
        <w:rPr>
          <w:rFonts w:ascii="Calibri" w:hAnsi="Calibri" w:cs="Calibri"/>
          <w:sz w:val="22"/>
          <w:szCs w:val="22"/>
        </w:rPr>
        <w:t>.</w:t>
      </w:r>
    </w:p>
    <w:p w14:paraId="2DFEC349" w14:textId="4A526AA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On the other hand, health professionals must strive to avoid paternalistic decision-making, in which their own personal beliefs regarding the proportionality of risks and potential benefits in a particular case are valued over those of the individual patient who is best placed to evaluate this in the light of their personal values and preferences. The strategies </w:t>
      </w:r>
      <w:r w:rsidRPr="009B495F">
        <w:rPr>
          <w:rFonts w:ascii="Calibri" w:hAnsi="Calibri" w:cs="Calibri"/>
          <w:sz w:val="22"/>
          <w:szCs w:val="22"/>
        </w:rPr>
        <w:t xml:space="preserve">outlined in </w:t>
      </w:r>
      <w:hyperlink w:anchor="_Promoting_objectivity_in" w:history="1">
        <w:r w:rsidRPr="009B495F">
          <w:rPr>
            <w:rStyle w:val="Hyperlink"/>
            <w:rFonts w:ascii="Calibri" w:hAnsi="Calibri" w:cs="Calibri"/>
            <w:sz w:val="22"/>
            <w:szCs w:val="22"/>
          </w:rPr>
          <w:t xml:space="preserve">Chapter </w:t>
        </w:r>
        <w:r w:rsidR="00070E0E" w:rsidRPr="009B495F">
          <w:rPr>
            <w:rStyle w:val="Hyperlink"/>
            <w:rFonts w:ascii="Calibri" w:hAnsi="Calibri" w:cs="Calibri"/>
            <w:sz w:val="22"/>
            <w:szCs w:val="22"/>
          </w:rPr>
          <w:t>6</w:t>
        </w:r>
        <w:r w:rsidRPr="009B495F">
          <w:rPr>
            <w:rStyle w:val="Hyperlink"/>
            <w:rFonts w:ascii="Calibri" w:hAnsi="Calibri" w:cs="Calibri"/>
            <w:sz w:val="22"/>
            <w:szCs w:val="22"/>
          </w:rPr>
          <w:t>.1.2</w:t>
        </w:r>
      </w:hyperlink>
      <w:r w:rsidRPr="009B495F">
        <w:rPr>
          <w:rFonts w:ascii="Calibri" w:hAnsi="Calibri" w:cs="Calibri"/>
          <w:sz w:val="22"/>
          <w:szCs w:val="22"/>
        </w:rPr>
        <w:t xml:space="preserve"> may be h</w:t>
      </w:r>
      <w:r w:rsidRPr="006720E4">
        <w:rPr>
          <w:rFonts w:ascii="Calibri" w:hAnsi="Calibri" w:cs="Calibri"/>
          <w:sz w:val="22"/>
          <w:szCs w:val="22"/>
        </w:rPr>
        <w:t>elpful in mitigating the risk of paternalism.</w:t>
      </w:r>
    </w:p>
    <w:p w14:paraId="21968DF5" w14:textId="6373BA9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Health professionals and others may be more inclined to act paternalistically or have a lower threshold for risk acceptance when providing care or making decisions about donation or transplantation on behalf of particular groups. This is especially the case when potential donors are unable to participate fully in decision-making, such as children and adults who lack decision-making </w:t>
      </w:r>
      <w:r w:rsidRPr="00CD249E">
        <w:rPr>
          <w:rFonts w:ascii="Calibri" w:hAnsi="Calibri" w:cs="Calibri"/>
          <w:sz w:val="22"/>
          <w:szCs w:val="22"/>
        </w:rPr>
        <w:t xml:space="preserve">capacity (see </w:t>
      </w:r>
      <w:hyperlink w:anchor="_Living_donation_by" w:history="1">
        <w:r w:rsidRPr="00CD249E">
          <w:rPr>
            <w:rStyle w:val="Hyperlink"/>
            <w:rFonts w:ascii="Calibri" w:hAnsi="Calibri" w:cs="Calibri"/>
            <w:sz w:val="22"/>
            <w:szCs w:val="22"/>
          </w:rPr>
          <w:t xml:space="preserve">Chapter </w:t>
        </w:r>
        <w:r w:rsidR="008C34FF" w:rsidRPr="00CD249E">
          <w:rPr>
            <w:rStyle w:val="Hyperlink"/>
            <w:rFonts w:ascii="Calibri" w:hAnsi="Calibri" w:cs="Calibri"/>
            <w:sz w:val="22"/>
            <w:szCs w:val="22"/>
          </w:rPr>
          <w:t>5</w:t>
        </w:r>
        <w:r w:rsidRPr="00CD249E">
          <w:rPr>
            <w:rStyle w:val="Hyperlink"/>
            <w:rFonts w:ascii="Calibri" w:hAnsi="Calibri" w:cs="Calibri"/>
            <w:sz w:val="22"/>
            <w:szCs w:val="22"/>
          </w:rPr>
          <w:t>.5</w:t>
        </w:r>
      </w:hyperlink>
      <w:r w:rsidRPr="00CD249E">
        <w:rPr>
          <w:rFonts w:ascii="Calibri" w:hAnsi="Calibri" w:cs="Calibri"/>
          <w:sz w:val="22"/>
          <w:szCs w:val="22"/>
        </w:rPr>
        <w:t>)</w:t>
      </w:r>
      <w:r w:rsidRPr="00CD249E">
        <w:rPr>
          <w:rStyle w:val="Hyperlink"/>
          <w:rFonts w:ascii="Calibri" w:hAnsi="Calibri" w:cs="Calibri"/>
          <w:sz w:val="22"/>
          <w:szCs w:val="22"/>
        </w:rPr>
        <w:t>.</w:t>
      </w:r>
      <w:r w:rsidRPr="00CD249E">
        <w:rPr>
          <w:rFonts w:ascii="Calibri" w:hAnsi="Calibri" w:cs="Calibri"/>
          <w:sz w:val="22"/>
          <w:szCs w:val="22"/>
        </w:rPr>
        <w:t xml:space="preserve"> Living</w:t>
      </w:r>
      <w:r w:rsidRPr="006720E4">
        <w:rPr>
          <w:rFonts w:ascii="Calibri" w:hAnsi="Calibri" w:cs="Calibri"/>
          <w:sz w:val="22"/>
          <w:szCs w:val="22"/>
        </w:rPr>
        <w:t xml:space="preserve"> organ donors also raise particular concerns given the magnitude of risks that may be associated with living kidney or liver </w:t>
      </w:r>
      <w:r w:rsidRPr="00CD249E">
        <w:rPr>
          <w:rFonts w:ascii="Calibri" w:hAnsi="Calibri" w:cs="Calibri"/>
          <w:sz w:val="22"/>
          <w:szCs w:val="22"/>
        </w:rPr>
        <w:t xml:space="preserve">donation (see </w:t>
      </w:r>
      <w:hyperlink w:anchor="_Risk_acceptance_in" w:history="1">
        <w:r w:rsidRPr="00CD249E">
          <w:rPr>
            <w:rStyle w:val="Hyperlink"/>
            <w:rFonts w:ascii="Calibri" w:hAnsi="Calibri" w:cs="Calibri"/>
            <w:sz w:val="22"/>
            <w:szCs w:val="22"/>
          </w:rPr>
          <w:t xml:space="preserve">Chapter </w:t>
        </w:r>
        <w:r w:rsidR="008C34FF" w:rsidRPr="00CD249E">
          <w:rPr>
            <w:rStyle w:val="Hyperlink"/>
            <w:rFonts w:ascii="Calibri" w:hAnsi="Calibri" w:cs="Calibri"/>
            <w:sz w:val="22"/>
            <w:szCs w:val="22"/>
          </w:rPr>
          <w:t>6</w:t>
        </w:r>
        <w:r w:rsidRPr="00CD249E">
          <w:rPr>
            <w:rStyle w:val="Hyperlink"/>
            <w:rFonts w:ascii="Calibri" w:hAnsi="Calibri" w:cs="Calibri"/>
            <w:sz w:val="22"/>
            <w:szCs w:val="22"/>
          </w:rPr>
          <w:t>.3</w:t>
        </w:r>
      </w:hyperlink>
      <w:r w:rsidRPr="00CD249E">
        <w:rPr>
          <w:rFonts w:ascii="Calibri" w:hAnsi="Calibri" w:cs="Calibri"/>
          <w:sz w:val="22"/>
          <w:szCs w:val="22"/>
        </w:rPr>
        <w:t>)</w:t>
      </w:r>
      <w:r w:rsidR="00CD249E">
        <w:rPr>
          <w:rFonts w:ascii="Calibri" w:hAnsi="Calibri" w:cs="Calibri"/>
          <w:sz w:val="22"/>
          <w:szCs w:val="22"/>
        </w:rPr>
        <w:t>.</w:t>
      </w:r>
      <w:r w:rsidRPr="006720E4">
        <w:rPr>
          <w:rFonts w:ascii="Calibri" w:hAnsi="Calibri" w:cs="Calibri"/>
          <w:sz w:val="22"/>
          <w:szCs w:val="22"/>
        </w:rPr>
        <w:t xml:space="preserve"> </w:t>
      </w:r>
    </w:p>
    <w:p w14:paraId="27D0A518" w14:textId="77777777" w:rsidR="006C6EBA" w:rsidRPr="006720E4" w:rsidRDefault="006C6EBA" w:rsidP="00EA22AE">
      <w:pPr>
        <w:pStyle w:val="Heading4"/>
        <w:spacing w:after="120"/>
      </w:pPr>
      <w:bookmarkStart w:id="2387" w:name="_Risk_management_and"/>
      <w:bookmarkStart w:id="2388" w:name="_Balancing_quality_and"/>
      <w:bookmarkStart w:id="2389" w:name="_Toc82773588"/>
      <w:bookmarkStart w:id="2390" w:name="_Toc82773941"/>
      <w:bookmarkStart w:id="2391" w:name="_Toc79406383"/>
      <w:bookmarkStart w:id="2392" w:name="_Toc70328737"/>
      <w:bookmarkStart w:id="2393" w:name="_Toc70333967"/>
      <w:bookmarkStart w:id="2394" w:name="_Toc70414864"/>
      <w:bookmarkStart w:id="2395" w:name="_Toc70844187"/>
      <w:bookmarkStart w:id="2396" w:name="_Toc70858992"/>
      <w:bookmarkStart w:id="2397" w:name="_Toc70861093"/>
      <w:bookmarkStart w:id="2398" w:name="_Toc70876577"/>
      <w:bookmarkStart w:id="2399" w:name="_Toc72615120"/>
      <w:bookmarkStart w:id="2400" w:name="_Toc73129843"/>
      <w:bookmarkStart w:id="2401" w:name="_Toc73301712"/>
      <w:bookmarkStart w:id="2402" w:name="_Toc73302218"/>
      <w:bookmarkStart w:id="2403" w:name="_Toc73303351"/>
      <w:bookmarkStart w:id="2404" w:name="_Toc73303590"/>
      <w:bookmarkStart w:id="2405" w:name="_Toc74080707"/>
      <w:bookmarkStart w:id="2406" w:name="_Toc74081015"/>
      <w:bookmarkStart w:id="2407" w:name="_Toc74081245"/>
      <w:bookmarkStart w:id="2408" w:name="_Toc74081496"/>
      <w:bookmarkStart w:id="2409" w:name="_Toc74171076"/>
      <w:bookmarkStart w:id="2410" w:name="_Toc74172273"/>
      <w:bookmarkStart w:id="2411" w:name="_Toc74172809"/>
      <w:bookmarkStart w:id="2412" w:name="_Toc74238750"/>
      <w:bookmarkEnd w:id="2387"/>
      <w:bookmarkEnd w:id="2388"/>
      <w:r w:rsidRPr="006720E4">
        <w:t>Balancing quality and safety in risk management at the level of policy making</w:t>
      </w:r>
      <w:bookmarkEnd w:id="2389"/>
      <w:bookmarkEnd w:id="2390"/>
    </w:p>
    <w:p w14:paraId="0A5A4494" w14:textId="0D8554E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Decision-making regarding risk acceptance is not always a matter of assessing potential benefits and risks in an individual case, or even at the level of clinical guidelines. Particularly in the case of tissue transplants, risks are often managed at the level of policy making and regulations. This means that ethical decisions regarding risk acceptance and judgements regarding the proportionality of risks and potential benefits of donation and transplantation may be made in a collective context which is removed from consideration of individual values and preferences.</w:t>
      </w:r>
    </w:p>
    <w:p w14:paraId="44059C19" w14:textId="199B48F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quality and safety standards established by </w:t>
      </w:r>
      <w:r w:rsidRPr="002773C9">
        <w:rPr>
          <w:rFonts w:ascii="Calibri" w:hAnsi="Calibri" w:cs="Calibri"/>
          <w:sz w:val="22"/>
          <w:szCs w:val="22"/>
        </w:rPr>
        <w:t xml:space="preserve">the TGA (see </w:t>
      </w:r>
      <w:hyperlink w:anchor="_Therapeutics_Goods_Administration" w:history="1">
        <w:r w:rsidR="002773C9" w:rsidRPr="002773C9">
          <w:rPr>
            <w:rStyle w:val="Hyperlink"/>
            <w:rFonts w:ascii="Calibri" w:hAnsi="Calibri" w:cs="Calibri"/>
            <w:sz w:val="22"/>
            <w:szCs w:val="22"/>
          </w:rPr>
          <w:t>Chapter 2.3.5</w:t>
        </w:r>
      </w:hyperlink>
      <w:r w:rsidRPr="002773C9">
        <w:rPr>
          <w:rFonts w:ascii="Calibri" w:hAnsi="Calibri" w:cs="Calibri"/>
          <w:sz w:val="22"/>
          <w:szCs w:val="22"/>
        </w:rPr>
        <w:t>) may help to</w:t>
      </w:r>
      <w:r w:rsidRPr="006720E4">
        <w:rPr>
          <w:rFonts w:ascii="Calibri" w:hAnsi="Calibri" w:cs="Calibri"/>
          <w:sz w:val="22"/>
          <w:szCs w:val="22"/>
        </w:rPr>
        <w:t xml:space="preserve"> eliminate or significantly reduce some risks for transplant recipients but may also have a significant impact on availability of some tissues. Rather than allowing individuals to make a decision about acceptance of a low risk of contracting a serious infectious disease through transplantation, for example, a policy of mandatory testing of all donated tissues for that disease may practically eliminate the risk. </w:t>
      </w:r>
    </w:p>
    <w:p w14:paraId="2642415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However, the costs of testing might also be disproportionate in some cases to the risk, for example if there is a low probability of donors carrying the disease and the risk can already by reduced by other methods of screening higher risk donors. This is especially concerning if quality and safety regulations result in fewer donations through exclusion of potential donors deemed of higher risk, or undermine sustainability in tissue banking. </w:t>
      </w:r>
    </w:p>
    <w:p w14:paraId="56D25983" w14:textId="77777777" w:rsidR="006C6EBA" w:rsidRPr="006720E4" w:rsidRDefault="006C6EBA" w:rsidP="00EA22AE">
      <w:pPr>
        <w:pStyle w:val="Heading3"/>
        <w:spacing w:after="120"/>
      </w:pPr>
      <w:bookmarkStart w:id="2413" w:name="_Toc82773589"/>
      <w:bookmarkStart w:id="2414" w:name="_Toc82773942"/>
      <w:r w:rsidRPr="006720E4">
        <w:t>Challenges in the evaluation of risks and benefits of transplantation</w:t>
      </w:r>
      <w:bookmarkEnd w:id="2391"/>
      <w:bookmarkEnd w:id="2413"/>
      <w:bookmarkEnd w:id="2414"/>
    </w:p>
    <w:p w14:paraId="5EC0D06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Evaluating the risks and potential benefits of transplantation may be complicated by the fact that risks and potential benefits may change over time depending on when an opportunity for </w:t>
      </w:r>
      <w:r w:rsidRPr="006720E4">
        <w:rPr>
          <w:rFonts w:ascii="Calibri" w:hAnsi="Calibri" w:cs="Calibri"/>
          <w:sz w:val="22"/>
          <w:szCs w:val="22"/>
        </w:rPr>
        <w:lastRenderedPageBreak/>
        <w:t xml:space="preserve">transplantation occurs, and on the specific characteristics of donated cells, tissues or organs when these become available. For example, the potential benefits and risks associated with organ transplantation in a particular context will depend in part on the characteristics of the donor organ, such as its age, size, immunological type, anatomical features, risk of carrying an infectious disease or malignancy and the duration of organ </w:t>
      </w:r>
      <w:proofErr w:type="spellStart"/>
      <w:r w:rsidRPr="006720E4">
        <w:rPr>
          <w:rFonts w:ascii="Calibri" w:hAnsi="Calibri" w:cs="Calibri"/>
          <w:sz w:val="22"/>
          <w:szCs w:val="22"/>
        </w:rPr>
        <w:t>ischaemia</w:t>
      </w:r>
      <w:proofErr w:type="spellEnd"/>
      <w:r w:rsidRPr="006720E4">
        <w:rPr>
          <w:rFonts w:ascii="Calibri" w:hAnsi="Calibri" w:cs="Calibri"/>
          <w:sz w:val="22"/>
          <w:szCs w:val="22"/>
        </w:rPr>
        <w:t xml:space="preserve">. These characteristics influence the probability of the graft proving functional in the transplant recipient, as well as the likely duration of graft survival and risk of various complications occurring.  </w:t>
      </w:r>
    </w:p>
    <w:p w14:paraId="2608DDA2" w14:textId="4F176D33" w:rsidR="006C6EBA" w:rsidRDefault="006C6EBA" w:rsidP="00EA22AE">
      <w:pPr>
        <w:spacing w:after="120"/>
        <w:rPr>
          <w:rFonts w:ascii="Calibri" w:hAnsi="Calibri" w:cs="Calibri"/>
          <w:sz w:val="22"/>
          <w:szCs w:val="22"/>
        </w:rPr>
      </w:pPr>
      <w:r w:rsidRPr="006720E4">
        <w:rPr>
          <w:rFonts w:ascii="Calibri" w:hAnsi="Calibri" w:cs="Calibri"/>
          <w:sz w:val="22"/>
          <w:szCs w:val="22"/>
        </w:rPr>
        <w:t xml:space="preserve">Some individuals may have limited options for alternative treatments to consider, while others may need to choose between a range of options which could have implications for future choices. When considering opportunities for transplantation from a living organ or HSC donor, transplant candidates will also need to weigh the potential benefits and risks as these apply to the donor, particularly in the case of directed donation. </w:t>
      </w:r>
    </w:p>
    <w:p w14:paraId="3D2B693E" w14:textId="336DF57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health professionals, evaluation of the risks and potential benefits of transplantation for a particular individual may also intersect with resource allocation decision-making, which requires careful management to ensure that clinical decision-making is not inappropriately influenced by consideration of resource </w:t>
      </w:r>
      <w:r w:rsidRPr="004B64BA">
        <w:rPr>
          <w:rFonts w:ascii="Calibri" w:hAnsi="Calibri" w:cs="Calibri"/>
          <w:sz w:val="22"/>
          <w:szCs w:val="22"/>
        </w:rPr>
        <w:t xml:space="preserve">constraints (see </w:t>
      </w:r>
      <w:hyperlink w:anchor="_Equity_in_opportunities" w:history="1">
        <w:r w:rsidR="00070E0E" w:rsidRPr="004B64BA">
          <w:rPr>
            <w:rStyle w:val="Hyperlink"/>
            <w:rFonts w:ascii="Calibri" w:hAnsi="Calibri" w:cs="Calibri"/>
            <w:sz w:val="22"/>
            <w:szCs w:val="22"/>
          </w:rPr>
          <w:t>Chapter</w:t>
        </w:r>
      </w:hyperlink>
      <w:r w:rsidR="00070E0E" w:rsidRPr="004B64BA">
        <w:rPr>
          <w:rStyle w:val="Hyperlink"/>
          <w:rFonts w:ascii="Calibri" w:hAnsi="Calibri" w:cs="Calibri"/>
          <w:sz w:val="22"/>
          <w:szCs w:val="22"/>
        </w:rPr>
        <w:t xml:space="preserve"> 8</w:t>
      </w:r>
      <w:r w:rsidRPr="004B64BA">
        <w:rPr>
          <w:rFonts w:ascii="Calibri" w:hAnsi="Calibri" w:cs="Calibri"/>
          <w:sz w:val="22"/>
          <w:szCs w:val="22"/>
        </w:rPr>
        <w:t>).</w:t>
      </w:r>
      <w:r w:rsidRPr="006720E4">
        <w:rPr>
          <w:rFonts w:ascii="Calibri" w:hAnsi="Calibri" w:cs="Calibri"/>
          <w:sz w:val="22"/>
          <w:szCs w:val="22"/>
        </w:rPr>
        <w:t xml:space="preserve"> </w:t>
      </w:r>
    </w:p>
    <w:p w14:paraId="45713DC0" w14:textId="77777777" w:rsidR="006C6EBA" w:rsidRPr="006720E4" w:rsidRDefault="006C6EBA" w:rsidP="00EA22AE">
      <w:pPr>
        <w:pStyle w:val="Heading2"/>
        <w:spacing w:after="120"/>
      </w:pPr>
      <w:bookmarkStart w:id="2415" w:name="_Care_of_donors"/>
      <w:bookmarkStart w:id="2416" w:name="_Toc79330861"/>
      <w:bookmarkStart w:id="2417" w:name="_Toc79331241"/>
      <w:bookmarkStart w:id="2418" w:name="_Toc79406384"/>
      <w:bookmarkStart w:id="2419" w:name="_Toc82773590"/>
      <w:bookmarkStart w:id="2420" w:name="_Toc82773943"/>
      <w:bookmarkStart w:id="2421" w:name="_Toc128314210"/>
      <w:bookmarkStart w:id="2422" w:name="_Toc135131454"/>
      <w:bookmarkEnd w:id="2415"/>
      <w:r w:rsidRPr="006720E4">
        <w:t>Care</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r w:rsidRPr="006720E4">
        <w:t xml:space="preserve"> of donors and transplant recipients</w:t>
      </w:r>
      <w:bookmarkEnd w:id="2416"/>
      <w:bookmarkEnd w:id="2417"/>
      <w:bookmarkEnd w:id="2418"/>
      <w:bookmarkEnd w:id="2419"/>
      <w:bookmarkEnd w:id="2420"/>
      <w:bookmarkEnd w:id="2421"/>
      <w:bookmarkEnd w:id="2422"/>
      <w:r w:rsidRPr="006720E4">
        <w:t xml:space="preserve"> </w:t>
      </w:r>
    </w:p>
    <w:p w14:paraId="245ABA81" w14:textId="08BD07DF" w:rsidR="006C6EBA" w:rsidRPr="006720E4" w:rsidRDefault="006C6EBA" w:rsidP="00EA22AE">
      <w:pPr>
        <w:spacing w:after="120"/>
        <w:rPr>
          <w:rFonts w:ascii="Calibri" w:hAnsi="Calibri" w:cs="Calibri"/>
          <w:sz w:val="22"/>
          <w:szCs w:val="22"/>
        </w:rPr>
      </w:pPr>
      <w:bookmarkStart w:id="2423" w:name="_Toc70414865"/>
      <w:r w:rsidRPr="006720E4">
        <w:rPr>
          <w:rFonts w:ascii="Calibri" w:hAnsi="Calibri" w:cs="Calibri"/>
          <w:sz w:val="22"/>
          <w:szCs w:val="22"/>
        </w:rPr>
        <w:t>Providing optimal care for potential and actual donors and transplant recipients and their families where relevant is essential to minimise risks and maximise the benefits experienced by these individuals, regardless of the choices they make with respect to donation or transplantation. For example, living organ donors who may be at risk of financial injury, anxiety, excessive care burdens or particular medical or surgical complications may be able to receive additional supports or expert care that will reduce if not eliminate their risk of harm.</w:t>
      </w:r>
      <w:r w:rsidRPr="006720E4">
        <w:rPr>
          <w:rStyle w:val="FootnoteReference"/>
          <w:rFonts w:ascii="Calibri" w:eastAsiaTheme="majorEastAsia" w:hAnsi="Calibri" w:cs="Calibri"/>
          <w:sz w:val="22"/>
          <w:szCs w:val="22"/>
        </w:rPr>
        <w:t xml:space="preserve"> </w:t>
      </w:r>
      <w:r w:rsidRPr="006720E4">
        <w:rPr>
          <w:rStyle w:val="FootnoteReference"/>
          <w:rFonts w:ascii="Calibri" w:eastAsiaTheme="majorEastAsia" w:hAnsi="Calibri" w:cs="Calibri"/>
          <w:sz w:val="22"/>
          <w:szCs w:val="22"/>
        </w:rPr>
        <w:fldChar w:fldCharType="begin" w:fldLock="1"/>
      </w:r>
      <w:r w:rsidR="00EB088B">
        <w:rPr>
          <w:rFonts w:ascii="Calibri" w:eastAsiaTheme="majorEastAsia" w:hAnsi="Calibri" w:cs="Calibri"/>
          <w:sz w:val="22"/>
          <w:szCs w:val="22"/>
        </w:rPr>
        <w:instrText>ADDIN CSL_CITATION {"citationItems":[{"id":"ITEM-1","itemData":{"DOI":"10.1111/ajt.12393","ISSN":"16006135","PMID":"23924065","abstract":"There are no evidence-based interventions to prevent adverse psychosocial consequences after living donation. We conducted a single-site randomized controlled trial to examine the postdonation impact of a preventive intervention utilizing motivational interviewing (MI) to target a major risk factor for poor psychosocial outcomes, residual ambivalence (i.e. lingering hesitation and uncertainty) about donating. Of 184 prospective kidney or liver donors, 131 screened positive for ambivalence; 113 were randomized to (a) the MI intervention, (b) an active comparison condition (health education) or (c) standard care only before donation. Ambivalence was reassessed postintervention (before donation). Primary trial outcomes - psychosocial variables in somatic, psychological and family interpersonal relationship domains - were assessed at 6 weeks and 3 months postdonation. MI subjects showed the greatest decline in ambivalence (p = 0.050). On somatic outcomes, by 3 months postdonation MI subjects reported fewer physical symptoms (p = 0.038), lower rates of fatigue (p = 0.021) and pain (p = 0.016), shorter recovery times (p = 0.041) and fewer unexpected medical problems (p = 0.023). Among psychological and interpersonal outcomes, they had a lower rate of anxiety symptoms (p = 0.046) and fewer unexpected family-related problems (p = 0.045). They did not differ on depression, feelings about donation or family relationship quality. The findings suggest that the intervention merits testing in a larger, multisite trial. A single-site clinical trial provides promising early evidence that a brief intervention offered to living kidney donors and living liver donors before surgery can prevent postdonation psychological distress, somatic complaints and donation-related family problems. © 2013 The American Society of Transplantation and the American Society of Transplant Surgeons.","author":[{"dropping-particle":"","family":"Dew","given":"M. A.","non-dropping-particle":"","parse-names":false,"suffix":""},{"dropping-particle":"","family":"Dimartini","given":"A. F.","non-dropping-particle":"","parse-names":false,"suffix":""},{"dropping-particle":"","family":"Devito Dabbs","given":"A. J.","non-dropping-particle":"","parse-names":false,"suffix":""},{"dropping-particle":"","family":"Zuckoff","given":"A.","non-dropping-particle":"","parse-names":false,"suffix":""},{"dropping-particle":"","family":"Tan","given":"H. P.","non-dropping-particle":"","parse-names":false,"suffix":""},{"dropping-particle":"","family":"McNulty","given":"M. L.","non-dropping-particle":"","parse-names":false,"suffix":""},{"dropping-particle":"","family":"Switzer","given":"G. E.","non-dropping-particle":"","parse-names":false,"suffix":""},{"dropping-particle":"","family":"Fox","given":"K. R.","non-dropping-particle":"","parse-names":false,"suffix":""},{"dropping-particle":"","family":"Greenhouse","given":"J. B.","non-dropping-particle":"","parse-names":false,"suffix":""},{"dropping-particle":"","family":"Humar","given":"A.","non-dropping-particle":"","parse-names":false,"suffix":""}],"container-title":"American Journal of Transplantation","id":"ITEM-1","issue":"10","issued":{"date-parts":[["2013"]]},"page":"2672-2684","title":"Preventive intervention for living donor psychosocial outcomes: Feasibility and efficacy in a randomized controlled trial","type":"article-journal","volume":"13"},"uris":["http://www.mendeley.com/documents/?uuid=85893d90-59fa-487a-81d0-8cc2e70de9f8"]}],"mendeley":{"formattedCitation":"(73)","plainTextFormattedCitation":"(73)","previouslyFormattedCitation":"(73)"},"properties":{"noteIndex":0},"schema":"https://github.com/citation-style-language/schema/raw/master/csl-citation.json"}</w:instrText>
      </w:r>
      <w:r w:rsidRPr="006720E4">
        <w:rPr>
          <w:rStyle w:val="FootnoteReference"/>
          <w:rFonts w:ascii="Calibri" w:eastAsiaTheme="majorEastAsia" w:hAnsi="Calibri" w:cs="Calibri"/>
          <w:sz w:val="22"/>
          <w:szCs w:val="22"/>
        </w:rPr>
        <w:fldChar w:fldCharType="separate"/>
      </w:r>
      <w:r w:rsidR="00BA3D76" w:rsidRPr="00BA3D76">
        <w:rPr>
          <w:rFonts w:ascii="Calibri" w:eastAsiaTheme="majorEastAsia" w:hAnsi="Calibri" w:cs="Calibri"/>
          <w:noProof/>
          <w:sz w:val="22"/>
          <w:szCs w:val="22"/>
        </w:rPr>
        <w:t>(73)</w:t>
      </w:r>
      <w:r w:rsidRPr="006720E4">
        <w:rPr>
          <w:rStyle w:val="FootnoteReference"/>
          <w:rFonts w:ascii="Calibri" w:eastAsiaTheme="majorEastAsia" w:hAnsi="Calibri" w:cs="Calibri"/>
          <w:sz w:val="22"/>
          <w:szCs w:val="22"/>
        </w:rPr>
        <w:fldChar w:fldCharType="end"/>
      </w:r>
    </w:p>
    <w:p w14:paraId="47B1B2D7" w14:textId="75B80A3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care required in specific situations will vary; it should be guided by evidence based clinical standards and individuals’ personal circumstances and preference. Care should be provided throughout the various steps that may be involved in consideration of donation or transplantation opportunities, evaluation, decision-making, and after donation or transplantation has occurred. Living HSC and organ donors, deceased donor families, and many transplant recipients may require extended follow up care to provide psychosocial support, ongoing clinical care and evaluation of long-term outcomes. Any limitations or potential barriers that individuals may face in accessing recommended care should be carefully considered when making donation or transplantation decisions. </w:t>
      </w:r>
    </w:p>
    <w:p w14:paraId="0726C2FE" w14:textId="77777777" w:rsidR="006C6EBA" w:rsidRDefault="006C6EBA" w:rsidP="00EA22AE">
      <w:pPr>
        <w:spacing w:after="120"/>
        <w:rPr>
          <w:rFonts w:ascii="Calibri" w:hAnsi="Calibri" w:cs="Calibri"/>
          <w:sz w:val="22"/>
          <w:szCs w:val="22"/>
        </w:rPr>
      </w:pPr>
      <w:r w:rsidRPr="006720E4">
        <w:rPr>
          <w:rFonts w:ascii="Calibri" w:hAnsi="Calibri" w:cs="Calibri"/>
          <w:sz w:val="22"/>
          <w:szCs w:val="22"/>
        </w:rPr>
        <w:t>The potential psychosocial impact of donation or transplantation on the family of a donor or recipient should also be considered and care provided where possible to support families or carers. This is particularly important when transplantation is needed to treat a serious or life-threatening condition, when living donation involves substantive risks or burdens, and in the setting of deceased donation.</w:t>
      </w:r>
    </w:p>
    <w:p w14:paraId="795D176D" w14:textId="7721CB84" w:rsidR="00CD249E" w:rsidRPr="006720E4" w:rsidRDefault="00CD249E" w:rsidP="00EA22AE">
      <w:pPr>
        <w:spacing w:after="120"/>
        <w:rPr>
          <w:rFonts w:ascii="Calibri" w:hAnsi="Calibri" w:cs="Calibri"/>
          <w:sz w:val="22"/>
          <w:szCs w:val="22"/>
        </w:rPr>
      </w:pPr>
      <w:r w:rsidRPr="00CD249E">
        <w:rPr>
          <w:rFonts w:ascii="Calibri" w:hAnsi="Calibri" w:cs="Calibri"/>
          <w:sz w:val="22"/>
          <w:szCs w:val="22"/>
        </w:rPr>
        <w:t xml:space="preserve">Referrals should be made when necessary to ensure </w:t>
      </w:r>
      <w:r w:rsidRPr="00CD249E">
        <w:rPr>
          <w:rFonts w:ascii="Calibri" w:hAnsi="Calibri" w:cs="Calibri"/>
          <w:b/>
          <w:bCs/>
          <w:sz w:val="22"/>
          <w:szCs w:val="22"/>
        </w:rPr>
        <w:t>multidisciplinary care</w:t>
      </w:r>
      <w:r w:rsidRPr="00CD249E">
        <w:rPr>
          <w:rFonts w:ascii="Calibri" w:hAnsi="Calibri" w:cs="Calibri"/>
          <w:sz w:val="22"/>
          <w:szCs w:val="22"/>
        </w:rPr>
        <w:t xml:space="preserve"> is available for donors, donor families and transplant recipients, with inclusion of social workers, grief counsellors, Aboriginal liaison officers, and spiritual and cultural care providers where relevant.</w:t>
      </w:r>
    </w:p>
    <w:p w14:paraId="7513386D" w14:textId="306BBBAA" w:rsidR="006C6EBA" w:rsidRPr="006720E4" w:rsidRDefault="006C6EBA" w:rsidP="00EA22AE">
      <w:pPr>
        <w:pStyle w:val="Heading3"/>
        <w:spacing w:after="120"/>
      </w:pPr>
      <w:bookmarkStart w:id="2424" w:name="_Care_of_living"/>
      <w:bookmarkStart w:id="2425" w:name="_Toc70414866"/>
      <w:bookmarkStart w:id="2426" w:name="_Toc70844188"/>
      <w:bookmarkStart w:id="2427" w:name="_Toc72615121"/>
      <w:bookmarkStart w:id="2428" w:name="_Toc73129844"/>
      <w:bookmarkStart w:id="2429" w:name="_Toc73301713"/>
      <w:bookmarkStart w:id="2430" w:name="_Toc73302219"/>
      <w:bookmarkStart w:id="2431" w:name="_Toc73303352"/>
      <w:bookmarkStart w:id="2432" w:name="_Toc74081497"/>
      <w:bookmarkStart w:id="2433" w:name="_Toc74172274"/>
      <w:bookmarkStart w:id="2434" w:name="_Toc74172810"/>
      <w:bookmarkStart w:id="2435" w:name="_Toc82773591"/>
      <w:bookmarkStart w:id="2436" w:name="_Toc82773944"/>
      <w:bookmarkEnd w:id="2423"/>
      <w:bookmarkEnd w:id="2424"/>
      <w:r w:rsidRPr="006720E4">
        <w:t>Care of living HSC and organ donors</w:t>
      </w:r>
      <w:bookmarkEnd w:id="2425"/>
      <w:bookmarkEnd w:id="2426"/>
      <w:bookmarkEnd w:id="2427"/>
      <w:bookmarkEnd w:id="2428"/>
      <w:bookmarkEnd w:id="2429"/>
      <w:bookmarkEnd w:id="2430"/>
      <w:bookmarkEnd w:id="2431"/>
      <w:bookmarkEnd w:id="2432"/>
      <w:bookmarkEnd w:id="2433"/>
      <w:bookmarkEnd w:id="2434"/>
      <w:bookmarkEnd w:id="2435"/>
      <w:bookmarkEnd w:id="2436"/>
      <w:r w:rsidRPr="006720E4">
        <w:t xml:space="preserve"> </w:t>
      </w:r>
    </w:p>
    <w:p w14:paraId="7D68A99A" w14:textId="306B5FD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risks and burdens of living donation of HSCs and organs – kidneys or liver- vary significantly, according to the material being donated, the specific donation procedures and the characteristics of the donor. For example, the clinical process of donating HSCs via peripheral blood donation involves injection of a treatment to stimulate stem cell proliferation which is associated with mild side effects and later a procedure that lasts approximately 3 hours during which blood is collected and then </w:t>
      </w:r>
      <w:r w:rsidRPr="006720E4">
        <w:rPr>
          <w:rFonts w:ascii="Calibri" w:hAnsi="Calibri" w:cs="Calibri"/>
          <w:sz w:val="22"/>
          <w:szCs w:val="22"/>
        </w:rPr>
        <w:lastRenderedPageBreak/>
        <w:t>returned intravenously after stem cells are removed.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{"citationItems":[{"id":"ITEM-1","itemData":{"URL":"https://www.abmdr.org.au/donors/collection/","author":[{"dropping-particle":"","family":"Australian Bone Marrow Donor Registry (ABMDR)","given":"","non-dropping-particle":"","parse-names":false,"suffix":""}],"id":"ITEM-1","issued":{"date-parts":[["0"]]},"title":"Donor information - collection","type":"webpage"},"uris":["http://www.mendeley.com/documents/?uuid=9cbbb31d-bc93-4cca-8d05-59adcb30a081"]}],"mendeley":{"formattedCitation":"(74)","plainTextFormattedCitation":"(74)","previouslyFormattedCitation":"(74)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(74)</w:t>
      </w:r>
      <w:r w:rsidRPr="006720E4">
        <w:rPr>
          <w:rFonts w:ascii="Calibri" w:hAnsi="Calibri" w:cs="Calibri"/>
          <w:sz w:val="22"/>
          <w:szCs w:val="22"/>
        </w:rPr>
        <w:fldChar w:fldCharType="end"/>
      </w:r>
      <w:r w:rsidRPr="006720E4">
        <w:rPr>
          <w:rFonts w:ascii="Calibri" w:hAnsi="Calibri" w:cs="Calibri"/>
          <w:sz w:val="22"/>
          <w:szCs w:val="22"/>
        </w:rPr>
        <w:t xml:space="preserve"> In contrast, living kidney donation involves an operation under general anaesthetic, and donors may require six weeks to recover.</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{"citationItems":[{"id":"ITEM-1","itemData":{"author":[{"dropping-particle":"","family":"Kidney Health Australia (KHA)","given":"","non-dropping-particle":"","parse-names":false,"suffix":""}],"container-title":"October","id":"ITEM-1","issued":{"date-parts":[["2017"]]},"title":"An introduction to kidney donation by live donors","type":"report"},"uris":["http://www.mendeley.com/documents/?uuid=96974701-d1c7-4921-9970-f368da58d85f"]}],"mendeley":{"formattedCitation":"(75)","plainTextFormattedCitation":"(75)","previouslyFormattedCitation":"(75)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(75)</w:t>
      </w:r>
      <w:r w:rsidRPr="006720E4">
        <w:rPr>
          <w:rFonts w:ascii="Calibri" w:hAnsi="Calibri" w:cs="Calibri"/>
          <w:sz w:val="22"/>
          <w:szCs w:val="22"/>
        </w:rPr>
        <w:fldChar w:fldCharType="end"/>
      </w:r>
      <w:r w:rsidRPr="006720E4">
        <w:rPr>
          <w:rFonts w:ascii="Calibri" w:hAnsi="Calibri" w:cs="Calibri"/>
          <w:sz w:val="22"/>
          <w:szCs w:val="22"/>
        </w:rPr>
        <w:t xml:space="preserve"> Kidney donation is also associated with long term effects on kidney health that require life-long follow up in order to identify and manage any complications or ill effects.</w:t>
      </w:r>
    </w:p>
    <w:p w14:paraId="333F6A7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Nevertheless, while the probability, duration, and severity of various physical and psychosocial risks of living donation are variable, there are common potential burdens and risks that should be considered and addressed in the care of living donors. These include:</w:t>
      </w:r>
    </w:p>
    <w:p w14:paraId="22E411E7" w14:textId="171A3CFF" w:rsidR="006C6EBA" w:rsidRPr="006720E4" w:rsidRDefault="006C6EBA" w:rsidP="00EA22AE">
      <w:pPr>
        <w:pStyle w:val="Bullet"/>
        <w:spacing w:after="120"/>
        <w:contextualSpacing w:val="0"/>
        <w:rPr>
          <w:rFonts w:cs="Calibri"/>
        </w:rPr>
      </w:pPr>
      <w:r w:rsidRPr="006720E4">
        <w:rPr>
          <w:rFonts w:cs="Calibri"/>
          <w:b/>
          <w:bCs/>
        </w:rPr>
        <w:t>Identification of existing health issues</w:t>
      </w:r>
      <w:r w:rsidRPr="006720E4">
        <w:rPr>
          <w:rFonts w:cs="Calibri"/>
        </w:rPr>
        <w:t xml:space="preserve"> during evaluation of prospective donors that may require treatment; while diagnosing treatable conditions may be a benefit of screening,</w:t>
      </w:r>
      <w:r w:rsidRPr="006720E4">
        <w:rPr>
          <w:rFonts w:cs="Calibri"/>
        </w:rPr>
        <w:fldChar w:fldCharType="begin" w:fldLock="1"/>
      </w:r>
      <w:r w:rsidR="00EB088B">
        <w:rPr>
          <w:rFonts w:cs="Calibri"/>
        </w:rPr>
        <w:instrText>ADDIN CSL_CITATION {"citationItems":[{"id":"ITEM-1","itemData":{"DOI":"10.1111/ctr.13204","ISSN":"13990012","PMID":"29345387","abstract":"Background: All living kidney donors are counseled about the possible surgical and medical risks associated with donation. Only a minority of transplant centers discuss the potential benefit of discovering undiagnosed medical conditions in the donor during evaluation, as part of their consent process. Methods: We retrospectively investigated all potential living kidney donors evaluated over a 10-year period at a single center to characterize incidentally diagnosed serious medical conditions. Results: Sixty-five of the 762 potential donors (8.5%) were not approved for donation because of a newly diagnosed serious medical condition discovered during their evaluation. This included six patients diagnosed with malignancies, five of which required operative intervention, six patients diagnosed with transmittable diseases requiring follow-up and treatment, four patients were found to have bilateral renal stones with significant stone burden, and two patients diagnosed with IgA nephropathy. Additionally, four patients were diagnosed with significant heart disease, and one of those patients subsequently required a coronary artery bypass surgery. Conclusions: The evaluation process can diagnose serious medical conditions in a significant minority of donors that would have otherwise been unrecognized. The benefit associated with the donor evaluation should be considered an important part of the consent process.","author":[{"dropping-particle":"","family":"Hoffman","given":"Arika","non-dropping-particle":"","parse-names":false,"suffix":""},{"dropping-particle":"","family":"Tendulkar","given":"Ketki","non-dropping-particle":"","parse-names":false,"suffix":""},{"dropping-particle":"","family":"Merani","given":"Shaheed","non-dropping-particle":"","parse-names":false,"suffix":""},{"dropping-particle":"","family":"Maskin","given":"Alexander","non-dropping-particle":"","parse-names":false,"suffix":""},{"dropping-particle":"","family":"Langnas","given":"Alan","non-dropping-particle":"","parse-names":false,"suffix":""}],"container-title":"Clinical Transplantation","id":"ITEM-1","issue":"3","issued":{"date-parts":[["2018"]]},"page":"1-5","title":"Fortuitous benefits of living kidney donation: Diagnosis of serious medical conditions during the living donor evaluation","type":"article-journal","volume":"32"},"uris":["http://www.mendeley.com/documents/?uuid=0e1fcfaa-c3d4-42f9-90b3-1c852f6303be"]}],"mendeley":{"formattedCitation":"(76)","plainTextFormattedCitation":"(76)","previouslyFormattedCitation":"(76)"},"properties":{"noteIndex":0},"schema":"https://github.com/citation-style-language/schema/raw/master/csl-citation.json"}</w:instrText>
      </w:r>
      <w:r w:rsidRPr="006720E4">
        <w:rPr>
          <w:rFonts w:cs="Calibri"/>
        </w:rPr>
        <w:fldChar w:fldCharType="separate"/>
      </w:r>
      <w:r w:rsidR="00BA3D76" w:rsidRPr="00BA3D76">
        <w:rPr>
          <w:rFonts w:cs="Calibri"/>
          <w:noProof/>
        </w:rPr>
        <w:t>(76)</w:t>
      </w:r>
      <w:r w:rsidRPr="006720E4">
        <w:rPr>
          <w:rFonts w:cs="Calibri"/>
        </w:rPr>
        <w:fldChar w:fldCharType="end"/>
      </w:r>
      <w:r w:rsidRPr="006720E4">
        <w:rPr>
          <w:rFonts w:cs="Calibri"/>
        </w:rPr>
        <w:t xml:space="preserve"> this can cause anxiety or distress, particularly if these preclude donation and the intended transplant recipient does not have an alternate donor.</w:t>
      </w:r>
    </w:p>
    <w:p w14:paraId="228F8703" w14:textId="2F3F9607" w:rsidR="006C6EBA" w:rsidRPr="004B64BA" w:rsidRDefault="006C6EBA" w:rsidP="00EA22AE">
      <w:pPr>
        <w:pStyle w:val="Bullet"/>
        <w:spacing w:after="120"/>
        <w:contextualSpacing w:val="0"/>
        <w:rPr>
          <w:rFonts w:cs="Calibri"/>
        </w:rPr>
      </w:pPr>
      <w:r w:rsidRPr="006720E4">
        <w:rPr>
          <w:rFonts w:cs="Calibri"/>
          <w:b/>
          <w:bCs/>
        </w:rPr>
        <w:t xml:space="preserve">Financial costs </w:t>
      </w:r>
      <w:r w:rsidRPr="006720E4">
        <w:rPr>
          <w:rFonts w:cs="Calibri"/>
        </w:rPr>
        <w:t xml:space="preserve">that may result from taking time off work for evaluation, donation and follow up care, if leave is not covered by employers or the Government’s Supporting Living Organ Donors program, or other out-of-pocket expenses relating to the donation process such as </w:t>
      </w:r>
      <w:r w:rsidRPr="004B64BA">
        <w:rPr>
          <w:rFonts w:cs="Calibri"/>
        </w:rPr>
        <w:t>travel costs or costs of replacement carers if the donor is unable to perform their usual carer duties.</w:t>
      </w:r>
      <w:r w:rsidRPr="004B64BA">
        <w:rPr>
          <w:rFonts w:cs="Calibri"/>
        </w:rPr>
        <w:fldChar w:fldCharType="begin" w:fldLock="1"/>
      </w:r>
      <w:r w:rsidR="00C12F71">
        <w:rPr>
          <w:rFonts w:cs="Calibri"/>
        </w:rPr>
        <w:instrText>ADDIN CSL_CITATION {"citationItems":[{"id":"ITEM-1","itemData":{"URL":"https://www.health.gov.au/initiatives-and-programs/supporting-living-organ-donors-program","author":[{"dropping-particle":"","family":"Australian Government Department of Health","given":"","non-dropping-particle":"","parse-names":false,"suffix":""}],"id":"ITEM-1","issued":{"date-parts":[["2021"]]},"title":"Supporting Living Organ Donors Program","type":"webpage"},"uris":["http://www.mendeley.com/documents/?uuid=43ed886c-e1fe-4a26-913a-661244f8d8d3"]}],"mendeley":{"formattedCitation":"(23)","plainTextFormattedCitation":"(23)","previouslyFormattedCitation":"(23)"},"properties":{"noteIndex":0},"schema":"https://github.com/citation-style-language/schema/raw/master/csl-citation.json"}</w:instrText>
      </w:r>
      <w:r w:rsidRPr="004B64BA">
        <w:rPr>
          <w:rFonts w:cs="Calibri"/>
        </w:rPr>
        <w:fldChar w:fldCharType="separate"/>
      </w:r>
      <w:r w:rsidR="000B7242" w:rsidRPr="000B7242">
        <w:rPr>
          <w:rFonts w:cs="Calibri"/>
          <w:noProof/>
        </w:rPr>
        <w:t>(23)</w:t>
      </w:r>
      <w:r w:rsidRPr="004B64BA">
        <w:rPr>
          <w:rFonts w:cs="Calibri"/>
        </w:rPr>
        <w:fldChar w:fldCharType="end"/>
      </w:r>
    </w:p>
    <w:p w14:paraId="773B4B7D" w14:textId="680799BD" w:rsidR="006C6EBA" w:rsidRPr="004B64BA" w:rsidRDefault="006C6EBA" w:rsidP="00EA22AE">
      <w:pPr>
        <w:pStyle w:val="Bullet"/>
        <w:spacing w:after="120"/>
        <w:contextualSpacing w:val="0"/>
        <w:rPr>
          <w:rFonts w:cs="Calibri"/>
        </w:rPr>
      </w:pPr>
      <w:r w:rsidRPr="004B64BA">
        <w:rPr>
          <w:rFonts w:cs="Calibri"/>
          <w:b/>
          <w:bCs/>
        </w:rPr>
        <w:t>Discovery of misattributed paternity</w:t>
      </w:r>
      <w:r w:rsidRPr="004B64BA">
        <w:rPr>
          <w:rFonts w:cs="Calibri"/>
        </w:rPr>
        <w:t xml:space="preserve"> in which HLA typing reveals that a presumed genetic relationship between the prospective donor and recipient does not exist (see </w:t>
      </w:r>
      <w:hyperlink w:anchor="_Misattributed_genetic_relationships_1" w:history="1">
        <w:r w:rsidRPr="004B64BA">
          <w:rPr>
            <w:rStyle w:val="Hyperlink"/>
            <w:rFonts w:cs="Calibri"/>
          </w:rPr>
          <w:t xml:space="preserve">Chapter </w:t>
        </w:r>
        <w:r w:rsidR="00070E0E" w:rsidRPr="004B64BA">
          <w:rPr>
            <w:rStyle w:val="Hyperlink"/>
            <w:rFonts w:cs="Calibri"/>
          </w:rPr>
          <w:t>7</w:t>
        </w:r>
        <w:r w:rsidRPr="004B64BA">
          <w:rPr>
            <w:rStyle w:val="Hyperlink"/>
            <w:rFonts w:cs="Calibri"/>
          </w:rPr>
          <w:t>.2.3</w:t>
        </w:r>
      </w:hyperlink>
      <w:r w:rsidRPr="004B64BA">
        <w:rPr>
          <w:rFonts w:cs="Calibri"/>
        </w:rPr>
        <w:t>).</w:t>
      </w:r>
    </w:p>
    <w:p w14:paraId="38CBEC9A" w14:textId="77777777" w:rsidR="006C6EBA" w:rsidRPr="006720E4" w:rsidRDefault="006C6EBA" w:rsidP="00EA22AE">
      <w:pPr>
        <w:pStyle w:val="Bullet"/>
        <w:spacing w:after="120"/>
        <w:contextualSpacing w:val="0"/>
        <w:rPr>
          <w:rFonts w:cs="Calibri"/>
        </w:rPr>
      </w:pPr>
      <w:r w:rsidRPr="006720E4">
        <w:rPr>
          <w:rFonts w:cs="Calibri"/>
          <w:b/>
          <w:bCs/>
        </w:rPr>
        <w:t>Psychological distress</w:t>
      </w:r>
      <w:r w:rsidRPr="006720E4">
        <w:rPr>
          <w:rFonts w:cs="Calibri"/>
        </w:rPr>
        <w:t>, for example if deemed ineligible for donation or if the transplant recipient has a bad outcome for which the donor may feel responsible.</w:t>
      </w:r>
    </w:p>
    <w:p w14:paraId="0240A2E5" w14:textId="44DB5A3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Provision of appropriate medical and psychological follow up care to all living HSC and organ donors is an important component of efforts to minimize risks associated with donation. There is limited information regarding long term outcomes of living donation, particularly with regards to psychosocial outcomes, and a growing body of evidence suggests that some donors – in particular living kidney donors may benefit from long term follow up care to reduce their risk of poorer health outcomes and to assist in timely identification and management of complications if these occur.</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{"citationItems":[{"id":"ITEM-1","itemData":{"DOI":"10.1111/ctr.13792","ISSN":"13990012","PMID":"31991481","abstract":"End-stage kidney disease patients in the United States may have family members or friends who are not US citizens or residents but are willing to serve as their living kidney donor in the United States (“international donors”). In July 2017, the American Society for Transplantation (AST) Live Donor Community of Practice (LDCOP) convened a multidisciplinary workgroup of experts in living donation care, including coordinators, social workers, donor advocates, administrators, and physicians, to evaluate educational gaps related to the evaluation and care of international donors. The evaluation of international living donor candidates is a resource-intensive process that raises key considerations for assessing risk of exploitation/inducement and addressing communication barriers, logistics barriers, and access to care in their home country. Through consensus-building discussions, we developed recommendations related to: (a) establishing program guidelines for international donor candidate evaluation and selection; (b) initial screening; (c) logistics planning; (d) comprehensive evaluation; and (e) postdonation care and follow-up. These recommendations are not intended to direct formal policy, but rather as guidance to help programs more efficiently and effectively structure and execute evaluations and care coordination. We also offer recommendations for research and advocacy to optimize the care of this unique group of living donors.","author":[{"dropping-particle":"","family":"Shukhman","given":"Ellen","non-dropping-particle":"","parse-names":false,"suffix":""},{"dropping-particle":"","family":"Hunt","given":"Julia","non-dropping-particle":"","parse-names":false,"suffix":""},{"dropping-particle":"","family":"LaPointe-Rudow","given":"Dianne","non-dropping-particle":"","parse-names":false,"suffix":""},{"dropping-particle":"","family":"Mandelbrot","given":"Didier","non-dropping-particle":"","parse-names":false,"suffix":""},{"dropping-particle":"","family":"Hays","given":"Rebecca E.","non-dropping-particle":"","parse-names":false,"suffix":""},{"dropping-particle":"","family":"Kumar","given":"Vineeta","non-dropping-particle":"","parse-names":false,"suffix":""},{"dropping-particle":"","family":"Schaefer","given":"Heidi","non-dropping-particle":"","parse-names":false,"suffix":""},{"dropping-particle":"","family":"Ammary","given":"Fawaz","non-dropping-particle":"Al","parse-names":false,"suffix":""},{"dropping-particle":"","family":"Henderson","given":"Macey L.","non-dropping-particle":"","parse-names":false,"suffix":""},{"dropping-particle":"","family":"Nishio-Lucar","given":"Angie","non-dropping-particle":"","parse-names":false,"suffix":""},{"dropping-particle":"","family":"Cooper","given":"Matthew","non-dropping-particle":"","parse-names":false,"suffix":""},{"dropping-particle":"","family":"Lentine","given":"Krista L.","non-dropping-particle":"","parse-names":false,"suffix":""}],"container-title":"Clinical Transplantation","id":"ITEM-1","issue":"3","issued":{"date-parts":[["2020"]]},"page":"1-11","title":"Evaluation and care of international living kidney donor candidates: Strategies for addressing common considerations and challenges","type":"article-journal","volume":"34"},"uris":["http://www.mendeley.com/documents/?uuid=ed59b3c4-05a3-4894-b49f-a3d1172024f8"]},{"id":"ITEM-2","itemData":{"DOI":"10.1097/TP.0000000000001771","ISBN":"0000000000","ISSN":"00411337","PMID":"28538499","abstract":"Background Ensuring donor wellbeing warrants ongoing monitoring after living kidney donation. However, there is considerable variability in donor follow-up processes, including information provided to donors regarding self-care. Loss to follow-up is common, suggesting that the aims and benefits of monitoring and follow-up may not be apparent. We aimed to describe the experiences and expectations of living kidney donors regarding follow-up and self-care after donation. Methods Participants from 3 transplant centers in Australia and Canada participated in 14 focus groups (n = 123). Transcripts were analyzed thematically. Results We identified 4 themes: Lacking identification as a patient (invincibility and confidence in health, immediate return to normality, avoid burdening specialty services, redundancy of specialist attention, unnecessary travel), empowerment for health (self-preservation for devastating consequences, self-advocacy and education, needing lifestyle advice, tracking own results), safety net and reassurance (availability of psychosocial support, confidence in kidney-focused care, continuity and rapport, and access to waitlist priority), and neglect and inattention (unrecognized ongoing debilitations, primary focus on recipient, hospital abandonment, overlooking individual priorities, disconnected from system, coping with dual roles, and lacking support for financial consequences). Conclusions Living kidney donors who felt well and confident about their health regarded specialist follow-up as largely unnecessary. However, some felt they did not receive adequate medical attention, were prematurely detached from the health system, or held unresolved anxieties about the consequences of their decision to donate. Ongoing access to healthcare, psychosocial support, and education may reassure donors that any risks to their health are minimized.","author":[{"dropping-particle":"","family":"Manera","given":"Karine E.","non-dropping-particle":"","parse-names":false,"suffix":""},{"dropping-particle":"","family":"Hanson","given":"Camilla S.","non-dropping-particle":"","parse-names":false,"suffix":""},{"dropping-particle":"","family":"Chapman","given":"Jeremy R.","non-dropping-particle":"","parse-names":false,"suffix":""},{"dropping-particle":"","family":"Kanellis","given":"John","non-dropping-particle":"","parse-names":false,"suffix":""},{"dropping-particle":"","family":"Gill","given":"John","non-dropping-particle":"","parse-names":false,"suffix":""},{"dropping-particle":"","family":"Craig","given":"Jonathan C.","non-dropping-particle":"","parse-names":false,"suffix":""},{"dropping-particle":"","family":"Chadban","given":"Steve J.","non-dropping-particle":"","parse-names":false,"suffix":""},{"dropping-particle":"","family":"Wong","given":"Germaine","non-dropping-particle":"","parse-names":false,"suffix":""},{"dropping-particle":"","family":"Ralph","given":"Angelique F.","non-dropping-particle":"","parse-names":false,"suffix":""},{"dropping-particle":"","family":"Tong","given":"Allison","non-dropping-particle":"","parse-names":false,"suffix":""}],"container-title":"Transplantation","id":"ITEM-2","issue":"10","issued":{"date-parts":[["2017"]]},"page":"2627-2635","title":"Expectations and Experiences of Follow-up and Self-Care after Living Kidney Donation: A Focus Group Study","type":"article-journal","volume":"101"},"uris":["http://www.mendeley.com/documents/?uuid=4d2033dd-9bc0-492e-9ca6-47942434d593"]},{"id":"ITEM-3","itemData":{"DOI":"10.2215/CJN.11220918","ISSN":"1555905X","PMID":"30858158","abstract":"In the past decade, there have been increasing efforts to better define and quantify the short- and long-termrisks of living kidney donation.Recent studies have expanded upon the previous literature by focusing on outcomes that are important to potential and previous donors, applying unique databases and/or registries to follow large cohorts of donors for longer periods of time, andcomparing outcomeswithhealthynondonor controls toestimate attributable risks of donation. Leading outcomes important to living kidney donors include kidney health, surgical risks, and psychosocial effects of donation. Recent data support that living donors may experience a small increased risk of severeCKDandESKDcompared withhealthynondonors. Formostdonors, the15-year riskof kidney failure is&lt;1%, but for certain populations, such as young, black men, this risk may be higher. New risk prediction tools that combine the effects of demographic and health factors, and innovations in genetic risk markers are improving kidney risk stratification.Minor perioperative complications occur in 10%-20%of donor nephrectomy cases, but major complications occur in &lt;3%, and the risk of perioperative death is &lt;0.03%.Generally, living kidney donors have similar or improved psychosocial outcomes, such as quality of life, after donation compared with before donation and comparedwith nondonors.Although the donation process should befinancially neutral, living kidney donorsmay experience out-of-pocket expenses and lostwages thatmay ormay not be completely covered through regional or national reimbursement programs, and may face difficulties arranging subsequent life and health insurance. Living kidney donors should be fully informed of the perioperative and long-term risks before making their decision to donate. Follow-up care allows for preventative care measures to mitigate risk and ongoing surveillance and reporting of donor outcomes to inform prior and future living kidney donors.","author":[{"dropping-particle":"","family":"Lentine","given":"Krista L.","non-dropping-particle":"","parse-names":false,"suffix":""},{"dropping-particle":"","family":"Lam","given":"Ngan N.","non-dropping-particle":"","parse-names":false,"suffix":""},{"dropping-particle":"","family":"Segev","given":"Dorry L.","non-dropping-particle":"","parse-names":false,"suffix":""}],"container-title":"Clinical Journal of the American Society of Nephrology","id":"ITEM-3","issue":"4","issued":{"date-parts":[["2019"]]},"page":"597-608","title":"Risks of living kidney donation: Current state of knowledge on outcomes important to donors","type":"article-journal","volume":"14"},"uris":["http://www.mendeley.com/documents/?uuid=2aeeda17-7a23-41a1-99d8-c5221eab0a84"]}],"mendeley":{"formattedCitation":"(77–79)","plainTextFormattedCitation":"(77–79)","previouslyFormattedCitation":"(77–79)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(77–79)</w:t>
      </w:r>
      <w:r w:rsidRPr="006720E4">
        <w:rPr>
          <w:rFonts w:ascii="Calibri" w:hAnsi="Calibri" w:cs="Calibri"/>
          <w:sz w:val="22"/>
          <w:szCs w:val="22"/>
        </w:rPr>
        <w:fldChar w:fldCharType="end"/>
      </w:r>
      <w:r w:rsidRPr="006720E4">
        <w:rPr>
          <w:rFonts w:ascii="Calibri" w:hAnsi="Calibri" w:cs="Calibri"/>
          <w:sz w:val="22"/>
          <w:szCs w:val="22"/>
        </w:rPr>
        <w:t xml:space="preserve"> </w:t>
      </w:r>
    </w:p>
    <w:p w14:paraId="4A08EADC" w14:textId="139CB47D" w:rsidR="00EF3F7C" w:rsidRPr="005D3090" w:rsidRDefault="006C6EBA" w:rsidP="00EA22AE">
      <w:pPr>
        <w:spacing w:after="120"/>
        <w:rPr>
          <w:rFonts w:ascii="Calibri" w:hAnsi="Calibri" w:cs="Calibri"/>
          <w:sz w:val="22"/>
          <w:szCs w:val="22"/>
        </w:rPr>
      </w:pPr>
      <w:r w:rsidRPr="006720E4">
        <w:rPr>
          <w:rFonts w:ascii="Calibri" w:hAnsi="Calibri" w:cs="Calibri"/>
          <w:sz w:val="22"/>
          <w:szCs w:val="22"/>
        </w:rPr>
        <w:t>Those who are declined as living donors may also benefit from access to counselling to help them manage psychological distress or anxiety that may result from this decision, for example if this means a loved one cannot obtain a transplant.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{"citationItems":[{"id":"ITEM-1","itemData":{"DOI":"10.1111/ctr.13408","ISSN":"13990012","PMID":"30218994","abstract":"Background: A better understanding of the consequences of being turned down for living kidney donation could help transplant professionals to counsel individuals considering donation. Methods: In this exploratory study, we used survey instruments and qualitative interviews to characterize nonmedical outcomes among individuals turned down for living kidney donation between July 1, 2010 and December 31, 2013. We assembled a comparator group of kidney donors. Results: Among 83 turned-down donors with contact information at a single center, 43 (52%) participated in the study (median age 53 years; 53% female; 19% black). Quality of life, depression, financial stress, and provider empathy scores were similar between individuals turned down for donation (n = 43) and donors (n = 128). Participants selected a discrete choice response to a statement about the overall quality of their lives; 32% of turned-down donors versus 7% of donors (P &lt; 0.01) assessed that their lives were worse after the center's decision about whether they could donate a kidney. Among turned-down donors who reported that life had worsened, 77% had an intended recipient who was never transplanted, versus 36% among individuals who assessed life as the same or better (P = 0.02). In interviews, the majority of turned-down donors reported emotional impact, including empathy, stress, and other challenges, related to having someone in their lives with end-stage kidney disease. Conclusions: Generic instruments measuring quality of life, depression, financial stress, and provider empathy revealed no significant differences between kidney donors and turned-down donors. However, qualitative interviews revealed preliminary evidence that some turned-down donors experienced emotional consequences. These findings warrant confirmation in larger studies.","author":[{"dropping-particle":"","family":"Reese","given":"Peter P.","non-dropping-particle":"","parse-names":false,"suffix":""},{"dropping-particle":"","family":"Allen","given":"Matthew B.","non-dropping-particle":"","parse-names":false,"suffix":""},{"dropping-particle":"","family":"Carney","given":"Caroline","non-dropping-particle":"","parse-names":false,"suffix":""},{"dropping-particle":"","family":"Leidy","given":"Daniel","non-dropping-particle":"","parse-names":false,"suffix":""},{"dropping-particle":"","family":"Levsky","given":"Simona","non-dropping-particle":"","parse-names":false,"suffix":""},{"dropping-particle":"","family":"Pendse","given":"Ruchita","non-dropping-particle":"","parse-names":false,"suffix":""},{"dropping-particle":"","family":"Mussell","given":"Adam S.","non-dropping-particle":"","parse-names":false,"suffix":""},{"dropping-particle":"","family":"Bermudez","given":"Francisca","non-dropping-particle":"","parse-names":false,"suffix":""},{"dropping-particle":"","family":"Keddem","given":"Shimrit","non-dropping-particle":"","parse-names":false,"suffix":""},{"dropping-particle":"","family":"Thiessen","given":"Carrie","non-dropping-particle":"","parse-names":false,"suffix":""},{"dropping-particle":"","family":"Rodrigue","given":"James R.","non-dropping-particle":"","parse-names":false,"suffix":""},{"dropping-particle":"","family":"Emanuel","given":"Ezekiel J.","non-dropping-particle":"","parse-names":false,"suffix":""}],"container-title":"Clinical Transplantation","id":"ITEM-1","issue":"12","issued":{"date-parts":[["2018"]]},"page":"1-12","title":"Outcomes for individuals turned down for living kidney donation","type":"article-journal","volume":"32"},"uris":["http://www.mendeley.com/documents/?uuid=d39db47d-5090-4bae-87d1-bdf0c69df34d"]}],"mendeley":{"formattedCitation":"(65)","plainTextFormattedCitation":"(65)","previouslyFormattedCitation":"(65)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(65)</w:t>
      </w:r>
      <w:r w:rsidRPr="006720E4">
        <w:rPr>
          <w:rFonts w:ascii="Calibri" w:hAnsi="Calibri" w:cs="Calibri"/>
          <w:sz w:val="22"/>
          <w:szCs w:val="22"/>
        </w:rPr>
        <w:fldChar w:fldCharType="end"/>
      </w:r>
      <w:bookmarkStart w:id="2437" w:name="_Risk_acceptance_in"/>
      <w:bookmarkStart w:id="2438" w:name="_Repeated_donation_requests"/>
      <w:bookmarkStart w:id="2439" w:name="_Toc70876579"/>
      <w:bookmarkStart w:id="2440" w:name="_Toc72615127"/>
      <w:bookmarkStart w:id="2441" w:name="_Toc73129846"/>
      <w:bookmarkStart w:id="2442" w:name="_Toc73301715"/>
      <w:bookmarkStart w:id="2443" w:name="_Toc73302221"/>
      <w:bookmarkStart w:id="2444" w:name="_Toc73303354"/>
      <w:bookmarkStart w:id="2445" w:name="_Toc73303592"/>
      <w:bookmarkStart w:id="2446" w:name="_Toc74080709"/>
      <w:bookmarkStart w:id="2447" w:name="_Toc74081017"/>
      <w:bookmarkStart w:id="2448" w:name="_Toc74081247"/>
      <w:bookmarkStart w:id="2449" w:name="_Toc74081499"/>
      <w:bookmarkStart w:id="2450" w:name="_Toc74171078"/>
      <w:bookmarkStart w:id="2451" w:name="_Toc74172276"/>
      <w:bookmarkStart w:id="2452" w:name="_Toc74172812"/>
      <w:bookmarkStart w:id="2453" w:name="_Toc74238752"/>
      <w:bookmarkStart w:id="2454" w:name="_Toc78304768"/>
      <w:bookmarkStart w:id="2455" w:name="_Toc79330862"/>
      <w:bookmarkStart w:id="2456" w:name="_Toc79331242"/>
      <w:bookmarkStart w:id="2457" w:name="_Toc79406385"/>
      <w:bookmarkStart w:id="2458" w:name="_Toc82773592"/>
      <w:bookmarkStart w:id="2459" w:name="_Toc82773945"/>
      <w:bookmarkStart w:id="2460" w:name="_Toc128314211"/>
      <w:bookmarkStart w:id="2461" w:name="_Toc70876578"/>
      <w:bookmarkStart w:id="2462" w:name="_Toc72615124"/>
      <w:bookmarkStart w:id="2463" w:name="_Toc70414870"/>
      <w:bookmarkStart w:id="2464" w:name="_Toc70844192"/>
      <w:bookmarkStart w:id="2465" w:name="_Toc63683424"/>
      <w:bookmarkStart w:id="2466" w:name="_Toc70241766"/>
      <w:bookmarkStart w:id="2467" w:name="_Toc70243401"/>
      <w:bookmarkEnd w:id="2437"/>
      <w:bookmarkEnd w:id="2438"/>
    </w:p>
    <w:p w14:paraId="509C32C0" w14:textId="741DDD94" w:rsidR="006C6EBA" w:rsidRPr="006720E4" w:rsidRDefault="006C6EBA" w:rsidP="00EA22AE">
      <w:pPr>
        <w:pStyle w:val="Heading2"/>
        <w:spacing w:after="120"/>
      </w:pPr>
      <w:bookmarkStart w:id="2468" w:name="_Toc135131455"/>
      <w:r w:rsidRPr="006720E4">
        <w:t>Risk acceptance in living organ donation</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8"/>
    </w:p>
    <w:p w14:paraId="1353D8DE" w14:textId="6A10FB8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Decision making regarding acceptance of living kidney and liver donors often involves ethically challenging decision-making about risks and potential benefits. Transplant professionals frequently cite living organ donation as a source of ethical concern as it imposes unavoidable and significant burdens and risks to the health of the living donor as a result of a clinical intervention that is primarily intended to produce therapeutic benefits in another individual – the transplant recipient. For some health professionals, living organ donation thus seems to violate the duty of non-maleficence, the obligation to avoid causing harm except when necessary to achieve overall health benefits for the individual patient. </w:t>
      </w:r>
    </w:p>
    <w:p w14:paraId="12B3812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absence of direct physical benefits to living organ donors, the unavoidable physical and psychosocial burdens associated with evaluation, invasive surgery and the requirement for long term follow up care are sometimes perceived as being “traded” or weighed against the therapeutic benefits of transplantation for the recipient of a living donor transplant. Even when a living donor makes an informed choice to assume these burdens and risks, health professionals may feel that “harming the healthy to help the sick” is exploitative or ethically unjustified. </w:t>
      </w:r>
    </w:p>
    <w:p w14:paraId="0B6DCFF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The degree of risk involved for a particular organ donor, the extent to which a living donor transplant is deemed necessary, and the expected benefits for the transplant recipient collectively influence judgements regarding the acceptability of a particular living donor transplant case. The availability of alternative treatment options for the prospective transplant recipient, and their respective risks and benefits, must also be considered. </w:t>
      </w:r>
    </w:p>
    <w:p w14:paraId="0ECF1B2F"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Generally, living organ donation may be considered ethically justifiable if </w:t>
      </w:r>
    </w:p>
    <w:p w14:paraId="3A528A41" w14:textId="77777777" w:rsidR="006C6EBA" w:rsidRPr="006720E4" w:rsidRDefault="006C6EBA" w:rsidP="00EA22AE">
      <w:pPr>
        <w:pStyle w:val="Bullet"/>
        <w:spacing w:after="120"/>
        <w:contextualSpacing w:val="0"/>
        <w:rPr>
          <w:rFonts w:cs="Calibri"/>
        </w:rPr>
      </w:pPr>
      <w:r w:rsidRPr="006720E4">
        <w:rPr>
          <w:rFonts w:cs="Calibri"/>
        </w:rPr>
        <w:t xml:space="preserve">The donor autonomously </w:t>
      </w:r>
      <w:r w:rsidRPr="006720E4">
        <w:rPr>
          <w:rFonts w:cs="Calibri"/>
          <w:b/>
          <w:bCs/>
        </w:rPr>
        <w:t>chooses</w:t>
      </w:r>
      <w:r w:rsidRPr="006720E4">
        <w:rPr>
          <w:rFonts w:cs="Calibri"/>
        </w:rPr>
        <w:t xml:space="preserve"> to donate;</w:t>
      </w:r>
    </w:p>
    <w:p w14:paraId="0B8EB197" w14:textId="77777777" w:rsidR="006C6EBA" w:rsidRPr="006720E4" w:rsidRDefault="006C6EBA" w:rsidP="00EA22AE">
      <w:pPr>
        <w:pStyle w:val="Bullet"/>
        <w:spacing w:after="120"/>
        <w:contextualSpacing w:val="0"/>
        <w:rPr>
          <w:rFonts w:cs="Calibri"/>
        </w:rPr>
      </w:pPr>
      <w:r w:rsidRPr="006720E4">
        <w:rPr>
          <w:rFonts w:cs="Calibri"/>
        </w:rPr>
        <w:t xml:space="preserve">Living donation is </w:t>
      </w:r>
      <w:r w:rsidRPr="006720E4">
        <w:rPr>
          <w:rFonts w:cs="Calibri"/>
          <w:b/>
          <w:bCs/>
        </w:rPr>
        <w:t>necessary</w:t>
      </w:r>
      <w:r w:rsidRPr="006720E4">
        <w:rPr>
          <w:rFonts w:cs="Calibri"/>
        </w:rPr>
        <w:t>, in the sense that there is no alternative treatment for the intended transplant recipient that would be equivalent to the living donor transplant;</w:t>
      </w:r>
    </w:p>
    <w:p w14:paraId="7C3F9663" w14:textId="77777777" w:rsidR="006C6EBA" w:rsidRPr="006720E4" w:rsidRDefault="006C6EBA" w:rsidP="00EA22AE">
      <w:pPr>
        <w:pStyle w:val="Bullet"/>
        <w:spacing w:after="120"/>
        <w:contextualSpacing w:val="0"/>
        <w:rPr>
          <w:rFonts w:cs="Calibri"/>
        </w:rPr>
      </w:pPr>
      <w:r w:rsidRPr="006720E4">
        <w:rPr>
          <w:rFonts w:cs="Calibri"/>
        </w:rPr>
        <w:t xml:space="preserve">The risks of donation fall within a clinically </w:t>
      </w:r>
      <w:r w:rsidRPr="006720E4">
        <w:rPr>
          <w:rFonts w:cs="Calibri"/>
          <w:b/>
          <w:bCs/>
        </w:rPr>
        <w:t>acceptable</w:t>
      </w:r>
      <w:r w:rsidRPr="006720E4">
        <w:rPr>
          <w:rFonts w:cs="Calibri"/>
        </w:rPr>
        <w:t xml:space="preserve"> range;</w:t>
      </w:r>
    </w:p>
    <w:p w14:paraId="2E795E6F" w14:textId="77777777" w:rsidR="006C6EBA" w:rsidRPr="006720E4" w:rsidRDefault="006C6EBA" w:rsidP="00EA22AE">
      <w:pPr>
        <w:pStyle w:val="Bullet"/>
        <w:spacing w:after="120"/>
        <w:contextualSpacing w:val="0"/>
        <w:rPr>
          <w:rFonts w:cs="Calibri"/>
        </w:rPr>
      </w:pPr>
      <w:r w:rsidRPr="006720E4">
        <w:rPr>
          <w:rFonts w:cs="Calibri"/>
        </w:rPr>
        <w:t xml:space="preserve">If the expected benefits of donation are </w:t>
      </w:r>
      <w:r w:rsidRPr="006720E4">
        <w:rPr>
          <w:rFonts w:cs="Calibri"/>
          <w:b/>
          <w:bCs/>
        </w:rPr>
        <w:t>proportionate</w:t>
      </w:r>
      <w:r w:rsidRPr="006720E4">
        <w:rPr>
          <w:rFonts w:cs="Calibri"/>
        </w:rPr>
        <w:t xml:space="preserve"> to the risks, meaning that the benefits are expected to substantially outweigh any burdens or harms of donation.</w:t>
      </w:r>
    </w:p>
    <w:p w14:paraId="01289594" w14:textId="6D56DB0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Potential challenges in determining the range of </w:t>
      </w:r>
      <w:r w:rsidRPr="009F6A61">
        <w:rPr>
          <w:rFonts w:ascii="Calibri" w:hAnsi="Calibri" w:cs="Calibri"/>
          <w:sz w:val="22"/>
          <w:szCs w:val="22"/>
        </w:rPr>
        <w:t>acceptable risks (</w:t>
      </w:r>
      <w:hyperlink w:anchor="_Defining_acceptable_risk" w:history="1">
        <w:r w:rsidRPr="009F6A61">
          <w:rPr>
            <w:rStyle w:val="Hyperlink"/>
            <w:rFonts w:ascii="Calibri" w:hAnsi="Calibri" w:cs="Calibri"/>
            <w:sz w:val="22"/>
            <w:szCs w:val="22"/>
          </w:rPr>
          <w:t xml:space="preserve">Chapter </w:t>
        </w:r>
        <w:r w:rsidR="00070E0E" w:rsidRPr="009F6A61">
          <w:rPr>
            <w:rStyle w:val="Hyperlink"/>
            <w:rFonts w:ascii="Calibri" w:hAnsi="Calibri" w:cs="Calibri"/>
            <w:sz w:val="22"/>
            <w:szCs w:val="22"/>
          </w:rPr>
          <w:t>6</w:t>
        </w:r>
        <w:r w:rsidRPr="009F6A61">
          <w:rPr>
            <w:rStyle w:val="Hyperlink"/>
            <w:rFonts w:ascii="Calibri" w:hAnsi="Calibri" w:cs="Calibri"/>
            <w:sz w:val="22"/>
            <w:szCs w:val="22"/>
          </w:rPr>
          <w:t>.3.1</w:t>
        </w:r>
      </w:hyperlink>
      <w:r w:rsidRPr="009F6A61">
        <w:rPr>
          <w:rFonts w:ascii="Calibri" w:hAnsi="Calibri" w:cs="Calibri"/>
          <w:sz w:val="22"/>
          <w:szCs w:val="22"/>
        </w:rPr>
        <w:t>) and evaluating necessity (</w:t>
      </w:r>
      <w:hyperlink w:anchor="_Assessing_necessity_of" w:history="1">
        <w:r w:rsidRPr="009F6A61">
          <w:rPr>
            <w:rStyle w:val="Hyperlink"/>
            <w:rFonts w:ascii="Calibri" w:hAnsi="Calibri" w:cs="Calibri"/>
            <w:sz w:val="22"/>
            <w:szCs w:val="22"/>
          </w:rPr>
          <w:t xml:space="preserve">Chapter </w:t>
        </w:r>
        <w:r w:rsidR="00070E0E" w:rsidRPr="009F6A61">
          <w:rPr>
            <w:rStyle w:val="Hyperlink"/>
            <w:rFonts w:ascii="Calibri" w:hAnsi="Calibri" w:cs="Calibri"/>
            <w:sz w:val="22"/>
            <w:szCs w:val="22"/>
          </w:rPr>
          <w:t>6</w:t>
        </w:r>
        <w:r w:rsidRPr="009F6A61">
          <w:rPr>
            <w:rStyle w:val="Hyperlink"/>
            <w:rFonts w:ascii="Calibri" w:hAnsi="Calibri" w:cs="Calibri"/>
            <w:sz w:val="22"/>
            <w:szCs w:val="22"/>
          </w:rPr>
          <w:t>.3.2</w:t>
        </w:r>
      </w:hyperlink>
      <w:r w:rsidRPr="009F6A61">
        <w:rPr>
          <w:rFonts w:ascii="Calibri" w:hAnsi="Calibri" w:cs="Calibri"/>
          <w:sz w:val="22"/>
          <w:szCs w:val="22"/>
        </w:rPr>
        <w:t>) and proportionality of benefits and risks (</w:t>
      </w:r>
      <w:hyperlink w:anchor="_Assessing_proportionality_in" w:history="1">
        <w:r w:rsidRPr="009F6A61">
          <w:rPr>
            <w:rStyle w:val="Hyperlink"/>
            <w:rFonts w:ascii="Calibri" w:hAnsi="Calibri" w:cs="Calibri"/>
            <w:sz w:val="22"/>
            <w:szCs w:val="22"/>
          </w:rPr>
          <w:t xml:space="preserve">Chapter </w:t>
        </w:r>
        <w:r w:rsidR="00070E0E" w:rsidRPr="009F6A61">
          <w:rPr>
            <w:rStyle w:val="Hyperlink"/>
            <w:rFonts w:ascii="Calibri" w:hAnsi="Calibri" w:cs="Calibri"/>
            <w:sz w:val="22"/>
            <w:szCs w:val="22"/>
          </w:rPr>
          <w:t>6</w:t>
        </w:r>
        <w:r w:rsidRPr="009F6A61">
          <w:rPr>
            <w:rStyle w:val="Hyperlink"/>
            <w:rFonts w:ascii="Calibri" w:hAnsi="Calibri" w:cs="Calibri"/>
            <w:sz w:val="22"/>
            <w:szCs w:val="22"/>
          </w:rPr>
          <w:t>.3.3</w:t>
        </w:r>
      </w:hyperlink>
      <w:r w:rsidRPr="009F6A61">
        <w:rPr>
          <w:rFonts w:ascii="Calibri" w:hAnsi="Calibri" w:cs="Calibri"/>
          <w:sz w:val="22"/>
          <w:szCs w:val="22"/>
        </w:rPr>
        <w:t>) are discussed in the following sections.</w:t>
      </w:r>
      <w:r w:rsidRPr="006720E4">
        <w:rPr>
          <w:rFonts w:ascii="Calibri" w:hAnsi="Calibri" w:cs="Calibri"/>
          <w:sz w:val="22"/>
          <w:szCs w:val="22"/>
        </w:rPr>
        <w:t xml:space="preserve"> </w:t>
      </w:r>
    </w:p>
    <w:p w14:paraId="0CFF0CA9" w14:textId="1A1E514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important to note that individuals involved in the medical and psychosocial evaluation of a prospective living donor may differ from those who have responsibility for making a decision about acceptance of a prospective living organ donor. Separation of staff who are involved in assessment from those responsible for accepting or declining prospective donors may help to support impartiality in decision-making. In particular, staff involved in the evaluation or decision-making about acceptance of a prospective </w:t>
      </w:r>
      <w:r w:rsidRPr="002773C9">
        <w:rPr>
          <w:rFonts w:ascii="Calibri" w:hAnsi="Calibri" w:cs="Calibri"/>
          <w:sz w:val="22"/>
          <w:szCs w:val="22"/>
        </w:rPr>
        <w:t xml:space="preserve">donor should not be involved in care of the prospective transplant recipient, to reduce conflicts of interest in evaluation and decision-making (see </w:t>
      </w:r>
      <w:hyperlink w:anchor="_Legislation" w:history="1">
        <w:r w:rsidR="002773C9" w:rsidRPr="002773C9">
          <w:rPr>
            <w:rStyle w:val="Hyperlink"/>
            <w:rFonts w:ascii="Calibri" w:hAnsi="Calibri" w:cs="Calibri"/>
            <w:sz w:val="22"/>
            <w:szCs w:val="22"/>
          </w:rPr>
          <w:t>Chapter 3.8</w:t>
        </w:r>
      </w:hyperlink>
      <w:r w:rsidR="002773C9" w:rsidRPr="002773C9">
        <w:rPr>
          <w:rFonts w:ascii="Calibri" w:hAnsi="Calibri" w:cs="Calibri"/>
          <w:sz w:val="22"/>
          <w:szCs w:val="22"/>
        </w:rPr>
        <w:t>).</w:t>
      </w:r>
    </w:p>
    <w:p w14:paraId="2F956439" w14:textId="70BC987A" w:rsidR="006C6EBA" w:rsidRPr="00F341C1" w:rsidRDefault="006C6EBA" w:rsidP="00EA22AE">
      <w:pPr>
        <w:spacing w:after="120"/>
        <w:rPr>
          <w:rFonts w:ascii="Calibri" w:hAnsi="Calibri" w:cs="Calibri"/>
          <w:color w:val="000000"/>
          <w:sz w:val="22"/>
          <w:szCs w:val="22"/>
        </w:rPr>
      </w:pPr>
      <w:r w:rsidRPr="006720E4">
        <w:rPr>
          <w:rFonts w:ascii="Calibri" w:hAnsi="Calibri" w:cs="Calibri"/>
          <w:sz w:val="22"/>
          <w:szCs w:val="22"/>
        </w:rPr>
        <w:t xml:space="preserve">A shared decision-making </w:t>
      </w:r>
      <w:r w:rsidRPr="004F318F">
        <w:rPr>
          <w:rFonts w:ascii="Calibri" w:hAnsi="Calibri" w:cs="Calibri"/>
          <w:sz w:val="22"/>
          <w:szCs w:val="22"/>
        </w:rPr>
        <w:t xml:space="preserve">approach (see </w:t>
      </w:r>
      <w:hyperlink w:anchor="_Shared_decision-making" w:history="1">
        <w:r w:rsidRPr="004F318F">
          <w:rPr>
            <w:rStyle w:val="Hyperlink"/>
            <w:rFonts w:ascii="Calibri" w:hAnsi="Calibri" w:cs="Calibri"/>
            <w:sz w:val="22"/>
            <w:szCs w:val="22"/>
          </w:rPr>
          <w:t xml:space="preserve">Chapter </w:t>
        </w:r>
        <w:r w:rsidR="00070E0E" w:rsidRPr="004F318F">
          <w:rPr>
            <w:rStyle w:val="Hyperlink"/>
            <w:rFonts w:ascii="Calibri" w:hAnsi="Calibri" w:cs="Calibri"/>
            <w:sz w:val="22"/>
            <w:szCs w:val="22"/>
          </w:rPr>
          <w:t>4</w:t>
        </w:r>
        <w:r w:rsidRPr="004F318F">
          <w:rPr>
            <w:rStyle w:val="Hyperlink"/>
            <w:rFonts w:ascii="Calibri" w:hAnsi="Calibri" w:cs="Calibri"/>
            <w:sz w:val="22"/>
            <w:szCs w:val="22"/>
          </w:rPr>
          <w:t>.1.2.1</w:t>
        </w:r>
      </w:hyperlink>
      <w:r w:rsidRPr="004F318F">
        <w:rPr>
          <w:rFonts w:ascii="Calibri" w:hAnsi="Calibri" w:cs="Calibri"/>
          <w:sz w:val="22"/>
          <w:szCs w:val="22"/>
        </w:rPr>
        <w:t>) should</w:t>
      </w:r>
      <w:r w:rsidRPr="006720E4">
        <w:rPr>
          <w:rFonts w:ascii="Calibri" w:hAnsi="Calibri" w:cs="Calibri"/>
          <w:sz w:val="22"/>
          <w:szCs w:val="22"/>
        </w:rPr>
        <w:t xml:space="preserve"> be used when determining whether to accept a prospective donor. This should be inclusive of relevant medical</w:t>
      </w:r>
      <w:r w:rsidRPr="006720E4">
        <w:rPr>
          <w:rFonts w:ascii="Calibri" w:hAnsi="Calibri" w:cs="Calibri"/>
          <w:color w:val="000000"/>
          <w:sz w:val="22"/>
          <w:szCs w:val="22"/>
        </w:rPr>
        <w:t xml:space="preserve">, nursing, and allied health staff, clinical psychologists, and donor advocates where relevant, as well as the prospective donor when appropriate. In particular, a donor centred approach to evaluation of risks </w:t>
      </w:r>
      <w:r w:rsidRPr="00F341C1">
        <w:rPr>
          <w:rFonts w:ascii="Calibri" w:hAnsi="Calibri" w:cs="Calibri"/>
          <w:color w:val="000000"/>
          <w:sz w:val="22"/>
          <w:szCs w:val="22"/>
        </w:rPr>
        <w:t xml:space="preserve">and potential benefits is recommended throughout the assessment and decision-making process (see </w:t>
      </w:r>
      <w:hyperlink w:anchor="_Assessing_proportionality_in" w:history="1">
        <w:r w:rsidRPr="00F341C1">
          <w:rPr>
            <w:rStyle w:val="Hyperlink"/>
            <w:rFonts w:ascii="Calibri" w:hAnsi="Calibri" w:cs="Calibri"/>
            <w:sz w:val="22"/>
            <w:szCs w:val="22"/>
          </w:rPr>
          <w:t xml:space="preserve">Chapter </w:t>
        </w:r>
        <w:r w:rsidR="00070E0E" w:rsidRPr="00F341C1">
          <w:rPr>
            <w:rStyle w:val="Hyperlink"/>
            <w:rFonts w:ascii="Calibri" w:hAnsi="Calibri" w:cs="Calibri"/>
            <w:sz w:val="22"/>
            <w:szCs w:val="22"/>
          </w:rPr>
          <w:t>6</w:t>
        </w:r>
        <w:r w:rsidRPr="00F341C1">
          <w:rPr>
            <w:rStyle w:val="Hyperlink"/>
            <w:rFonts w:ascii="Calibri" w:hAnsi="Calibri" w:cs="Calibri"/>
            <w:sz w:val="22"/>
            <w:szCs w:val="22"/>
          </w:rPr>
          <w:t>.3.3</w:t>
        </w:r>
      </w:hyperlink>
      <w:r w:rsidRPr="00F341C1">
        <w:rPr>
          <w:rFonts w:ascii="Calibri" w:hAnsi="Calibri" w:cs="Calibri"/>
          <w:color w:val="000000"/>
          <w:sz w:val="22"/>
          <w:szCs w:val="22"/>
        </w:rPr>
        <w:t>).</w:t>
      </w:r>
    </w:p>
    <w:p w14:paraId="11329FDC" w14:textId="77777777" w:rsidR="006C6EBA" w:rsidRPr="00F341C1" w:rsidRDefault="006C6EBA" w:rsidP="00EA22AE">
      <w:pPr>
        <w:pStyle w:val="Heading3"/>
        <w:spacing w:after="120"/>
      </w:pPr>
      <w:bookmarkStart w:id="2469" w:name="_Defining_acceptable_risk"/>
      <w:bookmarkStart w:id="2470" w:name="_Toc79406386"/>
      <w:bookmarkStart w:id="2471" w:name="_Toc82773593"/>
      <w:bookmarkStart w:id="2472" w:name="_Toc82773946"/>
      <w:bookmarkEnd w:id="2469"/>
      <w:r w:rsidRPr="00F341C1">
        <w:t>Defining acceptable risk thresholds for living organ donors</w:t>
      </w:r>
      <w:bookmarkEnd w:id="2470"/>
      <w:bookmarkEnd w:id="2471"/>
      <w:bookmarkEnd w:id="2472"/>
    </w:p>
    <w:p w14:paraId="5E2B7F2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Ethical tensions may arise when health professionals disagree with prospective living donors regarding the level of risk or balance of expected risks and benefits that is deemed ethically acceptable for donation to proceed in a particular case. </w:t>
      </w:r>
    </w:p>
    <w:p w14:paraId="45B983D2" w14:textId="3FB6463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There is clear consensus on the </w:t>
      </w:r>
      <w:r w:rsidRPr="006720E4">
        <w:rPr>
          <w:rFonts w:ascii="Calibri" w:hAnsi="Calibri" w:cs="Calibri"/>
          <w:b/>
          <w:bCs/>
          <w:sz w:val="22"/>
          <w:szCs w:val="22"/>
        </w:rPr>
        <w:t>limits of acceptable risks</w:t>
      </w:r>
      <w:r w:rsidRPr="006720E4">
        <w:rPr>
          <w:rFonts w:ascii="Calibri" w:hAnsi="Calibri" w:cs="Calibri"/>
          <w:sz w:val="22"/>
          <w:szCs w:val="22"/>
        </w:rPr>
        <w:t xml:space="preserve"> at the extreme end. For example, donation is unacceptable if it is expected to cause the donor’s death (</w:t>
      </w:r>
      <w:r w:rsidRPr="00F341C1">
        <w:rPr>
          <w:rFonts w:ascii="Calibri" w:hAnsi="Calibri" w:cs="Calibri"/>
          <w:sz w:val="22"/>
          <w:szCs w:val="22"/>
        </w:rPr>
        <w:t xml:space="preserve">see </w:t>
      </w:r>
      <w:hyperlink r:id="rId91" w:anchor="_Understanding_the_" w:history="1">
        <w:r w:rsidRPr="00F341C1">
          <w:rPr>
            <w:rStyle w:val="Hyperlink"/>
            <w:rFonts w:ascii="Calibri" w:hAnsi="Calibri" w:cs="Calibri"/>
            <w:sz w:val="22"/>
            <w:szCs w:val="22"/>
          </w:rPr>
          <w:t>Chapter 1</w:t>
        </w:r>
        <w:r w:rsidR="00070E0E" w:rsidRPr="00F341C1">
          <w:rPr>
            <w:rStyle w:val="Hyperlink"/>
            <w:rFonts w:ascii="Calibri" w:hAnsi="Calibri" w:cs="Calibri"/>
            <w:sz w:val="22"/>
            <w:szCs w:val="22"/>
          </w:rPr>
          <w:t>1</w:t>
        </w:r>
        <w:r w:rsidRPr="00F341C1">
          <w:rPr>
            <w:rStyle w:val="Hyperlink"/>
            <w:rFonts w:ascii="Calibri" w:hAnsi="Calibri" w:cs="Calibri"/>
            <w:sz w:val="22"/>
            <w:szCs w:val="22"/>
          </w:rPr>
          <w:t>.1</w:t>
        </w:r>
      </w:hyperlink>
      <w:r w:rsidRPr="00F341C1">
        <w:rPr>
          <w:rFonts w:ascii="Calibri" w:hAnsi="Calibri" w:cs="Calibri"/>
          <w:sz w:val="22"/>
          <w:szCs w:val="22"/>
        </w:rPr>
        <w:t>). If donation</w:t>
      </w:r>
      <w:r w:rsidRPr="006720E4">
        <w:rPr>
          <w:rFonts w:ascii="Calibri" w:hAnsi="Calibri" w:cs="Calibri"/>
          <w:sz w:val="22"/>
          <w:szCs w:val="22"/>
        </w:rPr>
        <w:t xml:space="preserve"> were expected to impair the donor’s health in ways that might be equivalent to any improvement in the health of the transplant recipient as a result of donation, this would also be unacceptable. For example, a person with one kidney would not be permitted to donate this kidney to a family member as this would leave the donor then dependent on dialysis and in need of transplantation. </w:t>
      </w:r>
    </w:p>
    <w:p w14:paraId="7902FB7B" w14:textId="5A0F012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Thiessen and colleagues suggest that prospective kidney donors may be considered to fall into three categories: “those who clearly meet all criteria to donate; those for whom there is a clear contra-indication to donation; and those for whom there may be a slightly increased risk of donation due to pre-existing medical conditions, such as obesity. This last group can be considered medically complex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{"citationItems":[{"id":"ITEM-1","itemData":{"DOI":"10.1111/ajt.13272","ISSN":"16006143","PMID":"25868787","abstract":"Living kidney donors are often excluded from the shared decision making and patient-centered models that are advocated in medical practice. Thresholds for acceptable risk vary between transplant centers, and between clinicians and donors. Although donor selection committees commonly focus on medical risks, potential donors also consider nonmedical risks and burdens, which may alter their assessment of an acceptable level of medical risk. Thus, transplant centers may encounter ethical tensions between nonmaleficence and respect for donor autonomy. A donor-centered model of risk assessment and risk reconciliation would integrate the donor's values and preferences in a shared decision about their eligibility to donate. This paper argues for shifting to a donor-centered model of risk assessment, and presents a research agenda to facilitate the greater participation of donors in their own evaluation and approval processes. This viewpoint advocates for the adoption of a donor-centered approach to living kidney donor evaluation, thereby enhancing donor autonomy and involvement in determining acceptable levels of donation-related medical risk.","author":[{"dropping-particle":"","family":"Thiessen","given":"C.","non-dropping-particle":"","parse-names":false,"suffix":""},{"dropping-particle":"","family":"Gordon","given":"E. J.","non-dropping-particle":"","parse-names":false,"suffix":""},{"dropping-particle":"","family":"Reese","given":"P. P.","non-dropping-particle":"","parse-names":false,"suffix":""},{"dropping-particle":"","family":"Kulkarni","given":"S.","non-dropping-particle":"","parse-names":false,"suffix":""}],"container-title":"American Journal of Transplantation","id":"ITEM-1","issue":"9","issued":{"date-parts":[["2015"]]},"page":"2314-2323","title":"Development of a Donor-Centered Approach to Risk Assessment: Rebalancing Nonmaleficence and Autonomy","type":"article-journal","volume":"15"},"uris":["http://www.mendeley.com/documents/?uuid=44ee4bca-c427-4c36-b156-e02b24ba53a1"]}],"mendeley":{"formattedCitation":"(80)","plainTextFormattedCitation":"(80)","previouslyFormattedCitation":"(80)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(80)</w:t>
      </w:r>
      <w:r w:rsidRPr="006720E4">
        <w:rPr>
          <w:rFonts w:ascii="Calibri" w:hAnsi="Calibri" w:cs="Calibri"/>
          <w:sz w:val="22"/>
          <w:szCs w:val="22"/>
        </w:rPr>
        <w:fldChar w:fldCharType="end"/>
      </w:r>
      <w:r w:rsidRPr="006720E4">
        <w:rPr>
          <w:rFonts w:ascii="Calibri" w:hAnsi="Calibri" w:cs="Calibri"/>
          <w:sz w:val="22"/>
          <w:szCs w:val="22"/>
        </w:rPr>
        <w:t xml:space="preserve"> They note that some individuals who are assessed as medically complex donors may choose not to proceed with donation when they are informed of the implications of </w:t>
      </w:r>
      <w:r w:rsidRPr="006720E4">
        <w:rPr>
          <w:rFonts w:ascii="Calibri" w:hAnsi="Calibri" w:cs="Calibri"/>
          <w:sz w:val="22"/>
          <w:szCs w:val="22"/>
        </w:rPr>
        <w:lastRenderedPageBreak/>
        <w:t>relevant risks, however some will be willing to assume the increased risk and make an informed decision to donate. These are described as “</w:t>
      </w:r>
      <w:r w:rsidRPr="006720E4">
        <w:rPr>
          <w:rFonts w:ascii="Calibri" w:hAnsi="Calibri" w:cs="Calibri"/>
          <w:b/>
          <w:bCs/>
          <w:sz w:val="22"/>
          <w:szCs w:val="22"/>
        </w:rPr>
        <w:t>discretionary donors</w:t>
      </w:r>
      <w:r w:rsidRPr="006720E4">
        <w:rPr>
          <w:rFonts w:ascii="Calibri" w:hAnsi="Calibri" w:cs="Calibri"/>
          <w:sz w:val="22"/>
          <w:szCs w:val="22"/>
        </w:rPr>
        <w:t>” who may face disagreement from some health professionals regarding their acceptance as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{"citationItems":[{"id":"ITEM-1","itemData":{"DOI":"10.1111/ajt.13272","ISSN":"16006143","PMID":"25868787","abstract":"Living kidney donors are often excluded from the shared decision making and patient-centered models that are advocated in medical practice. Thresholds for acceptable risk vary between transplant centers, and between clinicians and donors. Although donor selection committees commonly focus on medical risks, potential donors also consider nonmedical risks and burdens, which may alter their assessment of an acceptable level of medical risk. Thus, transplant centers may encounter ethical tensions between nonmaleficence and respect for donor autonomy. A donor-centered model of risk assessment and risk reconciliation would integrate the donor's values and preferences in a shared decision about their eligibility to donate. This paper argues for shifting to a donor-centered model of risk assessment, and presents a research agenda to facilitate the greater participation of donors in their own evaluation and approval processes. This viewpoint advocates for the adoption of a donor-centered approach to living kidney donor evaluation, thereby enhancing donor autonomy and involvement in determining acceptable levels of donation-related medical risk.","author":[{"dropping-particle":"","family":"Thiessen","given":"C.","non-dropping-particle":"","parse-names":false,"suffix":""},{"dropping-particle":"","family":"Gordon","given":"E. J.","non-dropping-particle":"","parse-names":false,"suffix":""},{"dropping-particle":"","family":"Reese","given":"P. P.","non-dropping-particle":"","parse-names":false,"suffix":""},{"dropping-particle":"","family":"Kulkarni","given":"S.","non-dropping-particle":"","parse-names":false,"suffix":""}],"container-title":"American Journal of Transplantation","id":"ITEM-1","issue":"9","issued":{"date-parts":[["2015"]]},"page":"2314-2323","title":"Development of a Donor-Centered Approach to Risk Assessment: Rebalancing Nonmaleficence and Autonomy","type":"article-journal","volume":"15"},"uris":["http://www.mendeley.com/documents/?uuid=44ee4bca-c427-4c36-b156-e02b24ba53a1"]}],"mendeley":{"formattedCitation":"(80)","plainTextFormattedCitation":"(80)","previouslyFormattedCitation":"(80)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(80)</w:t>
      </w:r>
      <w:r w:rsidRPr="006720E4">
        <w:rPr>
          <w:rFonts w:ascii="Calibri" w:hAnsi="Calibri" w:cs="Calibri"/>
          <w:sz w:val="22"/>
          <w:szCs w:val="22"/>
        </w:rPr>
        <w:fldChar w:fldCharType="end"/>
      </w:r>
    </w:p>
    <w:p w14:paraId="0276A8FB" w14:textId="3E9DA5A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Individual health professionals may have different views regarding the acceptability of risks of living organ donation in such “medically complex” or higher risk donors. Personal experiences, beliefs and values, local norms and other factors may influence attitudes towards risk acceptance. The real risks of donation in specific cases will also vary to some degree according to the level of experience and skill of individual health professionals and donation programs, the availability of relevant supportive and follow up care programs, and on the characteristics of the populations they serve. If the risks of living donation in a particular case fall within the range of acceptability as reflected in health professional practice around Australia, this condition for living organ donation should be satisfied. If one health professional is reluctant to accept a prospective donor who nevertheless falls within the range of acceptable risks, referring the individual for review by another health professional or assessment at a different transplant program may be appropriate.</w:t>
      </w:r>
    </w:p>
    <w:p w14:paraId="1D3D4C13" w14:textId="77777777" w:rsidR="006C6EBA" w:rsidRPr="006720E4" w:rsidRDefault="006C6EBA" w:rsidP="00EA22AE">
      <w:pPr>
        <w:pStyle w:val="Heading3"/>
        <w:spacing w:after="120"/>
      </w:pPr>
      <w:bookmarkStart w:id="2473" w:name="_Assessing_necessity_of"/>
      <w:bookmarkStart w:id="2474" w:name="_Toc79406387"/>
      <w:bookmarkStart w:id="2475" w:name="_Toc82773594"/>
      <w:bookmarkStart w:id="2476" w:name="_Toc82773947"/>
      <w:bookmarkEnd w:id="2473"/>
      <w:r w:rsidRPr="006720E4">
        <w:t>Assessing necessity of living organ donation</w:t>
      </w:r>
      <w:bookmarkEnd w:id="2474"/>
      <w:bookmarkEnd w:id="2475"/>
      <w:bookmarkEnd w:id="2476"/>
      <w:r w:rsidRPr="006720E4">
        <w:t xml:space="preserve"> </w:t>
      </w:r>
    </w:p>
    <w:p w14:paraId="539C32CB" w14:textId="17F8387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There may be ethical disagreement between health professionals or between health professionals and prospective donors and transplant recipients regarding the </w:t>
      </w:r>
      <w:r w:rsidRPr="006720E4">
        <w:rPr>
          <w:rFonts w:ascii="Calibri" w:hAnsi="Calibri" w:cs="Calibri"/>
          <w:b/>
          <w:bCs/>
          <w:sz w:val="22"/>
          <w:szCs w:val="22"/>
        </w:rPr>
        <w:t>necessity of living organ donation</w:t>
      </w:r>
      <w:r w:rsidRPr="006720E4">
        <w:rPr>
          <w:rFonts w:ascii="Calibri" w:hAnsi="Calibri" w:cs="Calibri"/>
          <w:sz w:val="22"/>
          <w:szCs w:val="22"/>
        </w:rPr>
        <w:t>. This is particularly relevant in the context of kidney donation, as most potential transplant recipients are able to access alternative kidney replacement therapy in the form of dialysis and some will have the opportunity to obtain a transplant from a decease donor. While in most cases, living kidney donation may not represent an immediately life-saving opportunity – in contrast to living liver donation in some cases – it may have substantial benefits for transplant recipients compared with alternative treatment options, and hence significant benefits for a living donor.</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{"citationItems":[{"id":"ITEM-1","itemData":{"DOI":"10.1097/MOP.0000000000000740","ISBN":"0000000000000","ISSN":"1531698X","PMID":"30762703","abstract":"Purpose of review Kidney transplantation is the preferred treatment modality for children with end-stage renal disease. In this review, we discuss the factors affecting the selection of the appropriate donor to ensure the best possible short and long-term outcomes. Recent findings Outcomes of pediatric renal transplantation from living donors are superior to those obtained from deceased donors. Despite this, the rate of living donor kidney transplantation has declined over the last decade. Living donation is considered to be safe but long-term outcomes, especially for parents who are often young donors, are not well understood. Living donation can also cause a financial impact to the donor and family. Barriers to living donation must be sought and defeated. Deceased donor organs are now the primary source of kidneys. How the risk of extended time on dialysis must be weighed against the improved outcomes that may accrue from better matching is controversial. Increasing the donor pool may be accomplished by reassessing sources that are currently avoided, such as donation after cardiac death and infant kidneys transplanted en bloc. Summary The pediatric nephrologist must balance waiting for the highest quality kidney against the need for the shortest possible waiting time.","author":[{"dropping-particle":"","family":"Sigurjonsdottir","given":"Vaka Kristin","non-dropping-particle":"","parse-names":false,"suffix":""},{"dropping-particle":"","family":"Grimm","given":"Paul Charles","non-dropping-particle":"","parse-names":false,"suffix":""}],"container-title":"Current Opinion in Pediatrics","id":"ITEM-1","issue":"2","issued":{"date-parts":[["2019"]]},"page":"232-236","title":"Living or deceased donor kidney transplantation in children","type":"article-journal","volume":"31"},"uris":["http://www.mendeley.com/documents/?uuid=672b8417-63a5-4565-8bc6-3d31607e50c4"]}],"mendeley":{"formattedCitation":"(81)","plainTextFormattedCitation":"(81)","previouslyFormattedCitation":"(81)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(81)</w:t>
      </w:r>
      <w:r w:rsidRPr="006720E4">
        <w:rPr>
          <w:rFonts w:ascii="Calibri" w:hAnsi="Calibri" w:cs="Calibri"/>
          <w:sz w:val="22"/>
          <w:szCs w:val="22"/>
        </w:rPr>
        <w:fldChar w:fldCharType="end"/>
      </w:r>
      <w:r w:rsidRPr="006720E4">
        <w:rPr>
          <w:rFonts w:ascii="Calibri" w:hAnsi="Calibri" w:cs="Calibri"/>
          <w:sz w:val="22"/>
          <w:szCs w:val="22"/>
        </w:rPr>
        <w:t xml:space="preserve"> </w:t>
      </w:r>
    </w:p>
    <w:p w14:paraId="2A5587F0" w14:textId="6DEFE57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more than one prospective living organ donor is available for a potential transplant recipient, the necessity for </w:t>
      </w:r>
      <w:r w:rsidRPr="009F6A61">
        <w:rPr>
          <w:rFonts w:ascii="Calibri" w:hAnsi="Calibri" w:cs="Calibri"/>
          <w:sz w:val="22"/>
          <w:szCs w:val="22"/>
        </w:rPr>
        <w:t xml:space="preserve">donation by any one individual is reduced, assuming that all may be clinically suitable to donate (see </w:t>
      </w:r>
      <w:hyperlink w:anchor="_Selecting_from_multiple" w:history="1">
        <w:r w:rsidRPr="009F6A61">
          <w:rPr>
            <w:rStyle w:val="Hyperlink"/>
            <w:rFonts w:ascii="Calibri" w:hAnsi="Calibri" w:cs="Calibri"/>
            <w:sz w:val="22"/>
            <w:szCs w:val="22"/>
          </w:rPr>
          <w:t xml:space="preserve">Chapter </w:t>
        </w:r>
        <w:r w:rsidR="00070E0E" w:rsidRPr="009F6A61">
          <w:rPr>
            <w:rStyle w:val="Hyperlink"/>
            <w:rFonts w:ascii="Calibri" w:hAnsi="Calibri" w:cs="Calibri"/>
            <w:sz w:val="22"/>
            <w:szCs w:val="22"/>
          </w:rPr>
          <w:t>6</w:t>
        </w:r>
        <w:r w:rsidRPr="009F6A61">
          <w:rPr>
            <w:rStyle w:val="Hyperlink"/>
            <w:rFonts w:ascii="Calibri" w:hAnsi="Calibri" w:cs="Calibri"/>
            <w:sz w:val="22"/>
            <w:szCs w:val="22"/>
          </w:rPr>
          <w:t>.3.2.1</w:t>
        </w:r>
      </w:hyperlink>
      <w:r w:rsidRPr="009F6A61">
        <w:rPr>
          <w:rFonts w:ascii="Calibri" w:hAnsi="Calibri" w:cs="Calibri"/>
          <w:sz w:val="22"/>
          <w:szCs w:val="22"/>
        </w:rPr>
        <w:t xml:space="preserve">). In practice, consideration of the necessity condition will often be less relevant in determining whether living donation should proceed than assessment of the proportionality of risks and potential benefits (see </w:t>
      </w:r>
      <w:hyperlink w:anchor="_Assessing_proportionality_in" w:history="1">
        <w:r w:rsidRPr="009F6A61">
          <w:rPr>
            <w:rStyle w:val="Hyperlink"/>
            <w:rFonts w:ascii="Calibri" w:hAnsi="Calibri" w:cs="Calibri"/>
            <w:sz w:val="22"/>
            <w:szCs w:val="22"/>
          </w:rPr>
          <w:t xml:space="preserve">Chapter </w:t>
        </w:r>
        <w:r w:rsidR="00070E0E" w:rsidRPr="009F6A61">
          <w:rPr>
            <w:rStyle w:val="Hyperlink"/>
            <w:rFonts w:ascii="Calibri" w:hAnsi="Calibri" w:cs="Calibri"/>
            <w:sz w:val="22"/>
            <w:szCs w:val="22"/>
          </w:rPr>
          <w:t>6</w:t>
        </w:r>
        <w:r w:rsidRPr="009F6A61">
          <w:rPr>
            <w:rStyle w:val="Hyperlink"/>
            <w:rFonts w:ascii="Calibri" w:hAnsi="Calibri" w:cs="Calibri"/>
            <w:sz w:val="22"/>
            <w:szCs w:val="22"/>
          </w:rPr>
          <w:t>.3.3</w:t>
        </w:r>
      </w:hyperlink>
      <w:r w:rsidRPr="009F6A61">
        <w:rPr>
          <w:rFonts w:ascii="Calibri" w:hAnsi="Calibri" w:cs="Calibri"/>
          <w:sz w:val="22"/>
          <w:szCs w:val="22"/>
        </w:rPr>
        <w:t>).</w:t>
      </w:r>
      <w:r w:rsidRPr="006720E4">
        <w:rPr>
          <w:rFonts w:ascii="Calibri" w:hAnsi="Calibri" w:cs="Calibri"/>
          <w:sz w:val="22"/>
          <w:szCs w:val="22"/>
        </w:rPr>
        <w:t xml:space="preserve">  </w:t>
      </w:r>
    </w:p>
    <w:p w14:paraId="2E4CD522" w14:textId="77777777" w:rsidR="006C6EBA" w:rsidRPr="006720E4" w:rsidRDefault="006C6EBA" w:rsidP="00EA22AE">
      <w:pPr>
        <w:pStyle w:val="Heading4"/>
        <w:spacing w:after="120"/>
      </w:pPr>
      <w:bookmarkStart w:id="2477" w:name="_Selecting_from_multiple"/>
      <w:bookmarkStart w:id="2478" w:name="_Toc70414872"/>
      <w:bookmarkStart w:id="2479" w:name="_Toc70844194"/>
      <w:bookmarkStart w:id="2480" w:name="_Toc72615129"/>
      <w:bookmarkStart w:id="2481" w:name="_Toc73129848"/>
      <w:bookmarkStart w:id="2482" w:name="_Toc73301717"/>
      <w:bookmarkStart w:id="2483" w:name="_Toc73302223"/>
      <w:bookmarkStart w:id="2484" w:name="_Toc73303356"/>
      <w:bookmarkStart w:id="2485" w:name="_Toc73303594"/>
      <w:bookmarkStart w:id="2486" w:name="_Toc74080711"/>
      <w:bookmarkStart w:id="2487" w:name="_Toc74081019"/>
      <w:bookmarkStart w:id="2488" w:name="_Toc74081249"/>
      <w:bookmarkStart w:id="2489" w:name="_Toc74081501"/>
      <w:bookmarkStart w:id="2490" w:name="_Toc74171080"/>
      <w:bookmarkStart w:id="2491" w:name="_Toc74172278"/>
      <w:bookmarkStart w:id="2492" w:name="_Toc74172814"/>
      <w:bookmarkStart w:id="2493" w:name="_Toc74238754"/>
      <w:bookmarkStart w:id="2494" w:name="_Toc82773595"/>
      <w:bookmarkStart w:id="2495" w:name="_Toc82773948"/>
      <w:bookmarkEnd w:id="2477"/>
      <w:r w:rsidRPr="006720E4">
        <w:t>Selecting from multiple available living organ donors</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14:paraId="5499561D" w14:textId="2CC2A77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cases, more than one potential living organ donor may volunteer to donate to a transplant candidate. If more than one of these individuals is clinically eligible to donate, health professionals may be asked or required to assist in selecting the person who will proceed with donation. Ideally the person who donates will be the individual for whom donation offers the best balance of risks and benefits, with the expectation that this balance is likely to align with what is best for the transplant </w:t>
      </w:r>
      <w:r w:rsidRPr="009F6A61">
        <w:rPr>
          <w:rFonts w:ascii="Calibri" w:hAnsi="Calibri" w:cs="Calibri"/>
          <w:sz w:val="22"/>
          <w:szCs w:val="22"/>
        </w:rPr>
        <w:t xml:space="preserve">recipient (see </w:t>
      </w:r>
      <w:hyperlink w:anchor="_Assessing_proportionality_in" w:history="1">
        <w:r w:rsidRPr="009F6A61">
          <w:rPr>
            <w:rStyle w:val="Hyperlink"/>
            <w:rFonts w:ascii="Calibri" w:hAnsi="Calibri" w:cs="Calibri"/>
            <w:sz w:val="22"/>
            <w:szCs w:val="22"/>
          </w:rPr>
          <w:t xml:space="preserve">Chapter </w:t>
        </w:r>
        <w:r w:rsidR="00070E0E" w:rsidRPr="009F6A61">
          <w:rPr>
            <w:rStyle w:val="Hyperlink"/>
            <w:rFonts w:ascii="Calibri" w:hAnsi="Calibri" w:cs="Calibri"/>
            <w:sz w:val="22"/>
            <w:szCs w:val="22"/>
          </w:rPr>
          <w:t>6</w:t>
        </w:r>
        <w:r w:rsidRPr="009F6A61">
          <w:rPr>
            <w:rStyle w:val="Hyperlink"/>
            <w:rFonts w:ascii="Calibri" w:hAnsi="Calibri" w:cs="Calibri"/>
            <w:sz w:val="22"/>
            <w:szCs w:val="22"/>
          </w:rPr>
          <w:t>.3.3</w:t>
        </w:r>
      </w:hyperlink>
      <w:r w:rsidRPr="009F6A61">
        <w:rPr>
          <w:rFonts w:ascii="Calibri" w:hAnsi="Calibri" w:cs="Calibri"/>
          <w:sz w:val="22"/>
          <w:szCs w:val="22"/>
        </w:rPr>
        <w:t>).</w:t>
      </w:r>
    </w:p>
    <w:p w14:paraId="19896B6E"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Collaborative discussions with prospective donors as well as the intended transplant recipient may be needed to assist in decision-making as donor evaluation proceeds. Involvement of psychological counsellors and advocates may be helpful in supporting families to navigate complex discussions. Regardless of which person proceeds to donate, the donation will have an impact on other family members and the risks and potential benefits of donation may be considered collectively from the perspective of the family as well as individuals. </w:t>
      </w:r>
    </w:p>
    <w:p w14:paraId="47EB2D15" w14:textId="667AC4D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Given the costs and other burdens associated with complete evaluation of individual potential donors, it may also be appropriate to select a donor relatively early in the process. However recent research suggests that in the case of living kidney donation, there may be financial benefits to simultaneous rather than sequential assessment of potential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{"citationItems":[{"id":"ITEM-1","itemData":{"DOI":"10.1016/j.kint.2020.06.015","ISSN":"15231755","PMID":"32619496","abstract":"When multiple living donor candidates come forward to donate a kidney to the same recipient, some living donor programs evaluate one candidate at a time to avoid unnecessary evaluations. Evaluating multiple candidates concurrently rather than sequentially may be cost-effective from a societal perspective if it reduces the time recipients spend on dialysis. We used a simple decision tree to estimate the cost-effectiveness of evaluating two to four candidates simultaneously rather than sequentially as potential kidney donors for the same intended recipient. Evaluating two donor candidates simultaneously cost $1,266 (CAD) more than if they were evaluated sequentially, but living donation occurred one month earlier. This translated into $6,931 in averted dialysis costs and a total cost-savings of $5,665 per intended recipient. Simultaneous evaluations also resulted in one percent more living donor transplants and overall gains in quality-of-life as recipients spent less time on dialysis. If recipients were free from dialysis at the start of donor candidate evaluations, simultaneous evaluations also reduced the rate of dialysis initiation by two percent. Benefits were also observed in the three- and four-candidate scenarios. Thus, living donor programs should consider evaluating up to four living donor candidates simultaneously when they come forward for the same recipient as health care system costs incurred are more than offset by avoided dialysis costs.","author":[{"dropping-particle":"","family":"Habbous","given":"Steven","non-dropping-particle":"","parse-names":false,"suffix":""},{"dropping-particle":"","family":"Barnieh","given":"Lianne","non-dropping-particle":"","parse-names":false,"suffix":""},{"dropping-particle":"","family":"Klarenbach","given":"Scott","non-dropping-particle":"","parse-names":false,"suffix":""},{"dropping-particle":"","family":"Manns","given":"Braden","non-dropping-particle":"","parse-names":false,"suffix":""},{"dropping-particle":"","family":"Sarma","given":"Sisira","non-dropping-particle":"","parse-names":false,"suffix":""},{"dropping-particle":"","family":"Begen","given":"Mehmet A.","non-dropping-particle":"","parse-names":false,"suffix":""},{"dropping-particle":"","family":"Litchfield","given":"Kenneth","non-dropping-particle":"","parse-names":false,"suffix":""},{"dropping-particle":"","family":"Lentine","given":"Krista L.","non-dropping-particle":"","parse-names":false,"suffix":""},{"dropping-particle":"","family":"Singh","given":"Sunita","non-dropping-particle":"","parse-names":false,"suffix":""},{"dropping-particle":"","family":"Garg","given":"Amit X.","non-dropping-particle":"","parse-names":false,"suffix":""}],"container-title":"Kidney International","id":"ITEM-1","issue":"6","issued":{"date-parts":[["2020"]]},"page":"1578-1588","title":"Evaluating multiple living kidney donor candidates simultaneously is more cost-effective than sequentially","type":"article-journal","volume":"98"},"uris":["http://www.mendeley.com/documents/?uuid=ff787174-5ae7-4ea0-86ec-d257102a2463"]}],"mendeley":{"formattedCitation":"(82)","plainTextFormattedCitation":"(82)","previouslyFormattedCitation":"(82)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(82)</w:t>
      </w:r>
      <w:r w:rsidRPr="006720E4">
        <w:rPr>
          <w:rFonts w:ascii="Calibri" w:hAnsi="Calibri" w:cs="Calibri"/>
          <w:sz w:val="22"/>
          <w:szCs w:val="22"/>
        </w:rPr>
        <w:fldChar w:fldCharType="end"/>
      </w:r>
      <w:r w:rsidRPr="006720E4">
        <w:rPr>
          <w:rFonts w:ascii="Calibri" w:hAnsi="Calibri" w:cs="Calibri"/>
          <w:sz w:val="22"/>
          <w:szCs w:val="22"/>
        </w:rPr>
        <w:t xml:space="preserve"> If assessments have not been completed, it may not always be possible to predict which of the potential donors is likely to face the lowest risks and/or greatest potential benefits from donation, which could raise ethical </w:t>
      </w:r>
      <w:r w:rsidRPr="006720E4">
        <w:rPr>
          <w:rFonts w:ascii="Calibri" w:hAnsi="Calibri" w:cs="Calibri"/>
          <w:sz w:val="22"/>
          <w:szCs w:val="22"/>
        </w:rPr>
        <w:lastRenderedPageBreak/>
        <w:t>concerns. There may also be concerns regarding fairness in selection or voluntariness in consent, for example if bias on the part of health professionals or family members inappropriately influences decision-making when prioritising one of several donor candidates.</w:t>
      </w:r>
    </w:p>
    <w:p w14:paraId="242D5B7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Transplant centres should establish clear mechanisms to support decision-making leading to selection of living donors when multiple potential donors are available.</w:t>
      </w:r>
    </w:p>
    <w:p w14:paraId="7B1AC017" w14:textId="77777777" w:rsidR="006C6EBA" w:rsidRPr="006720E4" w:rsidRDefault="006C6EBA" w:rsidP="00EA22AE">
      <w:pPr>
        <w:pStyle w:val="Heading3"/>
        <w:spacing w:after="120"/>
      </w:pPr>
      <w:bookmarkStart w:id="2496" w:name="_Assessing_proportionality_in"/>
      <w:bookmarkStart w:id="2497" w:name="_Toc79406388"/>
      <w:bookmarkStart w:id="2498" w:name="_Toc82773596"/>
      <w:bookmarkStart w:id="2499" w:name="_Toc82773949"/>
      <w:bookmarkEnd w:id="2496"/>
      <w:r w:rsidRPr="006720E4">
        <w:t>Assessing proportionality in risks and benefits of living organ donation</w:t>
      </w:r>
      <w:bookmarkEnd w:id="2497"/>
      <w:bookmarkEnd w:id="2498"/>
      <w:bookmarkEnd w:id="2499"/>
    </w:p>
    <w:p w14:paraId="4C4826B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Determining whether the risks and expected benefits of living organ donation are </w:t>
      </w:r>
      <w:r w:rsidRPr="006720E4">
        <w:rPr>
          <w:rFonts w:ascii="Calibri" w:hAnsi="Calibri" w:cs="Calibri"/>
          <w:b/>
          <w:bCs/>
          <w:sz w:val="22"/>
          <w:szCs w:val="22"/>
        </w:rPr>
        <w:t>proportionate</w:t>
      </w:r>
      <w:r w:rsidRPr="006720E4">
        <w:rPr>
          <w:rFonts w:ascii="Calibri" w:hAnsi="Calibri" w:cs="Calibri"/>
          <w:sz w:val="22"/>
          <w:szCs w:val="22"/>
        </w:rPr>
        <w:t xml:space="preserve"> requires evaluation of potential benefits and risks that the donor may experience as well as the potential benefits and risks for the transplant recipient. </w:t>
      </w:r>
    </w:p>
    <w:p w14:paraId="07023E22" w14:textId="4A524FB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w:t>
      </w:r>
      <w:r w:rsidRPr="006720E4">
        <w:rPr>
          <w:rFonts w:ascii="Calibri" w:hAnsi="Calibri" w:cs="Calibri"/>
          <w:b/>
          <w:bCs/>
          <w:sz w:val="22"/>
          <w:szCs w:val="22"/>
        </w:rPr>
        <w:t>donor centred approach to evaluation</w:t>
      </w:r>
      <w:r w:rsidRPr="006720E4">
        <w:rPr>
          <w:rFonts w:ascii="Calibri" w:hAnsi="Calibri" w:cs="Calibri"/>
          <w:sz w:val="22"/>
          <w:szCs w:val="22"/>
        </w:rPr>
        <w:t xml:space="preserve"> of risks and potential benefits is recommended, in which the prospective donor’s goals, values and preferences are central.</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{"citationItems":[{"id":"ITEM-1","itemData":{"DOI":"10.1111/ajt.13272","ISSN":"16006143","PMID":"25868787","abstract":"Living kidney donors are often excluded from the shared decision making and patient-centered models that are advocated in medical practice. Thresholds for acceptable risk vary between transplant centers, and between clinicians and donors. Although donor selection committees commonly focus on medical risks, potential donors also consider nonmedical risks and burdens, which may alter their assessment of an acceptable level of medical risk. Thus, transplant centers may encounter ethical tensions between nonmaleficence and respect for donor autonomy. A donor-centered model of risk assessment and risk reconciliation would integrate the donor's values and preferences in a shared decision about their eligibility to donate. This paper argues for shifting to a donor-centered model of risk assessment, and presents a research agenda to facilitate the greater participation of donors in their own evaluation and approval processes. This viewpoint advocates for the adoption of a donor-centered approach to living kidney donor evaluation, thereby enhancing donor autonomy and involvement in determining acceptable levels of donation-related medical risk.","author":[{"dropping-particle":"","family":"Thiessen","given":"C.","non-dropping-particle":"","parse-names":false,"suffix":""},{"dropping-particle":"","family":"Gordon","given":"E. J.","non-dropping-particle":"","parse-names":false,"suffix":""},{"dropping-particle":"","family":"Reese","given":"P. P.","non-dropping-particle":"","parse-names":false,"suffix":""},{"dropping-particle":"","family":"Kulkarni","given":"S.","non-dropping-particle":"","parse-names":false,"suffix":""}],"container-title":"American Journal of Transplantation","id":"ITEM-1","issue":"9","issued":{"date-parts":[["2015"]]},"page":"2314-2323","title":"Development of a Donor-Centered Approach to Risk Assessment: Rebalancing Nonmaleficence and Autonomy","type":"article-journal","volume":"15"},"uris":["http://www.mendeley.com/documents/?uuid=44ee4bca-c427-4c36-b156-e02b24ba53a1"]}],"mendeley":{"formattedCitation":"(80)","plainTextFormattedCitation":"(80)","previouslyFormattedCitation":"(80)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(80)</w:t>
      </w:r>
      <w:r w:rsidRPr="006720E4">
        <w:rPr>
          <w:rFonts w:ascii="Calibri" w:hAnsi="Calibri" w:cs="Calibri"/>
          <w:sz w:val="22"/>
          <w:szCs w:val="22"/>
        </w:rPr>
        <w:fldChar w:fldCharType="end"/>
      </w:r>
      <w:r w:rsidRPr="006720E4">
        <w:rPr>
          <w:rFonts w:ascii="Calibri" w:hAnsi="Calibri" w:cs="Calibri"/>
          <w:sz w:val="22"/>
          <w:szCs w:val="22"/>
        </w:rPr>
        <w:t xml:space="preserve"> In this, the proportionality of risks and potential benefits should be determined largely by the risks and expected benefits for the donor. That is, the potential benefits and risks for the prospective transplant recipient should be considered in so far as these may impact the recipient. The donor’s values and preferences are also particularly important in identifying and qualitatively assessing potential benefits and risks.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{"citationItems":[{"id":"ITEM-1","itemData":{"DOI":"10.1097/TXD.0000000000001068","ISBN":"0000000000","ISSN":"23738731","abstract":"Background. The framework currently used for living kidney donor selection is based on estimation of acceptable donor risk, under the premise that benefits are only experienced by the recipient. However, some interdependent donors might experience tangible benefits from donation that cannot be considered in the current framework (ie, benefits experienced directly by the donor that improve their daily life, well-being, or livelihood). Methods. We conducted semistructured interviews with 56 living kidney donors regarding benefits experienced from donation. Using a qualitative descriptive and constant comparative approach, themes were derived inductively from interview transcripts by 2 independent coders; differences in coding were reconciled by consensus. Results. Of 56 participants, 30 were in interdependent relationships with their recipients (shared household and/or significant caregiving responsibilities). Tangible benefits identified by participants fell into 3 major categories: health and wellness benefits, time and financial benefits, and interpersonal benefits. Participants described motivations to donate a kidney based on a more nuanced understanding of the benefits of donation than accounted for by the current \"acceptable risk\"paradigm. Discussion. Tangible benefits for interdependent donors may shift the \"acceptable risk\"paradigm (where no benefit is assumed) of kidney donor evaluation to a risk/benefit paradigm more consistent with other surgical decision-making.","author":[{"dropping-particle":"","family":"Pilsum Rasmussen","given":"Sarah E.","non-dropping-particle":"Van","parse-names":false,"suffix":""},{"dropping-particle":"","family":"Robin","given":"Miriam","non-dropping-particle":"","parse-names":false,"suffix":""},{"dropping-particle":"","family":"Saha","given":"Amrita","non-dropping-particle":"","parse-names":false,"suffix":""},{"dropping-particle":"","family":"Eno","given":"Anne","non-dropping-particle":"","parse-names":false,"suffix":""},{"dropping-particle":"","family":"Lifshitz","given":"Romi","non-dropping-particle":"","parse-names":false,"suffix":""},{"dropping-particle":"","family":"Waldram","given":"Madeleine M.","non-dropping-particle":"","parse-names":false,"suffix":""},{"dropping-particle":"","family":"Getsin","given":"Samantha N.","non-dropping-particle":"","parse-names":false,"suffix":""},{"dropping-particle":"","family":"Chu","given":"Nadia M.","non-dropping-particle":"","parse-names":false,"suffix":""},{"dropping-particle":"","family":"Ammary","given":"Fawaz","non-dropping-particle":"Al","parse-names":false,"suffix":""},{"dropping-particle":"","family":"Segev","given":"Dorry L.","non-dropping-particle":"","parse-names":false,"suffix":""},{"dropping-particle":"","family":"Henderson","given":"MacEy L.","non-dropping-particle":"","parse-names":false,"suffix":""}],"container-title":"Transplantation Direct","id":"ITEM-1","issued":{"date-parts":[["2020"]]},"page":"1-8","title":"The Tangible Benefits of Living Donation: Results of a Qualitative Study of Living Kidney Donors","type":"article-journal"},"uris":["http://www.mendeley.com/documents/?uuid=57fd29ef-3d48-4dcf-974e-8b356355c3cb"]}],"mendeley":{"formattedCitation":"(83)","plainTextFormattedCitation":"(83)","previouslyFormattedCitation":"(83)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(83)</w:t>
      </w:r>
      <w:r w:rsidRPr="006720E4">
        <w:rPr>
          <w:rFonts w:ascii="Calibri" w:hAnsi="Calibri" w:cs="Calibri"/>
          <w:sz w:val="22"/>
          <w:szCs w:val="22"/>
        </w:rPr>
        <w:fldChar w:fldCharType="end"/>
      </w:r>
    </w:p>
    <w:p w14:paraId="7C16574B" w14:textId="03992450" w:rsidR="006C6EBA" w:rsidRPr="006720E4" w:rsidRDefault="006C6EBA" w:rsidP="00C3783C">
      <w:pPr>
        <w:pStyle w:val="ListParagraph"/>
        <w:numPr>
          <w:ilvl w:val="0"/>
          <w:numId w:val="111"/>
        </w:numPr>
        <w:spacing w:after="120"/>
        <w:contextualSpacing w:val="0"/>
        <w:rPr>
          <w:rFonts w:cs="Calibri"/>
          <w:szCs w:val="22"/>
        </w:rPr>
      </w:pPr>
      <w:r w:rsidRPr="006720E4">
        <w:rPr>
          <w:rFonts w:cs="Calibri"/>
          <w:szCs w:val="22"/>
        </w:rPr>
        <w:t xml:space="preserve">For example, a health professional may be reluctant to accept a man as a living kidney donor for his wife if the man is at significant risk of developing diabetes as he ages. However, the man may experience substantial burdens in providing ongoing care for his wife and disruption to their lives and household as a result of her dependence on dialysis. Hence the expected psychosocial benefits to him of his wife receiving a transplant may far outweigh the risks of developing diabetes and potentially developing kidney impairment himself in the future. </w:t>
      </w:r>
    </w:p>
    <w:p w14:paraId="001FDA40" w14:textId="5C38B1B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potential influence of personal values and preferences as well as potential biases on risk acceptance in living organ donation should be a particular concern when evaluating proportionality of risks and benefits. </w:t>
      </w:r>
    </w:p>
    <w:p w14:paraId="6104826B" w14:textId="6399E58A" w:rsidR="006C6EBA" w:rsidRPr="006720E4" w:rsidRDefault="006C6EBA" w:rsidP="00C3783C">
      <w:pPr>
        <w:pStyle w:val="ListParagraph"/>
        <w:numPr>
          <w:ilvl w:val="0"/>
          <w:numId w:val="111"/>
        </w:numPr>
        <w:spacing w:after="120"/>
        <w:contextualSpacing w:val="0"/>
        <w:rPr>
          <w:rFonts w:cs="Calibri"/>
          <w:szCs w:val="22"/>
        </w:rPr>
      </w:pPr>
      <w:r w:rsidRPr="006720E4">
        <w:rPr>
          <w:rFonts w:cs="Calibri"/>
          <w:szCs w:val="22"/>
        </w:rPr>
        <w:t xml:space="preserve">For example, while a health professional may refuse to support kidney donation by the man with a potential risk of developing diabetes if the intended recipient is the man’s wife, the same health professional may be willing to support donation by the man if the intended recipient is the man’s child. </w:t>
      </w:r>
    </w:p>
    <w:p w14:paraId="050C336B" w14:textId="2207BF45"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 xml:space="preserve">If this were the case, this implies the health professional is making a value-based judgement that the benefits associated with transplantation of the child are greater than those associated with transplantation of the adult wife. From a clinical perspective, the impact of receiving a timely living donor transplant may well be greater in the case of a child recipient. However, the prospective donor – and his wife – may have different views regarding the relative benefits of transplantation in either case. </w:t>
      </w:r>
    </w:p>
    <w:p w14:paraId="401D4AFD" w14:textId="77777777"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 xml:space="preserve">Such an approach by a health professional also suggests that it is the magnitude of benefits for the transplant recipient that are being weighed against the potential risks for living donor, rather than the benefits for the donor. </w:t>
      </w:r>
    </w:p>
    <w:p w14:paraId="3ED2B1D0" w14:textId="4C377A6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Even if donation by a prospective living organ donor is deemed ethically justifiable according to the conditions discussed above, this does not mean that donation should proceed. The potential transplant recipient may have better options or preferable options for treatment that offer a better balance of potential risks and benefits from the recipient’s </w:t>
      </w:r>
      <w:r w:rsidRPr="00823A54">
        <w:rPr>
          <w:rFonts w:ascii="Calibri" w:hAnsi="Calibri" w:cs="Calibri"/>
          <w:sz w:val="22"/>
          <w:szCs w:val="22"/>
        </w:rPr>
        <w:t xml:space="preserve">perspective (see </w:t>
      </w:r>
      <w:hyperlink w:anchor="_Assessing_risks_and" w:history="1">
        <w:r w:rsidRPr="00823A54">
          <w:rPr>
            <w:rStyle w:val="Hyperlink"/>
            <w:rFonts w:ascii="Calibri" w:hAnsi="Calibri" w:cs="Calibri"/>
            <w:sz w:val="22"/>
            <w:szCs w:val="22"/>
          </w:rPr>
          <w:t xml:space="preserve">Chapter </w:t>
        </w:r>
        <w:r w:rsidR="007F50FE" w:rsidRPr="00823A54">
          <w:rPr>
            <w:rStyle w:val="Hyperlink"/>
            <w:rFonts w:ascii="Calibri" w:hAnsi="Calibri" w:cs="Calibri"/>
            <w:sz w:val="22"/>
            <w:szCs w:val="22"/>
          </w:rPr>
          <w:t>6</w:t>
        </w:r>
        <w:r w:rsidRPr="00823A54">
          <w:rPr>
            <w:rStyle w:val="Hyperlink"/>
            <w:rFonts w:ascii="Calibri" w:hAnsi="Calibri" w:cs="Calibri"/>
            <w:sz w:val="22"/>
            <w:szCs w:val="22"/>
          </w:rPr>
          <w:t>.5.2</w:t>
        </w:r>
      </w:hyperlink>
      <w:r w:rsidRPr="00823A54">
        <w:rPr>
          <w:rFonts w:ascii="Calibri" w:hAnsi="Calibri" w:cs="Calibri"/>
          <w:sz w:val="22"/>
          <w:szCs w:val="22"/>
        </w:rPr>
        <w:t>). The</w:t>
      </w:r>
      <w:r w:rsidRPr="006720E4">
        <w:rPr>
          <w:rFonts w:ascii="Calibri" w:hAnsi="Calibri" w:cs="Calibri"/>
          <w:sz w:val="22"/>
          <w:szCs w:val="22"/>
        </w:rPr>
        <w:t xml:space="preserve"> potential recipient may choose to decline an offer of an organ from a living donor and hence donation will not proceed.</w:t>
      </w:r>
    </w:p>
    <w:p w14:paraId="33FC539A" w14:textId="77777777" w:rsidR="006C6EBA" w:rsidRPr="006720E4" w:rsidRDefault="006C6EBA" w:rsidP="00EA22AE">
      <w:pPr>
        <w:pStyle w:val="Heading3"/>
        <w:spacing w:after="120"/>
      </w:pPr>
      <w:bookmarkStart w:id="2500" w:name="_Non-directed_living_organ"/>
      <w:bookmarkStart w:id="2501" w:name="_Toc63683426"/>
      <w:bookmarkStart w:id="2502" w:name="_Toc70241768"/>
      <w:bookmarkStart w:id="2503" w:name="_Toc70243403"/>
      <w:bookmarkStart w:id="2504" w:name="_Toc70414871"/>
      <w:bookmarkStart w:id="2505" w:name="_Toc70844193"/>
      <w:bookmarkStart w:id="2506" w:name="_Toc72615128"/>
      <w:bookmarkStart w:id="2507" w:name="_Toc73129847"/>
      <w:bookmarkStart w:id="2508" w:name="_Toc73301716"/>
      <w:bookmarkStart w:id="2509" w:name="_Toc73302222"/>
      <w:bookmarkStart w:id="2510" w:name="_Toc73303355"/>
      <w:bookmarkStart w:id="2511" w:name="_Toc73303593"/>
      <w:bookmarkStart w:id="2512" w:name="_Toc74080710"/>
      <w:bookmarkStart w:id="2513" w:name="_Toc74081018"/>
      <w:bookmarkStart w:id="2514" w:name="_Toc74081248"/>
      <w:bookmarkStart w:id="2515" w:name="_Toc74081500"/>
      <w:bookmarkStart w:id="2516" w:name="_Toc74171079"/>
      <w:bookmarkStart w:id="2517" w:name="_Toc74172277"/>
      <w:bookmarkStart w:id="2518" w:name="_Toc74172813"/>
      <w:bookmarkStart w:id="2519" w:name="_Toc74238753"/>
      <w:bookmarkStart w:id="2520" w:name="_Toc79406389"/>
      <w:bookmarkStart w:id="2521" w:name="_Toc82773597"/>
      <w:bookmarkStart w:id="2522" w:name="_Toc82773950"/>
      <w:bookmarkEnd w:id="2500"/>
      <w:r w:rsidRPr="006720E4">
        <w:lastRenderedPageBreak/>
        <w:t xml:space="preserve">Non-directed living organ </w:t>
      </w:r>
      <w:bookmarkEnd w:id="2501"/>
      <w:bookmarkEnd w:id="2502"/>
      <w:bookmarkEnd w:id="2503"/>
      <w:r w:rsidRPr="006720E4">
        <w:t>donors</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14:paraId="72200905" w14:textId="6DF864C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potential benefits to a living donor who is able to restore the health or save the life of a loved one who receives a transplant are often significant, and high rates of satisfaction with donation are reported by living directed organ donors .</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{"citationItems":[{"id":"ITEM-1","itemData":{"DOI":"10.1097/TXD.0000000000001068","ISBN":"0000000000","ISSN":"23738731","abstract":"Background. The framework currently used for living kidney donor selection is based on estimation of acceptable donor risk, under the premise that benefits are only experienced by the recipient. However, some interdependent donors might experience tangible benefits from donation that cannot be considered in the current framework (ie, benefits experienced directly by the donor that improve their daily life, well-being, or livelihood). Methods. We conducted semistructured interviews with 56 living kidney donors regarding benefits experienced from donation. Using a qualitative descriptive and constant comparative approach, themes were derived inductively from interview transcripts by 2 independent coders; differences in coding were reconciled by consensus. Results. Of 56 participants, 30 were in interdependent relationships with their recipients (shared household and/or significant caregiving responsibilities). Tangible benefits identified by participants fell into 3 major categories: health and wellness benefits, time and financial benefits, and interpersonal benefits. Participants described motivations to donate a kidney based on a more nuanced understanding of the benefits of donation than accounted for by the current \"acceptable risk\"paradigm. Discussion. Tangible benefits for interdependent donors may shift the \"acceptable risk\"paradigm (where no benefit is assumed) of kidney donor evaluation to a risk/benefit paradigm more consistent with other surgical decision-making.","author":[{"dropping-particle":"","family":"Pilsum Rasmussen","given":"Sarah E.","non-dropping-particle":"Van","parse-names":false,"suffix":""},{"dropping-particle":"","family":"Robin","given":"Miriam","non-dropping-particle":"","parse-names":false,"suffix":""},{"dropping-particle":"","family":"Saha","given":"Amrita","non-dropping-particle":"","parse-names":false,"suffix":""},{"dropping-particle":"","family":"Eno","given":"Anne","non-dropping-particle":"","parse-names":false,"suffix":""},{"dropping-particle":"","family":"Lifshitz","given":"Romi","non-dropping-particle":"","parse-names":false,"suffix":""},{"dropping-particle":"","family":"Waldram","given":"Madeleine M.","non-dropping-particle":"","parse-names":false,"suffix":""},{"dropping-particle":"","family":"Getsin","given":"Samantha N.","non-dropping-particle":"","parse-names":false,"suffix":""},{"dropping-particle":"","family":"Chu","given":"Nadia M.","non-dropping-particle":"","parse-names":false,"suffix":""},{"dropping-particle":"","family":"Ammary","given":"Fawaz","non-dropping-particle":"Al","parse-names":false,"suffix":""},{"dropping-particle":"","family":"Segev","given":"Dorry L.","non-dropping-particle":"","parse-names":false,"suffix":""},{"dropping-particle":"","family":"Henderson","given":"MacEy L.","non-dropping-particle":"","parse-names":false,"suffix":""}],"container-title":"Transplantation Direct","id":"ITEM-1","issued":{"date-parts":[["2020"]]},"page":"1-8","title":"The Tangible Benefits of Living Donation: Results of a Qualitative Study of Living Kidney Donors","type":"article-journal"},"uris":["http://www.mendeley.com/documents/?uuid=57fd29ef-3d48-4dcf-974e-8b356355c3cb"]},{"id":"ITEM-2","itemData":{"DOI":"10.1002/lt.24304","ISSN":"15276473","PMID":"26332078","abstract":"There are little data on longterm outcomes, health-related quality of life (HRQoL), and issues related to living donor right hepatectomy specifically. We studied longterm HRQoL in 127 living liver donors. A donor-specific survey (DSS) was used to evaluate the living liver donor morbidity, and the 36-item short-form health survey (short-form 36 health survey, version 1 [SF-36]) was used to assess generic outcomes. The DSS was completed by 107 (84.3%) donors and the SF-36 by 62 (49%) donors. Median follow-up was 6.9 years. Of the 107 donors, 12 (11.2%) donors reported their health as better, whereas 84 (78.5%) reported their health the same as before donation. Ninety-seven (90.7%) are currently employed. The most common postdonation symptom was incisional discomfort (34%). Twenty-four donors (22.4%) self-reported depression symptoms after donation. Ninety-eight (91.6%) rated their satisfaction with the donation process ≥ 8 (scale of 1-10). Three factors - increased vitality (correlation, 0.44), decreased pain (correlation, 0.34), and a recipient who was living (correlation, 0.44) - were independently related to satisfaction with the donor experience. Vitality showed the strongest association with satisfaction with the donor experience. Mental and physical component summary scale scores for donors were statistically higher compared to the US population norm (P &lt; 0.001). Donors reported a high satisfaction rate with the donation process, and almost all donors (n = 104, 97.2%) would donate again independent of experiencing complications. Our study suggests that over a longterm period, liver donors continue to have above average HRQoL compared to the general population. Liver Transpl 22:53-62, 2016.","author":[{"dropping-particle":"","family":"Humphreville","given":"Vanessa R.","non-dropping-particle":"","parse-names":false,"suffix":""},{"dropping-particle":"","family":"Radosevich","given":"David M.","non-dropping-particle":"","parse-names":false,"suffix":""},{"dropping-particle":"","family":"Humar","given":"Abhinav","non-dropping-particle":"","parse-names":false,"suffix":""},{"dropping-particle":"","family":"Payne","given":"William D.","non-dropping-particle":"","parse-names":false,"suffix":""},{"dropping-particle":"","family":"Kandaswamy","given":"Raja","non-dropping-particle":"","parse-names":false,"suffix":""},{"dropping-particle":"","family":"Lake","given":"John R.","non-dropping-particle":"","parse-names":false,"suffix":""},{"dropping-particle":"","family":"Matas","given":"Arthur J.","non-dropping-particle":"","parse-names":false,"suffix":""},{"dropping-particle":"","family":"Pruett","given":"Timothy L.","non-dropping-particle":"","parse-names":false,"suffix":""},{"dropping-particle":"","family":"Chinnakotla","given":"Srinath","non-dropping-particle":"","parse-names":false,"suffix":""}],"container-title":"Liver Transplantation","id":"ITEM-2","issue":"1","issued":{"date-parts":[["2016"]]},"page":"53-62","title":"Longterm health-related quality of life after living liver donation","type":"article-journal","volume":"22"},"uris":["http://www.mendeley.com/documents/?uuid=f21f1894-99b4-4fe1-b3b0-dcab0207f851"]},{"id":"ITEM-3","itemData":{"DOI":"10.1111/ajt.14618","ISSN":"16006143","PMID":"29206349","abstract":"Prior studies demonstrate that most living kidney donors (LKDs) report no adverse psychosocial outcomes; however, changes in psychosocial functioning at the individual donor level have not been routinely captured. We studied psychosocial outcomes predonation and at 1, 6, 12, and 24 months postdonation in 193 LKDs and 20 healthy controls (HCs). There was minimal to no mood disturbance, body image concerns, fear of kidney failure, or life dissatisfaction, indicating no incremental changes in these outcomes over time and no significant differences between LKDs and HCs. The incidence of any new-onset adverse outcomes postdonation was as follows: mood disturbance (16%), fear of kidney failure (21%), body image concerns (13%), and life dissatisfaction (10%). Multivariable analyses demonstrated that LKDs with more mood disturbance symptoms, higher anxiety about future kidney health, low body image, and low life satisfaction prior to surgery were at highest risk of these same outcomes postdonation. It is important to note that some LKDs showed improvement in psychosocial functioning from pre- to postdonation. Findings support the balanced presentation of psychosocial risks to potential donors as well as the development of a donor registry to capture psychosocial outcomes beyond the mandatory 2-year follow-up period in the United States.","author":[{"dropping-particle":"","family":"Rodrigue","given":"J. R.","non-dropping-particle":"","parse-names":false,"suffix":""},{"dropping-particle":"","family":"Schold","given":"J. D.","non-dropping-particle":"","parse-names":false,"suffix":""},{"dropping-particle":"","family":"Morrissey","given":"P.","non-dropping-particle":"","parse-names":false,"suffix":""},{"dropping-particle":"","family":"Whiting","given":"J.","non-dropping-particle":"","parse-names":false,"suffix":""},{"dropping-particle":"","family":"Vella","given":"J.","non-dropping-particle":"","parse-names":false,"suffix":""},{"dropping-particle":"","family":"Kayler","given":"L. K.","non-dropping-particle":"","parse-names":false,"suffix":""},{"dropping-particle":"","family":"Katz","given":"D.","non-dropping-particle":"","parse-names":false,"suffix":""},{"dropping-particle":"","family":"Jones","given":"J.","non-dropping-particle":"","parse-names":false,"suffix":""},{"dropping-particle":"","family":"Kaplan","given":"B.","non-dropping-particle":"","parse-names":false,"suffix":""},{"dropping-particle":"","family":"Fleishman","given":"A.","non-dropping-particle":"","parse-names":false,"suffix":""},{"dropping-particle":"","family":"Pavlakis","given":"M.","non-dropping-particle":"","parse-names":false,"suffix":""},{"dropping-particle":"","family":"Mandelbrot","given":"D. A.","non-dropping-particle":"","parse-names":false,"suffix":""}],"container-title":"American Journal of Transplantation","id":"ITEM-3","issue":"6","issued":{"date-parts":[["2018"]]},"page":"1397-1407","title":"Mood, body image, fear of kidney failure, life satisfaction, and decisional stability following living kidney donation: Findings from the KDOC study","type":"article-journal","volume":"18"},"uris":["http://www.mendeley.com/documents/?uuid=4733264e-f36a-4178-bc1f-76c666778d65"]},{"id":"ITEM-4","itemData":{"DOI":"10.1111/tri.13334","ISSN":"14322277","PMID":"30144365","abstract":"Living kidney donors seem highly satisfied with donation. However, previous studies measure satisfaction by a single-item or by simply questioning donors’ willingness to donate again or to recommend living donation. With the aim of analyzing whether satisfaction with donation is a multidimensional construct, thus allowing a more specific characterization of dissatisfied donors, 332 living kidney donors (2005–2015) answered a renewed version of the European Living Donation and Public Health Project satisfaction survey. Exploratory factor-analyses suggested that satisfaction was composed of three-factors: violation of donors’ expectancies about donation; interference of donation on daily activities, and pain and discomfort. Donors reported high levels of satisfaction. However, cluster-analysis identified a subgroup characterized by a higher discrepancy between the expected and the actually experienced during donation, higher interference on daily activities, and higher pain and discomfort. Most of them considered that hospital discharge was premature, suffered economic losses and perceived worse health outcomes of their recipients. Single questions assessing donors’ willingness to donate again or to recommend living donation were unable to differentiate between clusters. In summary, donor's satisfaction seems better characterized by three dimensions than by single questions.","author":[{"dropping-particle":"","family":"Menjivar","given":"Ana","non-dropping-particle":"","parse-names":false,"suffix":""},{"dropping-particle":"","family":"Torres","given":"Xavier","non-dropping-particle":"","parse-names":false,"suffix":""},{"dropping-particle":"","family":"Paredes","given":"David","non-dropping-particle":"","parse-names":false,"suffix":""},{"dropping-particle":"","family":"Avinyo","given":"Nuria","non-dropping-particle":"","parse-names":false,"suffix":""},{"dropping-particle":"","family":"Peri","given":"Josep Maria","non-dropping-particle":"","parse-names":false,"suffix":""},{"dropping-particle":"","family":"Sousa-Amorim","given":"Erika","non-dropping-particle":"De","parse-names":false,"suffix":""},{"dropping-particle":"","family":"Oppenheimer","given":"Federico","non-dropping-particle":"","parse-names":false,"suffix":""},{"dropping-particle":"","family":"Manyalich","given":"Marti","non-dropping-particle":"","parse-names":false,"suffix":""},{"dropping-particle":"","family":"Diekmann","given":"Fritz","non-dropping-particle":"","parse-names":false,"suffix":""},{"dropping-particle":"","family":"Revuelta","given":"Ignacio","non-dropping-particle":"","parse-names":false,"suffix":""}],"container-title":"Transplant International","id":"ITEM-4","issue":"12","issued":{"date-parts":[["2018"]]},"page":"1332-1344","title":"Assessment of donor satisfaction as an essential part of living donor kidney transplantation: an eleven-year retrospective study","type":"article-journal","volume":"31"},"uris":["http://www.mendeley.com/documents/?uuid=54f30241-8a80-44e8-a090-529092e25d52"]}],"mendeley":{"formattedCitation":"(83–86)","plainTextFormattedCitation":"(83–86)","previouslyFormattedCitation":"(83–86)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(83–86)</w:t>
      </w:r>
      <w:r w:rsidRPr="006720E4">
        <w:rPr>
          <w:rFonts w:ascii="Calibri" w:hAnsi="Calibri" w:cs="Calibri"/>
          <w:sz w:val="22"/>
          <w:szCs w:val="22"/>
        </w:rPr>
        <w:fldChar w:fldCharType="end"/>
      </w:r>
      <w:r w:rsidRPr="006720E4">
        <w:rPr>
          <w:rFonts w:ascii="Calibri" w:hAnsi="Calibri" w:cs="Calibri"/>
          <w:sz w:val="22"/>
          <w:szCs w:val="22"/>
        </w:rPr>
        <w:t xml:space="preserve"> Although the entanglement of donor and transplant recipient interests can create difficulties in evaluating risks and benefits and cause concerns with regards to potential influences or pressures on donation decision-making, directed living donation has historically been considered less ethically concerning that non-directed organ donation.</w:t>
      </w:r>
    </w:p>
    <w:p w14:paraId="5206E8FF" w14:textId="53CBC6A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w:t>
      </w:r>
      <w:hyperlink w:anchor="_Glossary_2" w:history="1">
        <w:r w:rsidRPr="00863834">
          <w:rPr>
            <w:rStyle w:val="Hyperlink"/>
            <w:rFonts w:ascii="Calibri" w:hAnsi="Calibri" w:cs="Calibri"/>
            <w:sz w:val="22"/>
            <w:szCs w:val="22"/>
          </w:rPr>
          <w:t>non-directed donation,</w:t>
        </w:r>
      </w:hyperlink>
      <w:r w:rsidRPr="006720E4">
        <w:rPr>
          <w:rFonts w:ascii="Calibri" w:hAnsi="Calibri" w:cs="Calibri"/>
          <w:sz w:val="22"/>
          <w:szCs w:val="22"/>
        </w:rPr>
        <w:t xml:space="preserve"> the benefits for a living organ donor are primarily related to the psychological rewards of fulfilling a desire to help others. In some cases, such altruistic donation may also be associated with perceived or actual social rewards such as reputational gains although evidence suggests that non-directed kidney donors may be less likely to receive praise for their actions than directed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{"citationItems":[{"id":"ITEM-1","itemData":{"DOI":"10.1097/TP.0000000000000340","ISBN":"0000000000000","ISSN":"00411337","PMID":"25099701","abstract":"Background. Unspecified (nondirected altruistic) kidney donation is becoming increasingly common in the United Kingdom. Questions regarding motivation and characteristics of these donors persist, alongside concerns about regret and long-term psychosocial outcomes. The aims of this study were to compare psychosocial and physical outcomes in unspecified kidney donors (UKDs) versus specified kidney donors (SKDs).\nMethods. We performed a cross-sectional study, in which a detailed assessment of psychosocial outcomes was made using validated questionnaires. Additional questions specific to donation were also asked, including questions regarding motivation, regret, and anonymity.\nResults. One hundred ninety responses were received from 296 participants studied (110 UKDs [74.3%] vs. 80 SKDs [54.1%], P&lt;0.001). Unspecified kidney donors were older (54 years vs. 44 years; P&lt;0.001), predominantly white (99.1% vs. 78.5%; P&lt;0.001), and donated more recently (1.3 years vs. 2.6 years; P&lt;0.001). There was no difference in psychiatric history or personality type, or current depression, anxiety, stress, self-esteem, or well-being between the groups (P90.05). Unspecified kidney donors were more engaged in other altruistic behaviours (P&lt;0.001). There was no difference in physical outcomes, although UKDs recovered quicker (P&lt;0.001). Regret was low (3.7% UKDs vs. 7.5% SKDs; P=0.078).\nConclusion. This study has demonstrated that UKDs have comparable physical and psychosocial outcomes to SKDs. These favorable outcomes may be, in part, because of the rigorous evaluation process which currently includes a mental health assessment. We conclude that the program can continue to expand safely across the United Kingdom.","author":[{"dropping-particle":"","family":"Maple","given":"Hannah","non-dropping-particle":"","parse-names":false,"suffix":""},{"dropping-particle":"","family":"Chilcot","given":"Joseph","non-dropping-particle":"","parse-names":false,"suffix":""},{"dropping-particle":"","family":"Burnapp","given":"Lisa","non-dropping-particle":"","parse-names":false,"suffix":""},{"dropping-particle":"","family":"Gibbs","given":"Paul","non-dropping-particle":"","parse-names":false,"suffix":""},{"dropping-particle":"","family":"Santhouse","given":"Alastair","non-dropping-particle":"","parse-names":false,"suffix":""},{"dropping-particle":"","family":"Norton","given":"Sam","non-dropping-particle":"","parse-names":false,"suffix":""},{"dropping-particle":"","family":"Weinman","given":"John","non-dropping-particle":"","parse-names":false,"suffix":""},{"dropping-particle":"","family":"Mamode","given":"Nizam","non-dropping-particle":"","parse-names":false,"suffix":""}],"container-title":"Transplantation","id":"ITEM-1","issue":"11","issued":{"date-parts":[["2014"]]},"page":"1182-1189","title":"Motivations, outcomes, and characteristics of unspecified (nondirected altruistic) kidney donors in the United Kingdom","type":"article-journal","volume":"98"},"uris":["http://www.mendeley.com/documents/?uuid=d316f6ae-b969-4d00-9dfa-ef5f1347c619"]}],"mendeley":{"formattedCitation":"(87)","plainTextFormattedCitation":"(87)","previouslyFormattedCitation":"(87)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(87)</w:t>
      </w:r>
      <w:r w:rsidRPr="006720E4">
        <w:rPr>
          <w:rFonts w:ascii="Calibri" w:hAnsi="Calibri" w:cs="Calibri"/>
          <w:sz w:val="22"/>
          <w:szCs w:val="22"/>
        </w:rPr>
        <w:fldChar w:fldCharType="end"/>
      </w:r>
      <w:r w:rsidRPr="006720E4">
        <w:rPr>
          <w:rFonts w:ascii="Calibri" w:hAnsi="Calibri" w:cs="Calibri"/>
          <w:sz w:val="22"/>
          <w:szCs w:val="22"/>
        </w:rPr>
        <w:t xml:space="preserve"> Consequently, non-directed organ donation has sometimes been considered problematic either because of concerns that a decision to make a non-directed donation may reflect psychological issues that could undermine the validity of consent for donation (see </w:t>
      </w:r>
      <w:hyperlink w:anchor="_Consent_in_living_3" w:history="1">
        <w:r w:rsidRPr="00863834">
          <w:rPr>
            <w:rStyle w:val="Hyperlink"/>
            <w:rFonts w:ascii="Calibri" w:hAnsi="Calibri" w:cs="Calibri"/>
            <w:sz w:val="22"/>
            <w:szCs w:val="22"/>
          </w:rPr>
          <w:t xml:space="preserve">Chapter </w:t>
        </w:r>
        <w:r w:rsidR="007F50FE" w:rsidRPr="00863834">
          <w:rPr>
            <w:rStyle w:val="Hyperlink"/>
            <w:rFonts w:ascii="Calibri" w:hAnsi="Calibri" w:cs="Calibri"/>
            <w:sz w:val="22"/>
            <w:szCs w:val="22"/>
          </w:rPr>
          <w:t>4</w:t>
        </w:r>
        <w:r w:rsidRPr="00863834">
          <w:rPr>
            <w:rStyle w:val="Hyperlink"/>
            <w:rFonts w:ascii="Calibri" w:hAnsi="Calibri" w:cs="Calibri"/>
            <w:sz w:val="22"/>
            <w:szCs w:val="22"/>
          </w:rPr>
          <w:t>.3.4.1</w:t>
        </w:r>
      </w:hyperlink>
      <w:r w:rsidRPr="00863834">
        <w:rPr>
          <w:rFonts w:ascii="Calibri" w:hAnsi="Calibri" w:cs="Calibri"/>
          <w:sz w:val="22"/>
          <w:szCs w:val="22"/>
        </w:rPr>
        <w:t>) or because</w:t>
      </w:r>
      <w:r w:rsidRPr="006720E4">
        <w:rPr>
          <w:rFonts w:ascii="Calibri" w:hAnsi="Calibri" w:cs="Calibri"/>
          <w:sz w:val="22"/>
          <w:szCs w:val="22"/>
        </w:rPr>
        <w:t xml:space="preserve"> of concerns that the risks of donation will not be outweighed by these potential benefits. </w:t>
      </w:r>
    </w:p>
    <w:p w14:paraId="6E2552EE" w14:textId="051728E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more conservative approach to risk acceptance in the setting of non-directed donation may in some cases be reasonable, however it may be difficult to ethically justify refusal of a prospective non-directed donor if the same individual would otherwise be permitted to assume a particular level of risk in order to donate to a loved one. </w:t>
      </w:r>
      <w:r w:rsidRPr="003F7DBB">
        <w:rPr>
          <w:rFonts w:ascii="Calibri" w:hAnsi="Calibri" w:cs="Calibri"/>
          <w:sz w:val="22"/>
          <w:szCs w:val="22"/>
        </w:rPr>
        <w:t xml:space="preserve">As noted in </w:t>
      </w:r>
      <w:hyperlink w:anchor="_Assessing_proportionality_in" w:history="1">
        <w:r w:rsidRPr="003F7DBB">
          <w:rPr>
            <w:rStyle w:val="Hyperlink"/>
            <w:rFonts w:ascii="Calibri" w:hAnsi="Calibri" w:cs="Calibri"/>
            <w:sz w:val="22"/>
            <w:szCs w:val="22"/>
          </w:rPr>
          <w:t xml:space="preserve">Chapter </w:t>
        </w:r>
        <w:r w:rsidR="007F50FE" w:rsidRPr="003F7DBB">
          <w:rPr>
            <w:rStyle w:val="Hyperlink"/>
            <w:rFonts w:ascii="Calibri" w:hAnsi="Calibri" w:cs="Calibri"/>
            <w:sz w:val="22"/>
            <w:szCs w:val="22"/>
          </w:rPr>
          <w:t>6</w:t>
        </w:r>
        <w:r w:rsidRPr="003F7DBB">
          <w:rPr>
            <w:rStyle w:val="Hyperlink"/>
            <w:rFonts w:ascii="Calibri" w:hAnsi="Calibri" w:cs="Calibri"/>
            <w:sz w:val="22"/>
            <w:szCs w:val="22"/>
          </w:rPr>
          <w:t>.3.3</w:t>
        </w:r>
      </w:hyperlink>
      <w:r w:rsidRPr="003F7DBB">
        <w:rPr>
          <w:rFonts w:ascii="Calibri" w:hAnsi="Calibri" w:cs="Calibri"/>
          <w:sz w:val="22"/>
          <w:szCs w:val="22"/>
        </w:rPr>
        <w:t>, the paternalism</w:t>
      </w:r>
      <w:r w:rsidRPr="006720E4">
        <w:rPr>
          <w:rFonts w:ascii="Calibri" w:hAnsi="Calibri" w:cs="Calibri"/>
          <w:sz w:val="22"/>
          <w:szCs w:val="22"/>
        </w:rPr>
        <w:t xml:space="preserve"> inherent in refusing to allow an autonomous individual to assume risks in one case but not the other entails a value judgement on the part of health professionals. </w:t>
      </w:r>
    </w:p>
    <w:p w14:paraId="28EB5B90" w14:textId="6B92BD1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Investigation of the physical and psychosocial outcomes of non-directed donation suggests that non-directed donors have similar outcomes to directed donors including high rates of satisfaction with their donation decision.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{"citationItems":[{"id":"ITEM-1","itemData":{"DOI":"10.1097/TP.0000000000000340","ISBN":"0000000000000","ISSN":"00411337","PMID":"25099701","abstract":"Background. Unspecified (nondirected altruistic) kidney donation is becoming increasingly common in the United Kingdom. Questions regarding motivation and characteristics of these donors persist, alongside concerns about regret and long-term psychosocial outcomes. The aims of this study were to compare psychosocial and physical outcomes in unspecified kidney donors (UKDs) versus specified kidney donors (SKDs).\nMethods. We performed a cross-sectional study, in which a detailed assessment of psychosocial outcomes was made using validated questionnaires. Additional questions specific to donation were also asked, including questions regarding motivation, regret, and anonymity.\nResults. One hundred ninety responses were received from 296 participants studied (110 UKDs [74.3%] vs. 80 SKDs [54.1%], P&lt;0.001). Unspecified kidney donors were older (54 years vs. 44 years; P&lt;0.001), predominantly white (99.1% vs. 78.5%; P&lt;0.001), and donated more recently (1.3 years vs. 2.6 years; P&lt;0.001). There was no difference in psychiatric history or personality type, or current depression, anxiety, stress, self-esteem, or well-being between the groups (P90.05). Unspecified kidney donors were more engaged in other altruistic behaviours (P&lt;0.001). There was no difference in physical outcomes, although UKDs recovered quicker (P&lt;0.001). Regret was low (3.7% UKDs vs. 7.5% SKDs; P=0.078).\nConclusion. This study has demonstrated that UKDs have comparable physical and psychosocial outcomes to SKDs. These favorable outcomes may be, in part, because of the rigorous evaluation process which currently includes a mental health assessment. We conclude that the program can continue to expand safely across the United Kingdom.","author":[{"dropping-particle":"","family":"Maple","given":"Hannah","non-dropping-particle":"","parse-names":false,"suffix":""},{"dropping-particle":"","family":"Chilcot","given":"Joseph","non-dropping-particle":"","parse-names":false,"suffix":""},{"dropping-particle":"","family":"Burnapp","given":"Lisa","non-dropping-particle":"","parse-names":false,"suffix":""},{"dropping-particle":"","family":"Gibbs","given":"Paul","non-dropping-particle":"","parse-names":false,"suffix":""},{"dropping-particle":"","family":"Santhouse","given":"Alastair","non-dropping-particle":"","parse-names":false,"suffix":""},{"dropping-particle":"","family":"Norton","given":"Sam","non-dropping-particle":"","parse-names":false,"suffix":""},{"dropping-particle":"","family":"Weinman","given":"John","non-dropping-particle":"","parse-names":false,"suffix":""},{"dropping-particle":"","family":"Mamode","given":"Nizam","non-dropping-particle":"","parse-names":false,"suffix":""}],"container-title":"Transplantation","id":"ITEM-1","issue":"11","issued":{"date-parts":[["2014"]]},"page":"1182-1189","title":"Motivations, outcomes, and characteristics of unspecified (nondirected altruistic) kidney donors in the United Kingdom","type":"article-journal","volume":"98"},"uris":["http://www.mendeley.com/documents/?uuid=d316f6ae-b969-4d00-9dfa-ef5f1347c619"]},{"id":"ITEM-2","itemData":{"DOI":"10.1016/j.jss.2020.03.025","ISSN":"10958673","PMID":"32320896","abstract":"Background: To assess the impact of living liver donation (LD) in a diverse and aging population up to 20 y after donation, particularly with regard to medical, financial, psychosocial, and overall health-related quality of life (HRQOL). Methods: Patients undergoing LD between 1999 and 2009 were recruited to respond to the Short-Form 36 and a novel Donor Quality of Life Survey at two time points (2010 and 2018). Results: Sixty-eight living liver donors (LLDs) completed validated surveys, with a mean follow-up of 11.5 ± 5.1 y. Per Donor Quality of Life Survey data, physical activity or strength was not impacted by LD in most patients. All respondents returned to school or employment, and 82.4% reported that LD had no impact on school or work performance. LD did not impact health insurability in 95.6% of donors, and only one patient experienced difficulty obtaining life insurance. Overall, 97.1% of respondents did not regret LD. Short-Form 36 survey–measured outcomes were similar between LLDs and the general U.S. population. LLDs who responded in both 2010 and 2018 were followed for an overall average of 15.4 ± 2.4 y and HRQOL outcomes in these donors also remained statistically equivalent to U.S. population norms. Conclusions: This study represents the longest postdonation follow-up and offers unique insight related to HRQOL in a highly diverse patient population. Although LLDs continue to maintain excellent HRQOL outcomes up to 20 y after donation, continued lifetime follow-up is required to accurately provide young, healthy potential donors with an accurate description of the risks that they may incur on aging.","author":[{"dropping-particle":"","family":"Raza","given":"Muhammad H.","non-dropping-particle":"","parse-names":false,"suffix":""},{"dropping-particle":"","family":"Kim","given":"Michelle H.","non-dropping-particle":"","parse-names":false,"suffix":""},{"dropping-particle":"","family":"Ding","given":"Li","non-dropping-particle":"","parse-names":false,"suffix":""},{"dropping-particle":"","family":"Fong","given":"Tse Ling","non-dropping-particle":"","parse-names":false,"suffix":""},{"dropping-particle":"","family":"Romero","given":"Christian","non-dropping-particle":"","parse-names":false,"suffix":""},{"dropping-particle":"","family":"Genyk","given":"Yuri","non-dropping-particle":"","parse-names":false,"suffix":""},{"dropping-particle":"","family":"Sher","given":"Linda","non-dropping-particle":"","parse-names":false,"suffix":""},{"dropping-particle":"","family":"Emamaullee","given":"Juliet","non-dropping-particle":"","parse-names":false,"suffix":""}],"container-title":"Journal of Surgical Research","id":"ITEM-2","issued":{"date-parts":[["2020"]]},"page":"41-52","publisher":"Elsevier Inc","title":"Long-Term Financial, Psychosocial, and Overall Health-Related Quality of Life After Living Liver Donation","type":"article-journal","volume":"253"},"uris":["http://www.mendeley.com/documents/?uuid=7b4b33de-d984-4550-882e-82703a78dec6"]}],"mendeley":{"formattedCitation":"(87,88)","plainTextFormattedCitation":"(87,88)","previouslyFormattedCitation":"(87,88)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(87,88)</w:t>
      </w:r>
      <w:r w:rsidRPr="006720E4">
        <w:rPr>
          <w:rFonts w:ascii="Calibri" w:hAnsi="Calibri" w:cs="Calibri"/>
          <w:sz w:val="22"/>
          <w:szCs w:val="22"/>
        </w:rPr>
        <w:fldChar w:fldCharType="end"/>
      </w:r>
      <w:r w:rsidRPr="006720E4">
        <w:rPr>
          <w:rFonts w:ascii="Calibri" w:hAnsi="Calibri" w:cs="Calibri"/>
          <w:sz w:val="22"/>
          <w:szCs w:val="22"/>
        </w:rPr>
        <w:t xml:space="preserve"> Ultimately, if a person is considered clinically eligible to donate - in the sense of falling within the range of acceptable risk for living organ donation - and if they make a free and informed decision to donate based on their personal evaluation of the risks and potential benefits of donation, the fact that their intended beneficiary is a stranger should not preclude donation.</w:t>
      </w:r>
      <w:bookmarkStart w:id="2523" w:name="_Toc63683427"/>
      <w:bookmarkStart w:id="2524" w:name="_Toc70241769"/>
      <w:bookmarkStart w:id="2525" w:name="_Toc70243404"/>
    </w:p>
    <w:p w14:paraId="68247AC0" w14:textId="77777777" w:rsidR="006C6EBA" w:rsidRPr="006720E4" w:rsidRDefault="006C6EBA" w:rsidP="00EA22AE">
      <w:pPr>
        <w:pStyle w:val="Heading2"/>
        <w:spacing w:after="120"/>
      </w:pPr>
      <w:bookmarkStart w:id="2526" w:name="_Evaluating_risks_and"/>
      <w:bookmarkStart w:id="2527" w:name="_Toc73129849"/>
      <w:bookmarkStart w:id="2528" w:name="_Toc73301718"/>
      <w:bookmarkStart w:id="2529" w:name="_Toc73302224"/>
      <w:bookmarkStart w:id="2530" w:name="_Toc73303357"/>
      <w:bookmarkStart w:id="2531" w:name="_Toc73303595"/>
      <w:bookmarkStart w:id="2532" w:name="_Toc74080712"/>
      <w:bookmarkStart w:id="2533" w:name="_Toc74081020"/>
      <w:bookmarkStart w:id="2534" w:name="_Toc74081250"/>
      <w:bookmarkStart w:id="2535" w:name="_Toc74081502"/>
      <w:bookmarkStart w:id="2536" w:name="_Toc74171081"/>
      <w:bookmarkStart w:id="2537" w:name="_Toc74172279"/>
      <w:bookmarkStart w:id="2538" w:name="_Toc74172815"/>
      <w:bookmarkStart w:id="2539" w:name="_Toc74238755"/>
      <w:bookmarkStart w:id="2540" w:name="_Toc78304769"/>
      <w:bookmarkStart w:id="2541" w:name="_Toc79330863"/>
      <w:bookmarkStart w:id="2542" w:name="_Toc79331243"/>
      <w:bookmarkStart w:id="2543" w:name="_Toc79406390"/>
      <w:bookmarkStart w:id="2544" w:name="_Toc82773598"/>
      <w:bookmarkStart w:id="2545" w:name="_Toc82773951"/>
      <w:bookmarkStart w:id="2546" w:name="_Toc128314212"/>
      <w:bookmarkStart w:id="2547" w:name="_Toc135131456"/>
      <w:bookmarkEnd w:id="2523"/>
      <w:bookmarkEnd w:id="2524"/>
      <w:bookmarkEnd w:id="2525"/>
      <w:bookmarkEnd w:id="2526"/>
      <w:r w:rsidRPr="006720E4">
        <w:t>Evaluating risks and benefits of deceased donation</w:t>
      </w:r>
      <w:bookmarkEnd w:id="2461"/>
      <w:bookmarkEnd w:id="2462"/>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p>
    <w:p w14:paraId="5A8616FA" w14:textId="129E668D" w:rsidR="006C6EBA" w:rsidRPr="006720E4" w:rsidRDefault="006C6EBA" w:rsidP="00EA22AE">
      <w:pPr>
        <w:spacing w:after="120"/>
        <w:rPr>
          <w:rFonts w:ascii="Calibri" w:hAnsi="Calibri" w:cs="Calibri"/>
          <w:sz w:val="22"/>
          <w:szCs w:val="22"/>
        </w:rPr>
      </w:pPr>
      <w:bookmarkStart w:id="2548" w:name="_Toc72615125"/>
      <w:r w:rsidRPr="006720E4">
        <w:rPr>
          <w:rFonts w:ascii="Calibri" w:hAnsi="Calibri" w:cs="Calibri"/>
          <w:sz w:val="22"/>
          <w:szCs w:val="22"/>
        </w:rPr>
        <w:t xml:space="preserve">In many cases, the risks and potential benefits of deceased donation will largely be determined by the impact of donation on the deceased donor’s family and the individuals and communities that benefits from transplantation. Although it is possible to think of a deceased person as having posthumous interests that should be respected, for example by fulfilling their wish to become a donor, they are no longer able to be materially harmed or to benefit from actions that occur after their death. However, in some circumstances, actions may be taken during the perimortem period for the purpose of preserving opportunities for deceased donation that could impact the potential donor prior to their </w:t>
      </w:r>
      <w:r w:rsidRPr="003F7DBB">
        <w:rPr>
          <w:rFonts w:ascii="Calibri" w:hAnsi="Calibri" w:cs="Calibri"/>
          <w:sz w:val="22"/>
          <w:szCs w:val="22"/>
        </w:rPr>
        <w:t xml:space="preserve">death (see </w:t>
      </w:r>
      <w:hyperlink w:anchor="_Pre-mortem_interventions_for_1" w:history="1">
        <w:r w:rsidRPr="003F7DBB">
          <w:rPr>
            <w:rStyle w:val="Hyperlink"/>
            <w:rFonts w:ascii="Calibri" w:hAnsi="Calibri" w:cs="Calibri"/>
            <w:sz w:val="22"/>
            <w:szCs w:val="22"/>
          </w:rPr>
          <w:t>Chapter 1</w:t>
        </w:r>
        <w:r w:rsidR="007F50FE" w:rsidRPr="003F7DBB">
          <w:rPr>
            <w:rStyle w:val="Hyperlink"/>
            <w:rFonts w:ascii="Calibri" w:hAnsi="Calibri" w:cs="Calibri"/>
            <w:sz w:val="22"/>
            <w:szCs w:val="22"/>
          </w:rPr>
          <w:t>1</w:t>
        </w:r>
        <w:r w:rsidRPr="003F7DBB">
          <w:rPr>
            <w:rStyle w:val="Hyperlink"/>
            <w:rFonts w:ascii="Calibri" w:hAnsi="Calibri" w:cs="Calibri"/>
            <w:sz w:val="22"/>
            <w:szCs w:val="22"/>
          </w:rPr>
          <w:t>.4</w:t>
        </w:r>
      </w:hyperlink>
      <w:r w:rsidRPr="003F7DBB">
        <w:rPr>
          <w:rFonts w:ascii="Calibri" w:hAnsi="Calibri" w:cs="Calibri"/>
          <w:sz w:val="22"/>
          <w:szCs w:val="22"/>
        </w:rPr>
        <w:t>).</w:t>
      </w:r>
    </w:p>
    <w:p w14:paraId="652C5EFE" w14:textId="77777777" w:rsidR="006C6EBA" w:rsidRPr="006720E4" w:rsidRDefault="006C6EBA" w:rsidP="00EA22AE">
      <w:pPr>
        <w:pStyle w:val="Heading3"/>
        <w:spacing w:after="120"/>
      </w:pPr>
      <w:bookmarkStart w:id="2549" w:name="_Toc73129850"/>
      <w:bookmarkStart w:id="2550" w:name="_Toc73301719"/>
      <w:bookmarkStart w:id="2551" w:name="_Toc73302225"/>
      <w:bookmarkStart w:id="2552" w:name="_Toc73303358"/>
      <w:bookmarkStart w:id="2553" w:name="_Toc73303596"/>
      <w:bookmarkStart w:id="2554" w:name="_Toc74080713"/>
      <w:bookmarkStart w:id="2555" w:name="_Toc74081021"/>
      <w:bookmarkStart w:id="2556" w:name="_Toc74081251"/>
      <w:bookmarkStart w:id="2557" w:name="_Toc74081503"/>
      <w:bookmarkStart w:id="2558" w:name="_Toc74171082"/>
      <w:bookmarkStart w:id="2559" w:name="_Toc74172280"/>
      <w:bookmarkStart w:id="2560" w:name="_Toc74172816"/>
      <w:bookmarkStart w:id="2561" w:name="_Toc74238756"/>
      <w:bookmarkStart w:id="2562" w:name="_Toc79406391"/>
      <w:bookmarkStart w:id="2563" w:name="_Toc82773599"/>
      <w:bookmarkStart w:id="2564" w:name="_Toc82773952"/>
      <w:r w:rsidRPr="006720E4">
        <w:t>Evaluating risks and benefits of deceased donation for donor families</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14:paraId="72451EDF" w14:textId="2D0A758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Even when a potential donor has died, the impact of donation on their family should be considered when evaluating the risks and potential benefits of donation. This is appropriate given the role that families play in making donation decisions, and in shouldering the burdens associated with dealing with the death of a loved one. It is also appropriate given that in life, many potential donors would conceivably give consideration to the risks and potential benefits of their donation decisions with respect to their impact on family. </w:t>
      </w:r>
    </w:p>
    <w:p w14:paraId="60BE40BA" w14:textId="0FEEF5C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Many families experience significant emotional benefits when donation occurs, enabling them to find some solace in the loss of their loved one. Families that decline an opportunity for donation may also be at risk of later regret. However there may be burdens associated with donation, such as the potential impact that donation may have on the timing and location of a person’s death.</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{"citationItems":[{"id":"ITEM-1","itemData":{"DOI":"10.1177/1526924818800046","ISSN":"15269248","PMID":"30222045","abstract":"Background: Organ donation research has centered on improving donation rates rather than focusing on the experience and impact on substitute decision makers. The purpose of this study was to document donor and nondonor family experiences, as well as lasting impacts of donation. Methods: We used a qualitative exploratory design. Semistructured interviews of 27 next-ofkin decision makers were conducted, transcribed verbatim, and entered into qualitative software. We analyzed the process-based reflections using inductive coding and thematic analysis techniques. Results: Four broad and interrelated themes emerged from the data: empathetic care, information needs, donation decision, and impact and follow-up. The donation experience left lasting impacts on family members due to lingering, unanswered questions. Suggested solutions to improve the donor experience for families included providers employing multimodal communication, ensuring a proper setting for family meetings, and the presence of a support person. Discussion: We now have improved our understanding of the donation process from the perspective of and final impression from the next of kin. To our knowledge, this is the largest cohort interviewed in Canada. We have explored families’ experiences, which included but did not end with donation. We learned that despite being appreciative of nurses, physicians, and organ and tissue donation coordinators, family members were often troubled by unanswered questions. Conclusion: This study described donor and nondonor family experiences with donation as well as lasting impacts. Addressing unanswered questions should be done in a place sufficiently remote from the donation event to enhance the family members’ understanding and well-being.","author":[{"dropping-particle":"","family":"Sarti","given":"Aimee J.","non-dropping-particle":"","parse-names":false,"suffix":""},{"dropping-particle":"","family":"Sutherland","given":"Stephanie","non-dropping-particle":"","parse-names":false,"suffix":""},{"dropping-particle":"","family":"Healey","given":"Andrew","non-dropping-particle":"","parse-names":false,"suffix":""},{"dropping-particle":"","family":"Dhanani","given":"Sonny","non-dropping-particle":"","parse-names":false,"suffix":""},{"dropping-particle":"","family":"Landriault","given":"Angele","non-dropping-particle":"","parse-names":false,"suffix":""},{"dropping-particle":"","family":"Fothergill-Bourbonnais","given":"Frances","non-dropping-particle":"","parse-names":false,"suffix":""},{"dropping-particle":"","family":"Hartwick","given":"Michael","non-dropping-particle":"","parse-names":false,"suffix":""},{"dropping-particle":"","family":"Beitel","given":"Janice","non-dropping-particle":"","parse-names":false,"suffix":""},{"dropping-particle":"","family":"Oczkowski","given":"Simon","non-dropping-particle":"","parse-names":false,"suffix":""},{"dropping-particle":"","family":"Cardinal","given":"Pierre","non-dropping-particle":"","parse-names":false,"suffix":""}],"container-title":"Progress in Transplantation","id":"ITEM-1","issue":"4","issued":{"date-parts":[["2018"]]},"page":"343-348","title":"A multicenter qualitative investigation of the experiences and perspectives of substitute decision makers who underwent organ donation decisions","type":"article-journal","volume":"28"},"uris":["http://www.mendeley.com/documents/?uuid=bb7b9737-f34f-4bee-9369-55bbf42ba41b"]},{"id":"ITEM-2","itemData":{"DOI":"10.1007/s00134-019-05575-4","ISSN":"14321238","PMID":"30840119","abstract":"Introduction: Family members of critically ill patients suffer from high levels of anxiety and depression in the ICU, and are at risk of developing post-ICU syndrome following ICU discharge. In the case of brain death, and potential organ donation, the family is at the center of the decision process: within a limited time frame, the family will be informed that the patient is brain-dead and will be approached about potential organ donation. Materials and methods: Family experience with organ donation has been the topic of several research papers allowing one to gain knowledge about family members’ experience of organ donation, emphasizing specific needs, adequate support, and pointing out gaps in current delivery of family-centered care. In this narrative review, experts, clinicians, and researchers present the various legal systems regarding family implication in organ donation decisions; describe factors that influence the decision-making process; highlight family perspectives of care and respect for potential donors in the ICU environment; describe the impact of organ donation discussions and decisions on post-ICU syndrome; and suggest communication skills and support to be developed in the future. A research agenda for the next decade is also encouraged. Conclusion: Overall, challenges remain and concern all persons involved in the process, ICU doctors and nurses, the organ procurement organization, family members, and, in some cases, the patients themselves. Looking at the big picture will provide opportunities for further improvements.","author":[{"dropping-particle":"","family":"Kentish-Barnes","given":"Nancy","non-dropping-particle":"","parse-names":false,"suffix":""},{"dropping-particle":"","family":"Siminoff","given":"L. A.","non-dropping-particle":"","parse-names":false,"suffix":""},{"dropping-particle":"","family":"Walker","given":"W.","non-dropping-particle":"","parse-names":false,"suffix":""},{"dropping-particle":"","family":"Urbanski","given":"M.","non-dropping-particle":"","parse-names":false,"suffix":""},{"dropping-particle":"","family":"Charpentier","given":"J.","non-dropping-particle":"","parse-names":false,"suffix":""},{"dropping-particle":"","family":"Thuong","given":"M.","non-dropping-particle":"","parse-names":false,"suffix":""},{"dropping-particle":"","family":"Sarti","given":"A.","non-dropping-particle":"","parse-names":false,"suffix":""},{"dropping-particle":"","family":"Shemie","given":"S. D.","non-dropping-particle":"","parse-names":false,"suffix":""},{"dropping-particle":"","family":"Azoulay","given":"E.","non-dropping-particle":"","parse-names":false,"suffix":""}],"container-title":"Intensive Care Medicine","id":"ITEM-2","issue":"3","issued":{"date-parts":[["2019"]]},"page":"331-342","publisher":"Springer Berlin Heidelberg","title":"A narrative review of family members’ experience of organ donation request after brain death in the critical care setting","type":"article-journal","volume":"45"},"uris":["http://www.mendeley.com/documents/?uuid=028888b1-b174-4c50-8119-54fdd3efa89e"]},{"id":"ITEM-3","itemData":{"DOI":"10.1111/ajt.14464","ISSN":"16006143","PMID":"28805291","abstract":"While donation after circulatory death (DCD) has expanded options for organ donation, many who wish to donate are still unable to do so. We conducted face-to-face interviews with family members (N = 15) who had direct experience with unsuccessful DCD and 5 focus groups with professionals involved in the donation process. We used qualitative content analysis to characterize the harms of nondonation as perceived by participants. Participants reported a broad spectrum of harms affecting organ recipients, donors, and donor families. Harms included waste of precious life-giving organs and hospital resources, inability to honor the donor's memory and character, and impaired ability for families to make sense of tragedy and cope with loss. Donor families empathized with the initial hope and ultimate despair of potential recipients who must continue their wait on the transplant list. Focus group members reinforced these findings and highlighted the struggle of families to navigate the uncertainty regarding the timing of death during the donation process. While families reported significant harm, many appreciated the donation attempt. These findings highlight the importance of organ donation to donor families and the difficult experiences associated with current processes that could inform development of alternative donation strategies.","author":[{"dropping-particle":"","family":"Taylor","given":"Lauren J.","non-dropping-particle":"","parse-names":false,"suffix":""},{"dropping-particle":"","family":"Buffington","given":"Anne","non-dropping-particle":"","parse-names":false,"suffix":""},{"dropping-particle":"","family":"Scalea","given":"Joseph R.","non-dropping-particle":"","parse-names":false,"suffix":""},{"dropping-particle":"","family":"Fost","given":"Norman","non-dropping-particle":"","parse-names":false,"suffix":""},{"dropping-particle":"","family":"Croes","given":"Kenneth D.","non-dropping-particle":"","parse-names":false,"suffix":""},{"dropping-particle":"","family":"Mezrich","given":"Joshua D.","non-dropping-particle":"","parse-names":false,"suffix":""},{"dropping-particle":"","family":"Schwarze","given":"Margaret L.","non-dropping-particle":"","parse-names":false,"suffix":""}],"container-title":"American Journal of Transplantation","id":"ITEM-3","issue":"2","issued":{"date-parts":[["2018"]]},"page":"402-409","title":"Harms of unsuccessful donation after circulatory death: An exploratory study","type":"article-journal","volume":"18"},"uris":["http://www.mendeley.com/documents/?uuid=d76cf723-f44b-4f7e-a025-f07bebff0367"]}],"mendeley":{"formattedCitation":"(89–91)","plainTextFormattedCitation":"(89–91)","previouslyFormattedCitation":"(89–91)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(89–91)</w:t>
      </w:r>
      <w:r w:rsidRPr="006720E4">
        <w:rPr>
          <w:rFonts w:ascii="Calibri" w:hAnsi="Calibri" w:cs="Calibri"/>
          <w:sz w:val="22"/>
          <w:szCs w:val="22"/>
        </w:rPr>
        <w:fldChar w:fldCharType="end"/>
      </w:r>
    </w:p>
    <w:p w14:paraId="7DC6192D" w14:textId="298C710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Although the impact on potential donor families should be considered when evaluating the potential risks and benefits of deceased donation, the potential donor’s values and preferences should take priority in decision-making about donation, </w:t>
      </w:r>
      <w:r w:rsidRPr="00863834">
        <w:rPr>
          <w:rFonts w:ascii="Calibri" w:hAnsi="Calibri" w:cs="Calibri"/>
          <w:sz w:val="22"/>
          <w:szCs w:val="22"/>
        </w:rPr>
        <w:t xml:space="preserve">as discussed in </w:t>
      </w:r>
      <w:hyperlink w:anchor="_Approach_to_substitute" w:history="1">
        <w:r w:rsidRPr="00863834">
          <w:rPr>
            <w:rStyle w:val="Hyperlink"/>
            <w:rFonts w:ascii="Calibri" w:hAnsi="Calibri" w:cs="Calibri"/>
            <w:sz w:val="22"/>
            <w:szCs w:val="22"/>
          </w:rPr>
          <w:t xml:space="preserve">Chapter </w:t>
        </w:r>
        <w:r w:rsidR="007F50FE" w:rsidRPr="00863834">
          <w:rPr>
            <w:rStyle w:val="Hyperlink"/>
            <w:rFonts w:ascii="Calibri" w:hAnsi="Calibri" w:cs="Calibri"/>
            <w:sz w:val="22"/>
            <w:szCs w:val="22"/>
          </w:rPr>
          <w:t>4</w:t>
        </w:r>
        <w:r w:rsidRPr="00863834">
          <w:rPr>
            <w:rStyle w:val="Hyperlink"/>
            <w:rFonts w:ascii="Calibri" w:hAnsi="Calibri" w:cs="Calibri"/>
            <w:sz w:val="22"/>
            <w:szCs w:val="22"/>
          </w:rPr>
          <w:t>.4.2.2</w:t>
        </w:r>
      </w:hyperlink>
      <w:r w:rsidRPr="00863834">
        <w:rPr>
          <w:rFonts w:ascii="Calibri" w:hAnsi="Calibri" w:cs="Calibri"/>
          <w:sz w:val="22"/>
          <w:szCs w:val="22"/>
        </w:rPr>
        <w:t>.</w:t>
      </w:r>
    </w:p>
    <w:p w14:paraId="33C0CBFC" w14:textId="77777777" w:rsidR="006C6EBA" w:rsidRPr="006720E4" w:rsidRDefault="006C6EBA" w:rsidP="00EA22AE">
      <w:pPr>
        <w:pStyle w:val="Heading3"/>
        <w:spacing w:after="120"/>
      </w:pPr>
      <w:bookmarkStart w:id="2565" w:name="_Toc72615126"/>
      <w:bookmarkStart w:id="2566" w:name="_Toc73129851"/>
      <w:bookmarkStart w:id="2567" w:name="_Toc73301720"/>
      <w:bookmarkStart w:id="2568" w:name="_Toc73302226"/>
      <w:bookmarkStart w:id="2569" w:name="_Toc73303359"/>
      <w:bookmarkStart w:id="2570" w:name="_Toc73303597"/>
      <w:bookmarkStart w:id="2571" w:name="_Toc74080714"/>
      <w:bookmarkStart w:id="2572" w:name="_Toc74081022"/>
      <w:bookmarkStart w:id="2573" w:name="_Toc74081252"/>
      <w:bookmarkStart w:id="2574" w:name="_Toc74081504"/>
      <w:bookmarkStart w:id="2575" w:name="_Toc74171083"/>
      <w:bookmarkStart w:id="2576" w:name="_Toc74172281"/>
      <w:bookmarkStart w:id="2577" w:name="_Toc74172817"/>
      <w:bookmarkStart w:id="2578" w:name="_Toc74238757"/>
      <w:bookmarkStart w:id="2579" w:name="_Toc79406392"/>
      <w:bookmarkStart w:id="2580" w:name="_Toc82773600"/>
      <w:bookmarkStart w:id="2581" w:name="_Toc82773953"/>
      <w:r w:rsidRPr="006720E4">
        <w:t>Evaluating risks and potential benefits of deceased donation for transplant recipients</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r w:rsidRPr="006720E4">
        <w:t xml:space="preserve"> </w:t>
      </w:r>
    </w:p>
    <w:p w14:paraId="065E471C" w14:textId="4D04980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Evaluation of the risks and potential benefits of deceased donation for prospective transplant recipients has a number of ethical implications. Initial evaluation of potential deceased donors at the time of screening to determine their clinical suitability for donation is the first step in a process of decision-making about proportionality of risks and benefits that ultimately determines how many and which individuals may benefit from transplantation. A higher level of caution with regards to some risks may be warranted in some cases but not others. For example, the risk of an infectious disease in a potential tissue may be regarded with greater caution given the potential for infection of multiple individuals, compared with the same risk in a potential deceased liver donor when the intended recipient is expected to die if donation does not proceed.</w:t>
      </w:r>
    </w:p>
    <w:p w14:paraId="69DAB85D" w14:textId="3A2118A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Once a deceased donor has been accepted, evaluation of risks and potential benefits of transplantation shifts to the clinical context where an individual must decide whether to proceed with a transplant when one is </w:t>
      </w:r>
      <w:r w:rsidRPr="00DD1AC2">
        <w:rPr>
          <w:rFonts w:ascii="Calibri" w:hAnsi="Calibri" w:cs="Calibri"/>
          <w:sz w:val="22"/>
          <w:szCs w:val="22"/>
        </w:rPr>
        <w:t xml:space="preserve">offered (see </w:t>
      </w:r>
      <w:hyperlink w:anchor="_Recipient_evaluation_of" w:history="1">
        <w:r w:rsidRPr="00DD1AC2">
          <w:rPr>
            <w:rStyle w:val="Hyperlink"/>
            <w:rFonts w:ascii="Calibri" w:hAnsi="Calibri" w:cs="Calibri"/>
            <w:sz w:val="22"/>
            <w:szCs w:val="22"/>
          </w:rPr>
          <w:t xml:space="preserve">Chapter </w:t>
        </w:r>
        <w:r w:rsidR="007F50FE" w:rsidRPr="00DD1AC2">
          <w:rPr>
            <w:rStyle w:val="Hyperlink"/>
            <w:rFonts w:ascii="Calibri" w:hAnsi="Calibri" w:cs="Calibri"/>
            <w:sz w:val="22"/>
            <w:szCs w:val="22"/>
          </w:rPr>
          <w:t>6</w:t>
        </w:r>
        <w:r w:rsidRPr="00DD1AC2">
          <w:rPr>
            <w:rStyle w:val="Hyperlink"/>
            <w:rFonts w:ascii="Calibri" w:hAnsi="Calibri" w:cs="Calibri"/>
            <w:sz w:val="22"/>
            <w:szCs w:val="22"/>
          </w:rPr>
          <w:t>.5.2</w:t>
        </w:r>
      </w:hyperlink>
      <w:r w:rsidRPr="00DD1AC2">
        <w:rPr>
          <w:rFonts w:ascii="Calibri" w:hAnsi="Calibri" w:cs="Calibri"/>
          <w:sz w:val="22"/>
          <w:szCs w:val="22"/>
        </w:rPr>
        <w:t>).</w:t>
      </w:r>
      <w:r w:rsidRPr="006720E4">
        <w:rPr>
          <w:rFonts w:ascii="Calibri" w:hAnsi="Calibri" w:cs="Calibri"/>
          <w:sz w:val="22"/>
          <w:szCs w:val="22"/>
        </w:rPr>
        <w:t xml:space="preserve">  </w:t>
      </w:r>
    </w:p>
    <w:p w14:paraId="06DFB4A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deceased – and living - donor tissue transplants may offer only marginal potential benefits in comparison to alternative treatment modalities, which means that very careful consideration of any risks that may be specific to the tissue transplant options is needed. If donated tissues are used in products or treatments that are not clearly of superior efficacy or quality than alternatives, this should prompt consideration of how donated materials may best be used to optimise their therapeutic value. </w:t>
      </w:r>
    </w:p>
    <w:p w14:paraId="4F2267F3" w14:textId="2FE58AB2" w:rsidR="006C6EBA" w:rsidRPr="006720E4" w:rsidRDefault="006C6EBA" w:rsidP="00EA22AE">
      <w:pPr>
        <w:spacing w:after="120"/>
        <w:rPr>
          <w:rStyle w:val="Hyperlink"/>
          <w:rFonts w:ascii="Calibri" w:hAnsi="Calibri" w:cs="Calibri"/>
          <w:sz w:val="22"/>
          <w:szCs w:val="22"/>
        </w:rPr>
      </w:pPr>
      <w:r w:rsidRPr="006720E4">
        <w:rPr>
          <w:rFonts w:ascii="Calibri" w:hAnsi="Calibri" w:cs="Calibri"/>
          <w:sz w:val="22"/>
          <w:szCs w:val="22"/>
        </w:rPr>
        <w:t xml:space="preserve">The challenges of evaluating risks and potential benefits of deceased donor organ transplants are </w:t>
      </w:r>
      <w:r w:rsidRPr="00DD1AC2">
        <w:rPr>
          <w:rFonts w:ascii="Calibri" w:hAnsi="Calibri" w:cs="Calibri"/>
          <w:sz w:val="22"/>
          <w:szCs w:val="22"/>
        </w:rPr>
        <w:t xml:space="preserve">discussed in </w:t>
      </w:r>
      <w:hyperlink w:anchor="_Evaluating_proportionality_of" w:history="1">
        <w:r w:rsidRPr="00DD1AC2">
          <w:rPr>
            <w:rStyle w:val="Hyperlink"/>
            <w:rFonts w:ascii="Calibri" w:hAnsi="Calibri" w:cs="Calibri"/>
            <w:sz w:val="22"/>
            <w:szCs w:val="22"/>
          </w:rPr>
          <w:t xml:space="preserve">Chapter </w:t>
        </w:r>
        <w:r w:rsidR="007F50FE" w:rsidRPr="00DD1AC2">
          <w:rPr>
            <w:rStyle w:val="Hyperlink"/>
            <w:rFonts w:ascii="Calibri" w:hAnsi="Calibri" w:cs="Calibri"/>
            <w:sz w:val="22"/>
            <w:szCs w:val="22"/>
          </w:rPr>
          <w:t>6</w:t>
        </w:r>
        <w:r w:rsidRPr="00DD1AC2">
          <w:rPr>
            <w:rStyle w:val="Hyperlink"/>
            <w:rFonts w:ascii="Calibri" w:hAnsi="Calibri" w:cs="Calibri"/>
            <w:sz w:val="22"/>
            <w:szCs w:val="22"/>
          </w:rPr>
          <w:t>.5</w:t>
        </w:r>
      </w:hyperlink>
      <w:r w:rsidRPr="00DD1AC2">
        <w:rPr>
          <w:rFonts w:ascii="Calibri" w:hAnsi="Calibri" w:cs="Calibri"/>
          <w:sz w:val="22"/>
          <w:szCs w:val="22"/>
        </w:rPr>
        <w:t>.</w:t>
      </w:r>
    </w:p>
    <w:p w14:paraId="75FAA3B9" w14:textId="77777777" w:rsidR="006C6EBA" w:rsidRPr="006720E4" w:rsidRDefault="006C6EBA" w:rsidP="00EA22AE">
      <w:pPr>
        <w:pStyle w:val="Heading2"/>
        <w:spacing w:after="120"/>
      </w:pPr>
      <w:bookmarkStart w:id="2582" w:name="_Evaluating_proportionality_of"/>
      <w:bookmarkStart w:id="2583" w:name="_Toc63683428"/>
      <w:bookmarkStart w:id="2584" w:name="_Toc70241770"/>
      <w:bookmarkStart w:id="2585" w:name="_Toc70243405"/>
      <w:bookmarkStart w:id="2586" w:name="_Toc70328739"/>
      <w:bookmarkStart w:id="2587" w:name="_Toc70333969"/>
      <w:bookmarkStart w:id="2588" w:name="_Toc70414875"/>
      <w:bookmarkStart w:id="2589" w:name="_Toc70844198"/>
      <w:bookmarkStart w:id="2590" w:name="_Toc70858994"/>
      <w:bookmarkStart w:id="2591" w:name="_Toc70861095"/>
      <w:bookmarkStart w:id="2592" w:name="_Toc70876580"/>
      <w:bookmarkStart w:id="2593" w:name="_Toc72615131"/>
      <w:bookmarkStart w:id="2594" w:name="_Toc73129852"/>
      <w:bookmarkStart w:id="2595" w:name="_Toc73301721"/>
      <w:bookmarkStart w:id="2596" w:name="_Toc73302227"/>
      <w:bookmarkStart w:id="2597" w:name="_Toc73303360"/>
      <w:bookmarkStart w:id="2598" w:name="_Toc73303598"/>
      <w:bookmarkStart w:id="2599" w:name="_Toc74080715"/>
      <w:bookmarkStart w:id="2600" w:name="_Toc74081023"/>
      <w:bookmarkStart w:id="2601" w:name="_Toc74081253"/>
      <w:bookmarkStart w:id="2602" w:name="_Toc74081505"/>
      <w:bookmarkStart w:id="2603" w:name="_Toc74171084"/>
      <w:bookmarkStart w:id="2604" w:name="_Toc74172282"/>
      <w:bookmarkStart w:id="2605" w:name="_Toc74172818"/>
      <w:bookmarkStart w:id="2606" w:name="_Toc74238758"/>
      <w:bookmarkStart w:id="2607" w:name="_Toc78304770"/>
      <w:bookmarkStart w:id="2608" w:name="_Toc79330864"/>
      <w:bookmarkStart w:id="2609" w:name="_Toc79331244"/>
      <w:bookmarkStart w:id="2610" w:name="_Toc79406393"/>
      <w:bookmarkStart w:id="2611" w:name="_Toc82773601"/>
      <w:bookmarkStart w:id="2612" w:name="_Toc82773954"/>
      <w:bookmarkStart w:id="2613" w:name="_Toc128314213"/>
      <w:bookmarkStart w:id="2614" w:name="_Toc135131457"/>
      <w:bookmarkEnd w:id="2463"/>
      <w:bookmarkEnd w:id="2464"/>
      <w:bookmarkEnd w:id="2465"/>
      <w:bookmarkEnd w:id="2466"/>
      <w:bookmarkEnd w:id="2467"/>
      <w:bookmarkEnd w:id="2582"/>
      <w:r w:rsidRPr="006720E4">
        <w:t>Evaluating proportionality of risks and benefits in the context of organ transplant</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rsidRPr="006720E4">
        <w:t>ation</w:t>
      </w:r>
      <w:bookmarkEnd w:id="2608"/>
      <w:bookmarkEnd w:id="2609"/>
      <w:bookmarkEnd w:id="2610"/>
      <w:bookmarkEnd w:id="2611"/>
      <w:bookmarkEnd w:id="2612"/>
      <w:bookmarkEnd w:id="2613"/>
      <w:bookmarkEnd w:id="2614"/>
    </w:p>
    <w:p w14:paraId="2B67F73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contrast to many decisions about treatment options in healthcare, decisions about organ transplantation are likely to involve considerable forward planning and uncertainty regarding the specific options for treatment that may eventuate and their risks and potential benefits. In the following sections, specific ethical concerns that may arise in specific contexts when evaluating risks and potential benefits of organ transplantation are explored. </w:t>
      </w:r>
    </w:p>
    <w:p w14:paraId="4E845232" w14:textId="77777777" w:rsidR="006C6EBA" w:rsidRPr="006720E4" w:rsidRDefault="006C6EBA" w:rsidP="00EA22AE">
      <w:pPr>
        <w:pStyle w:val="Heading3"/>
        <w:spacing w:after="120"/>
      </w:pPr>
      <w:bookmarkStart w:id="2615" w:name="_Evaluating_general_risks"/>
      <w:bookmarkStart w:id="2616" w:name="_Toc63683429"/>
      <w:bookmarkStart w:id="2617" w:name="_Toc70241771"/>
      <w:bookmarkStart w:id="2618" w:name="_Toc70243406"/>
      <w:bookmarkStart w:id="2619" w:name="_Toc70414876"/>
      <w:bookmarkStart w:id="2620" w:name="_Toc70844199"/>
      <w:bookmarkStart w:id="2621" w:name="_Toc72615132"/>
      <w:bookmarkStart w:id="2622" w:name="_Toc73129853"/>
      <w:bookmarkStart w:id="2623" w:name="_Toc73301722"/>
      <w:bookmarkStart w:id="2624" w:name="_Toc73302228"/>
      <w:bookmarkStart w:id="2625" w:name="_Toc73303361"/>
      <w:bookmarkStart w:id="2626" w:name="_Toc73303599"/>
      <w:bookmarkStart w:id="2627" w:name="_Toc74080716"/>
      <w:bookmarkStart w:id="2628" w:name="_Toc74081024"/>
      <w:bookmarkStart w:id="2629" w:name="_Toc74081254"/>
      <w:bookmarkStart w:id="2630" w:name="_Toc74081506"/>
      <w:bookmarkStart w:id="2631" w:name="_Toc74171085"/>
      <w:bookmarkStart w:id="2632" w:name="_Toc74172283"/>
      <w:bookmarkStart w:id="2633" w:name="_Toc74172819"/>
      <w:bookmarkStart w:id="2634" w:name="_Toc74238759"/>
      <w:bookmarkStart w:id="2635" w:name="_Toc79406394"/>
      <w:bookmarkStart w:id="2636" w:name="_Toc82773602"/>
      <w:bookmarkStart w:id="2637" w:name="_Toc82773955"/>
      <w:bookmarkEnd w:id="2615"/>
      <w:r w:rsidRPr="006720E4">
        <w:t>Evaluating general risks and benefits of organ transplantatio</w:t>
      </w:r>
      <w:bookmarkEnd w:id="2616"/>
      <w:r w:rsidRPr="006720E4">
        <w:t>n</w:t>
      </w:r>
      <w:bookmarkEnd w:id="2617"/>
      <w:bookmarkEnd w:id="2618"/>
      <w:r w:rsidRPr="006720E4">
        <w:t xml:space="preserve"> </w:t>
      </w:r>
      <w:bookmarkEnd w:id="2619"/>
      <w:bookmarkEnd w:id="2620"/>
      <w:r w:rsidRPr="006720E4">
        <w:t>for an individual</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4552381B" w14:textId="77777777" w:rsidR="006C6EBA" w:rsidRPr="006720E4" w:rsidRDefault="006C6EBA" w:rsidP="00EA22AE">
      <w:pPr>
        <w:spacing w:after="120"/>
        <w:rPr>
          <w:rFonts w:ascii="Calibri" w:hAnsi="Calibri" w:cs="Calibri"/>
          <w:sz w:val="22"/>
          <w:szCs w:val="22"/>
        </w:rPr>
      </w:pPr>
      <w:bookmarkStart w:id="2638" w:name="_Toc70241772"/>
      <w:bookmarkStart w:id="2639" w:name="_Toc70243407"/>
      <w:bookmarkStart w:id="2640" w:name="_Toc70414877"/>
      <w:r w:rsidRPr="006720E4">
        <w:rPr>
          <w:rFonts w:ascii="Calibri" w:hAnsi="Calibri" w:cs="Calibri"/>
          <w:sz w:val="22"/>
          <w:szCs w:val="22"/>
        </w:rPr>
        <w:t xml:space="preserve">Determining whether an individual is clinically </w:t>
      </w:r>
      <w:r w:rsidRPr="006720E4">
        <w:rPr>
          <w:rFonts w:ascii="Calibri" w:hAnsi="Calibri" w:cs="Calibri"/>
          <w:b/>
          <w:bCs/>
          <w:sz w:val="22"/>
          <w:szCs w:val="22"/>
        </w:rPr>
        <w:t>suitable</w:t>
      </w:r>
      <w:r w:rsidRPr="006720E4">
        <w:rPr>
          <w:rFonts w:ascii="Calibri" w:hAnsi="Calibri" w:cs="Calibri"/>
          <w:sz w:val="22"/>
          <w:szCs w:val="22"/>
        </w:rPr>
        <w:t xml:space="preserve"> for transplantation involves a decision about whether a person would benefit overall from receiving an organ transplant, and whether they are clinically suitable to receive one, irrespective of the opportunities they may have for transplantation. </w:t>
      </w:r>
    </w:p>
    <w:p w14:paraId="7E3F4BE1" w14:textId="4C842A1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Evaluating the risks and potential benefits of organ transplantation for an individual may have implications for whether they are referred to join the waiting list for a deceased donor transplant (see </w:t>
      </w:r>
      <w:hyperlink w:anchor="_Assessment_for_organ" w:history="1">
        <w:r w:rsidR="00863834" w:rsidRPr="00863834">
          <w:rPr>
            <w:rStyle w:val="Hyperlink"/>
            <w:rFonts w:ascii="Calibri" w:hAnsi="Calibri" w:cs="Calibri"/>
            <w:sz w:val="22"/>
            <w:szCs w:val="22"/>
          </w:rPr>
          <w:t>Chapter 2.6</w:t>
        </w:r>
      </w:hyperlink>
      <w:r w:rsidRPr="006720E4">
        <w:rPr>
          <w:rFonts w:ascii="Calibri" w:hAnsi="Calibri" w:cs="Calibri"/>
          <w:sz w:val="22"/>
          <w:szCs w:val="22"/>
        </w:rPr>
        <w:t>). Delays in referral can have a significant impact on long term outcomes for those requiring transplantation, and several factors may influence decision-making in ways that underpin inequities in access to transplantation and transplant outcomes.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{"citationItems":[{"id":"ITEM-1","itemData":{"abstract":"Background.Despite the survival advantage of transplantationover dialysis, obese patients are less likely to be listed on thedeceased donor waiting list and subsequently transplanted.This study aimed to determine the association betweenobesity and access to deceaseddonor transplantation andwhether any association observed was applicable to men andwomen equally.Methods.Cox proportional hazards models were conducted todetermine the association between obesity and waitlisting fortransplantation and then subsequent receipt of a kidney trans-plant using data from the Australian and New Zealand Dialysisand Transplant Registry (2007–14).Results.Of 11633 patients included, 4408 (37.9%) wereobese. Over a follow-up periodof 26306 patient-years duringwaitlisting and 5607 patient-years from waitlisting to trans-plantation, 3515 candidates were listed (28.4% obese) and1662 were transplanted (29.3% obese). Obesity was associ-ated with a reduced likelihood of waitlisting {adjusted hazardratio [aHR] 0.66 [95% confidence interval (CI) 0.58–0.76]}but not kidney transplantation once waitlisted [aHR 1.10(95% CI 0.97–1.24)]. The impact of obesity and waitlistingwas modified by gender (P-value for interaction¼0.01).Women who were obese were 34% less likely to be listed thannormal-weight women [aHR 0.66 (95% CI 0.58–0.76)], com-pared with obese men who were 14% less likely [aHR 0.86(95% CI 0.77–0.97)].Conclusions.Overall, obesity reduces the likelihood of beinglisted for deceased donor transplantation, especially amongwomen, but not transplantation once listed. Transplant physi-cians who regulate access to the deceased donor waiting listshould be aware of this apparent inequity and seek to under-stand and ameliorate contributing factors","author":[{"dropping-particle":"","family":"Ladhani","given":"Maleeka","non-dropping-particle":"","parse-names":false,"suffix":""},{"dropping-particle":"","family":"Craig","given":"Jonathan C.","non-dropping-particle":"","parse-names":false,"suffix":""},{"dropping-particle":"","family":"Wong","given":"Genevieve","non-dropping-particle":"","parse-names":false,"suffix":""}],"container-title":"Nephrol Dial Transplant","id":"ITEM-1","issue":"35","issued":{"date-parts":[["2020"]]},"page":"184-189","title":"Obesity and gender-biased access to deceased donor kidney transplantation","type":"article-journal"},"uris":["http://www.mendeley.com/documents/?uuid=fa0261c7-d6a7-40a6-be18-a03ea81bce50"]},{"id":"ITEM-2","itemData":{"DOI":"10.5694/mja18.00304","ISSN":"13265377","PMID":"30208818","abstract":"Objective: To compare the likelihood of Indigenous and non-Indigenous Australians being placed on the waiting list for transplantation of a kidney from a deceased donor; to compare the subsequent likelihood of transplantation. Design, setting and participants: Observational cohort study; analysis of data from the Australia and New Zealand Dialysis and Transplant (ANZDATA) Registry for patients aged 18−60 years at the start of renal replacement therapy, who commenced renal replacement therapy in Australia between 28 June 2006 and 31 December 2016. Main outcome measures: Time to wait-listing; time to kidney transplantation after wait-listing. Results: 10 839 patients met the inclusion criteria, of whom 2039 (19%) were Indigenous Australians; 217 Indigenous and 3829 non-Indigenous patients were active on the waiting list at least once during the study period. The hazard ratio (HR) for wait-listing (Indigenous v non-Indigenous patients, adjusted for patient-and disease-related factors) in the first year of renal replacement therapy varied with age and remoteness (range, 0.11 [95% CI, 0.07−0.15] to 0.36 [95% CI, 0.16−0.56]); in subsequent years the adjusted HR was 0.90 (95% CI, 0.50−1.6). The adjusted HR for transplantation during the first year of wait-listing did not differ significantly from 1.0; for subsequent years of wait-listing, however, the adjusted HR was 0.40 (95% CI, 0.29−0.55). Conclusion: Disparities between Indigenous and non-Indigenous patients with end-stage kidney disease in access to kidney transplantation are not explained by patient-or disease-related factors. Changes in policy and practice are needed to reduce these differences.","author":[{"dropping-particle":"","family":"Khanal","given":"Namrata","non-dropping-particle":"","parse-names":false,"suffix":""},{"dropping-particle":"","family":"Lawton","given":"Paul D.","non-dropping-particle":"","parse-names":false,"suffix":""},{"dropping-particle":"","family":"Cass","given":"Alan","non-dropping-particle":"","parse-names":false,"suffix":""},{"dropping-particle":"","family":"McDonald","given":"Stephen P.","non-dropping-particle":"","parse-names":false,"suffix":""}],"container-title":"Medical Journal of Australia","id":"ITEM-2","issue":"6","issued":{"date-parts":[["2018"]]},"page":"261-266","title":"Disparity of access to kidney transplantation by indigenous and non-indigenous Australians","type":"article-journal","volume":"209"},"uris":["http://www.mendeley.com/documents/?uuid=06c64918-cef9-4031-84c9-36bd5ce31269"]},{"id":"ITEM-3","itemData":{"DOI":"10.1097/TP.0000000000001911","ISBN":"0000000000","ISSN":"00411337","PMID":"28858178","author":[{"dropping-particle":"","family":"Lawton","given":"Paul D.","non-dropping-particle":"","parse-names":false,"suffix":""},{"dropping-particle":"","family":"McDonald","given":"Stephen P.","non-dropping-particle":"","parse-names":false,"suffix":""},{"dropping-particle":"","family":"Snelling","given":"Paul L.","non-dropping-particle":"","parse-names":false,"suffix":""},{"dropping-particle":"","family":"Hughes","given":"Jaquelyne","non-dropping-particle":"","parse-names":false,"suffix":""},{"dropping-particle":"","family":"Cass","given":"Alan","non-dropping-particle":"","parse-names":false,"suffix":""}],"container-title":"Transplantation","id":"ITEM-3","issue":"11","issued":{"date-parts":[["2017"]]},"page":"e345-e346","title":"Organ Transplantation in Australia: Inequities in Access and Outcome for Indigenous Australians","type":"article-journal","volume":"101"},"uris":["http://www.mendeley.com/documents/?uuid=da6c8e7d-71a2-4ceb-b751-9b32e68cfafd"]}],"mendeley":{"formattedCitation":"(92–94)","plainTextFormattedCitation":"(92–94)","previouslyFormattedCitation":"(92–94)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(92–94)</w:t>
      </w:r>
      <w:r w:rsidRPr="006720E4">
        <w:rPr>
          <w:rFonts w:ascii="Calibri" w:hAnsi="Calibri" w:cs="Calibri"/>
          <w:sz w:val="22"/>
          <w:szCs w:val="22"/>
        </w:rPr>
        <w:fldChar w:fldCharType="end"/>
      </w:r>
      <w:r w:rsidRPr="006720E4">
        <w:rPr>
          <w:rFonts w:ascii="Calibri" w:hAnsi="Calibri" w:cs="Calibri"/>
          <w:sz w:val="22"/>
          <w:szCs w:val="22"/>
        </w:rPr>
        <w:t xml:space="preserve"> Strategies should therefore </w:t>
      </w:r>
      <w:r w:rsidRPr="006720E4">
        <w:rPr>
          <w:rFonts w:ascii="Calibri" w:hAnsi="Calibri" w:cs="Calibri"/>
          <w:sz w:val="22"/>
          <w:szCs w:val="22"/>
        </w:rPr>
        <w:lastRenderedPageBreak/>
        <w:t>be implemented to support objectivity in assessment of potential transplant recipients (</w:t>
      </w:r>
      <w:r w:rsidRPr="003F7DBB">
        <w:rPr>
          <w:rFonts w:ascii="Calibri" w:hAnsi="Calibri" w:cs="Calibri"/>
          <w:sz w:val="22"/>
          <w:szCs w:val="22"/>
        </w:rPr>
        <w:t xml:space="preserve">see </w:t>
      </w:r>
      <w:hyperlink w:anchor="_Promoting_objectivity_in" w:history="1">
        <w:r w:rsidRPr="003F7DBB">
          <w:rPr>
            <w:rStyle w:val="Hyperlink"/>
            <w:rFonts w:ascii="Calibri" w:hAnsi="Calibri" w:cs="Calibri"/>
            <w:sz w:val="22"/>
            <w:szCs w:val="22"/>
          </w:rPr>
          <w:t xml:space="preserve">Chapter </w:t>
        </w:r>
        <w:r w:rsidR="007F50FE" w:rsidRPr="003F7DBB">
          <w:rPr>
            <w:rStyle w:val="Hyperlink"/>
            <w:rFonts w:ascii="Calibri" w:hAnsi="Calibri" w:cs="Calibri"/>
            <w:sz w:val="22"/>
            <w:szCs w:val="22"/>
          </w:rPr>
          <w:t>6</w:t>
        </w:r>
        <w:r w:rsidRPr="003F7DBB">
          <w:rPr>
            <w:rStyle w:val="Hyperlink"/>
            <w:rFonts w:ascii="Calibri" w:hAnsi="Calibri" w:cs="Calibri"/>
            <w:sz w:val="22"/>
            <w:szCs w:val="22"/>
          </w:rPr>
          <w:t>.1.2</w:t>
        </w:r>
      </w:hyperlink>
      <w:r w:rsidRPr="003F7DBB">
        <w:rPr>
          <w:rFonts w:ascii="Calibri" w:hAnsi="Calibri" w:cs="Calibri"/>
          <w:sz w:val="22"/>
          <w:szCs w:val="22"/>
        </w:rPr>
        <w:t xml:space="preserve">), ensure that assessment is holistic and centred on the potential transplant recipient (see </w:t>
      </w:r>
      <w:hyperlink w:anchor="_Holistic_and_person-centred" w:history="1">
        <w:r w:rsidRPr="003F7DBB">
          <w:rPr>
            <w:rStyle w:val="Hyperlink"/>
            <w:rFonts w:ascii="Calibri" w:hAnsi="Calibri" w:cs="Calibri"/>
            <w:sz w:val="22"/>
            <w:szCs w:val="22"/>
          </w:rPr>
          <w:t xml:space="preserve">Chapter </w:t>
        </w:r>
        <w:r w:rsidR="007F50FE" w:rsidRPr="003F7DBB">
          <w:rPr>
            <w:rStyle w:val="Hyperlink"/>
            <w:rFonts w:ascii="Calibri" w:hAnsi="Calibri" w:cs="Calibri"/>
            <w:sz w:val="22"/>
            <w:szCs w:val="22"/>
          </w:rPr>
          <w:t>6</w:t>
        </w:r>
        <w:r w:rsidRPr="003F7DBB">
          <w:rPr>
            <w:rStyle w:val="Hyperlink"/>
            <w:rFonts w:ascii="Calibri" w:hAnsi="Calibri" w:cs="Calibri"/>
            <w:sz w:val="22"/>
            <w:szCs w:val="22"/>
          </w:rPr>
          <w:t>.1.1</w:t>
        </w:r>
      </w:hyperlink>
      <w:r w:rsidRPr="003F7DBB">
        <w:rPr>
          <w:rFonts w:ascii="Calibri" w:hAnsi="Calibri" w:cs="Calibri"/>
          <w:sz w:val="22"/>
          <w:szCs w:val="22"/>
        </w:rPr>
        <w:t>).</w:t>
      </w:r>
      <w:r w:rsidRPr="006720E4">
        <w:rPr>
          <w:rFonts w:ascii="Calibri" w:hAnsi="Calibri" w:cs="Calibri"/>
          <w:sz w:val="22"/>
          <w:szCs w:val="22"/>
        </w:rPr>
        <w:t xml:space="preserve"> </w:t>
      </w:r>
    </w:p>
    <w:p w14:paraId="5D4F0267" w14:textId="77777777" w:rsidR="006C6EBA" w:rsidRPr="006720E4" w:rsidRDefault="006C6EBA" w:rsidP="00EA22AE">
      <w:pPr>
        <w:pStyle w:val="Heading4"/>
        <w:spacing w:after="120"/>
      </w:pPr>
      <w:bookmarkStart w:id="2641" w:name="_Distinguishing_suitability_to"/>
      <w:bookmarkStart w:id="2642" w:name="_Toc73129854"/>
      <w:bookmarkStart w:id="2643" w:name="_Toc73301723"/>
      <w:bookmarkStart w:id="2644" w:name="_Toc73302229"/>
      <w:bookmarkStart w:id="2645" w:name="_Toc73303362"/>
      <w:bookmarkStart w:id="2646" w:name="_Toc74081507"/>
      <w:bookmarkStart w:id="2647" w:name="_Toc74172284"/>
      <w:bookmarkStart w:id="2648" w:name="_Toc74172820"/>
      <w:bookmarkStart w:id="2649" w:name="_Toc82773603"/>
      <w:bookmarkStart w:id="2650" w:name="_Toc82773956"/>
      <w:bookmarkEnd w:id="2641"/>
      <w:r w:rsidRPr="006720E4">
        <w:t>Distinguishing suitability to benefit from transplantation from eligibility for deceased donor organ transplantation</w:t>
      </w:r>
      <w:bookmarkEnd w:id="2642"/>
      <w:bookmarkEnd w:id="2643"/>
      <w:bookmarkEnd w:id="2644"/>
      <w:bookmarkEnd w:id="2645"/>
      <w:bookmarkEnd w:id="2646"/>
      <w:bookmarkEnd w:id="2647"/>
      <w:bookmarkEnd w:id="2648"/>
      <w:bookmarkEnd w:id="2649"/>
      <w:bookmarkEnd w:id="2650"/>
      <w:r w:rsidRPr="006720E4">
        <w:t xml:space="preserve"> </w:t>
      </w:r>
    </w:p>
    <w:p w14:paraId="3B1C197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Decisions regarding a person’s </w:t>
      </w:r>
      <w:r w:rsidRPr="006720E4">
        <w:rPr>
          <w:rFonts w:ascii="Calibri" w:hAnsi="Calibri" w:cs="Calibri"/>
          <w:i/>
          <w:iCs/>
          <w:sz w:val="22"/>
          <w:szCs w:val="22"/>
        </w:rPr>
        <w:t>suitability</w:t>
      </w:r>
      <w:r w:rsidRPr="006720E4">
        <w:rPr>
          <w:rFonts w:ascii="Calibri" w:hAnsi="Calibri" w:cs="Calibri"/>
          <w:sz w:val="22"/>
          <w:szCs w:val="22"/>
        </w:rPr>
        <w:t xml:space="preserve"> to benefit from organ transplantation should be distinguished from decisions about “eligibility for transplant” which is a term commonly used in the context of resource allocation decisions, that determine whether an individual is expected to benefit enough to be considered </w:t>
      </w:r>
      <w:r w:rsidRPr="006720E4">
        <w:rPr>
          <w:rFonts w:ascii="Calibri" w:hAnsi="Calibri" w:cs="Calibri"/>
          <w:i/>
          <w:iCs/>
          <w:sz w:val="22"/>
          <w:szCs w:val="22"/>
        </w:rPr>
        <w:t>eligible</w:t>
      </w:r>
      <w:r w:rsidRPr="006720E4">
        <w:rPr>
          <w:rFonts w:ascii="Calibri" w:hAnsi="Calibri" w:cs="Calibri"/>
          <w:sz w:val="22"/>
          <w:szCs w:val="22"/>
        </w:rPr>
        <w:t xml:space="preserve"> for a deceased donor transplant.</w:t>
      </w:r>
    </w:p>
    <w:p w14:paraId="4008A65E" w14:textId="13D59DF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number of individuals who are deemed eligible for transplantation and who therefore join the organ transplant waiting list is much smaller than the number who would be suitable for transplantation and who might benefit significantly from transplantation if sufficient organs were available. Identifying those who would be suitable may be important for several reasons:</w:t>
      </w:r>
    </w:p>
    <w:p w14:paraId="26E34555" w14:textId="77777777" w:rsidR="006C6EBA" w:rsidRPr="006720E4" w:rsidRDefault="006C6EBA" w:rsidP="00C3783C">
      <w:pPr>
        <w:pStyle w:val="ListParagraph"/>
        <w:numPr>
          <w:ilvl w:val="0"/>
          <w:numId w:val="28"/>
        </w:numPr>
        <w:spacing w:after="120"/>
        <w:contextualSpacing w:val="0"/>
        <w:rPr>
          <w:rFonts w:cs="Calibri"/>
          <w:szCs w:val="22"/>
        </w:rPr>
      </w:pPr>
      <w:r w:rsidRPr="006720E4">
        <w:rPr>
          <w:rFonts w:cs="Calibri"/>
          <w:szCs w:val="22"/>
        </w:rPr>
        <w:t xml:space="preserve">It is important to recognize people’s healthcare needs and acknowledge their right to healthcare even when circumstances prevent the fulfilment of that right in a particular context. </w:t>
      </w:r>
    </w:p>
    <w:p w14:paraId="77E797E8" w14:textId="77777777" w:rsidR="006C6EBA" w:rsidRPr="006720E4" w:rsidRDefault="006C6EBA" w:rsidP="00C3783C">
      <w:pPr>
        <w:pStyle w:val="ListParagraph"/>
        <w:numPr>
          <w:ilvl w:val="0"/>
          <w:numId w:val="28"/>
        </w:numPr>
        <w:spacing w:after="120"/>
        <w:contextualSpacing w:val="0"/>
        <w:rPr>
          <w:rFonts w:cs="Calibri"/>
          <w:szCs w:val="22"/>
        </w:rPr>
      </w:pPr>
      <w:r w:rsidRPr="006720E4">
        <w:rPr>
          <w:rFonts w:cs="Calibri"/>
          <w:szCs w:val="22"/>
        </w:rPr>
        <w:t xml:space="preserve">It enables quantification of real transplant needs and may motivate and inform efforts to increase our ability to meet those needs. Overtime, criteria for eligibility have become less restrictive as organ availability has increased. For example, older candidates are now accepted on the transplant waiting list. </w:t>
      </w:r>
    </w:p>
    <w:p w14:paraId="0ABB8ACF" w14:textId="154F1138" w:rsidR="006C6EBA" w:rsidRPr="006720E4" w:rsidRDefault="006C6EBA" w:rsidP="00C3783C">
      <w:pPr>
        <w:pStyle w:val="ListParagraph"/>
        <w:numPr>
          <w:ilvl w:val="0"/>
          <w:numId w:val="28"/>
        </w:numPr>
        <w:spacing w:after="120"/>
        <w:contextualSpacing w:val="0"/>
        <w:rPr>
          <w:rFonts w:cs="Calibri"/>
          <w:szCs w:val="22"/>
        </w:rPr>
      </w:pPr>
      <w:r w:rsidRPr="006720E4">
        <w:rPr>
          <w:rFonts w:cs="Calibri"/>
          <w:szCs w:val="22"/>
        </w:rPr>
        <w:t xml:space="preserve">If individuals identify their own needs, for example through consultation of other health professionals or reading about transplant cases involving patients similar to themselves in other countries, they may pursue potentially harmful options such as transplant tourism, if they believe their needs are not respected in </w:t>
      </w:r>
      <w:r w:rsidRPr="003F7DBB">
        <w:rPr>
          <w:rFonts w:cs="Calibri"/>
          <w:szCs w:val="22"/>
        </w:rPr>
        <w:t xml:space="preserve">Australia (see </w:t>
      </w:r>
      <w:hyperlink w:anchor="_International_travel_for" w:history="1">
        <w:r w:rsidRPr="003F7DBB">
          <w:rPr>
            <w:rStyle w:val="Hyperlink"/>
            <w:rFonts w:cs="Calibri"/>
            <w:szCs w:val="22"/>
          </w:rPr>
          <w:t xml:space="preserve">Chapter </w:t>
        </w:r>
        <w:r w:rsidR="007F50FE" w:rsidRPr="003F7DBB">
          <w:rPr>
            <w:rStyle w:val="Hyperlink"/>
            <w:rFonts w:cs="Calibri"/>
            <w:szCs w:val="22"/>
          </w:rPr>
          <w:t>9</w:t>
        </w:r>
        <w:r w:rsidRPr="003F7DBB">
          <w:rPr>
            <w:rStyle w:val="Hyperlink"/>
            <w:rFonts w:cs="Calibri"/>
            <w:szCs w:val="22"/>
          </w:rPr>
          <w:t>.4</w:t>
        </w:r>
      </w:hyperlink>
      <w:r w:rsidRPr="003F7DBB">
        <w:rPr>
          <w:rFonts w:cs="Calibri"/>
          <w:szCs w:val="22"/>
        </w:rPr>
        <w:t>). By recognizing</w:t>
      </w:r>
      <w:r w:rsidRPr="006720E4">
        <w:rPr>
          <w:rFonts w:cs="Calibri"/>
          <w:szCs w:val="22"/>
        </w:rPr>
        <w:t xml:space="preserve"> needs, health professionals may be able to educate and inform those individuals of the reasons preventing them from accessing a transplant and of alternative treatments and their risks and potential benefits.</w:t>
      </w:r>
    </w:p>
    <w:p w14:paraId="57C8CD7D" w14:textId="60CC30D3" w:rsidR="006C6EBA" w:rsidRPr="006720E4" w:rsidRDefault="006C6EBA" w:rsidP="00C3783C">
      <w:pPr>
        <w:pStyle w:val="ListParagraph"/>
        <w:numPr>
          <w:ilvl w:val="0"/>
          <w:numId w:val="28"/>
        </w:numPr>
        <w:spacing w:after="120"/>
        <w:contextualSpacing w:val="0"/>
        <w:rPr>
          <w:rFonts w:cs="Calibri"/>
          <w:szCs w:val="22"/>
        </w:rPr>
      </w:pPr>
      <w:r w:rsidRPr="006720E4">
        <w:rPr>
          <w:rFonts w:cs="Calibri"/>
          <w:szCs w:val="22"/>
        </w:rPr>
        <w:t xml:space="preserve">A person who is not currently eligible for transplantation may become eligible in future, for example if modifiable risks factors are addressed, or the severity of their need for transplantation increases. Recognition of their potential need may help to ensure repeat evaluations occur. Consequently, if they do qualify for transplantation their eligibility will not missed (see </w:t>
      </w:r>
      <w:hyperlink w:anchor="_Re-evaluating_suitability_for" w:history="1">
        <w:r w:rsidRPr="006720E4">
          <w:rPr>
            <w:rStyle w:val="Hyperlink"/>
            <w:rFonts w:cs="Calibri"/>
            <w:szCs w:val="22"/>
          </w:rPr>
          <w:t xml:space="preserve">Chapter </w:t>
        </w:r>
        <w:r w:rsidR="007F50FE">
          <w:rPr>
            <w:rStyle w:val="Hyperlink"/>
            <w:rFonts w:cs="Calibri"/>
            <w:szCs w:val="22"/>
          </w:rPr>
          <w:t>6</w:t>
        </w:r>
        <w:r w:rsidRPr="006720E4">
          <w:rPr>
            <w:rStyle w:val="Hyperlink"/>
            <w:rFonts w:cs="Calibri"/>
            <w:szCs w:val="22"/>
          </w:rPr>
          <w:t>.5.1.3</w:t>
        </w:r>
      </w:hyperlink>
      <w:r w:rsidRPr="006720E4">
        <w:rPr>
          <w:rFonts w:cs="Calibri"/>
          <w:szCs w:val="22"/>
        </w:rPr>
        <w:t>).</w:t>
      </w:r>
    </w:p>
    <w:p w14:paraId="4D800748" w14:textId="7698C071" w:rsidR="006C6EBA" w:rsidRPr="006720E4" w:rsidRDefault="006C6EBA" w:rsidP="00C3783C">
      <w:pPr>
        <w:pStyle w:val="ListParagraph"/>
        <w:numPr>
          <w:ilvl w:val="0"/>
          <w:numId w:val="28"/>
        </w:numPr>
        <w:spacing w:after="120"/>
        <w:contextualSpacing w:val="0"/>
        <w:rPr>
          <w:rFonts w:cs="Calibri"/>
          <w:szCs w:val="22"/>
        </w:rPr>
      </w:pPr>
      <w:r w:rsidRPr="006720E4">
        <w:rPr>
          <w:rFonts w:cs="Calibri"/>
          <w:szCs w:val="22"/>
        </w:rPr>
        <w:t xml:space="preserve">It empowers individuals to seek a second opinion, if necessary, if there is a concern that clinical judgements regarding their eligibility are not appropriate. It may also empower individuals who are excluded from transplantation as a result of resource constraints and rationing criteria to review allocation policies and potentially advocate for change, as well as to advocate for organ donation. </w:t>
      </w:r>
    </w:p>
    <w:p w14:paraId="43A42AF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Recognising that a person who does not meet eligibility criteria for organ transplantation might nevertheless benefit from transplantation does not mean that a full transplantation “work up” (as would be performed for eligible transplant candidates) should be conducted. The burdens of completing work ups on individual who are not eligible to join the waiting list may be significant for both the individual and the healthcare system. These include the financial costs of assessment and the potential to foster unrealistic hopes of transplantation that may result in disappointment and distress. However, some evaluation may be needed to help ensure that decisions about potential treatment options, and eligibility for transplantation are evidence-based. </w:t>
      </w:r>
    </w:p>
    <w:p w14:paraId="0C10854C" w14:textId="77777777" w:rsidR="006C6EBA" w:rsidRPr="006720E4" w:rsidRDefault="006C6EBA" w:rsidP="00EA22AE">
      <w:pPr>
        <w:pStyle w:val="Heading4"/>
        <w:spacing w:after="120"/>
      </w:pPr>
      <w:bookmarkStart w:id="2651" w:name="_Evaluating_potential_benefits"/>
      <w:bookmarkStart w:id="2652" w:name="_Determining_eligibility_for"/>
      <w:bookmarkStart w:id="2653" w:name="_Toc73129855"/>
      <w:bookmarkStart w:id="2654" w:name="_Toc73301724"/>
      <w:bookmarkStart w:id="2655" w:name="_Toc73302230"/>
      <w:bookmarkStart w:id="2656" w:name="_Toc73303363"/>
      <w:bookmarkStart w:id="2657" w:name="_Toc74081508"/>
      <w:bookmarkStart w:id="2658" w:name="_Toc74172285"/>
      <w:bookmarkStart w:id="2659" w:name="_Toc74172821"/>
      <w:bookmarkStart w:id="2660" w:name="_Toc82773604"/>
      <w:bookmarkStart w:id="2661" w:name="_Toc82773957"/>
      <w:bookmarkStart w:id="2662" w:name="_Toc72615133"/>
      <w:bookmarkEnd w:id="2651"/>
      <w:bookmarkEnd w:id="2652"/>
      <w:r w:rsidRPr="006720E4">
        <w:lastRenderedPageBreak/>
        <w:t>Determining eligibility for organ transplantation by evaluating potential benefits and risks of transplantation</w:t>
      </w:r>
      <w:bookmarkEnd w:id="2653"/>
      <w:bookmarkEnd w:id="2654"/>
      <w:bookmarkEnd w:id="2655"/>
      <w:bookmarkEnd w:id="2656"/>
      <w:bookmarkEnd w:id="2657"/>
      <w:bookmarkEnd w:id="2658"/>
      <w:bookmarkEnd w:id="2659"/>
      <w:bookmarkEnd w:id="2660"/>
      <w:bookmarkEnd w:id="2661"/>
      <w:r w:rsidRPr="006720E4">
        <w:t xml:space="preserve"> </w:t>
      </w:r>
      <w:bookmarkEnd w:id="2662"/>
    </w:p>
    <w:p w14:paraId="70D65FFD" w14:textId="6AE4257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clinical guidelines developed by TSANZ outline specific inclusion and exclusion criteria for eligibility for transplantation of each organ, as well as general conditions that apply across the organ types.</w:t>
      </w:r>
      <w:r w:rsidRPr="006720E4">
        <w:rPr>
          <w:rFonts w:ascii="Calibri" w:hAnsi="Calibri" w:cs="Calibri"/>
          <w:sz w:val="22"/>
          <w:szCs w:val="22"/>
        </w:rPr>
        <w:fldChar w:fldCharType="begin" w:fldLock="1"/>
      </w:r>
      <w:r w:rsidR="00485565" w:rsidRPr="006720E4">
        <w:rPr>
          <w:rFonts w:ascii="Calibri" w:hAnsi="Calibri" w:cs="Calibri"/>
          <w:sz w:val="22"/>
          <w:szCs w:val="22"/>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Pr="006720E4">
        <w:rPr>
          <w:rFonts w:ascii="Calibri" w:hAnsi="Calibri" w:cs="Calibri"/>
          <w:sz w:val="22"/>
          <w:szCs w:val="22"/>
        </w:rPr>
        <w:fldChar w:fldCharType="separate"/>
      </w:r>
      <w:r w:rsidR="00485565" w:rsidRPr="006720E4">
        <w:rPr>
          <w:rFonts w:ascii="Calibri" w:hAnsi="Calibri" w:cs="Calibri"/>
          <w:noProof/>
          <w:sz w:val="22"/>
          <w:szCs w:val="22"/>
        </w:rPr>
        <w:t>(12)</w:t>
      </w:r>
      <w:r w:rsidRPr="006720E4">
        <w:rPr>
          <w:rFonts w:ascii="Calibri" w:hAnsi="Calibri" w:cs="Calibri"/>
          <w:sz w:val="22"/>
          <w:szCs w:val="22"/>
        </w:rPr>
        <w:fldChar w:fldCharType="end"/>
      </w:r>
      <w:r w:rsidRPr="006720E4">
        <w:rPr>
          <w:rFonts w:ascii="Calibri" w:hAnsi="Calibri" w:cs="Calibri"/>
          <w:sz w:val="22"/>
          <w:szCs w:val="22"/>
        </w:rPr>
        <w:t xml:space="preserve"> In this context, eligibility refers to eligibility to join the waiting list for allocation of a deceased donor organ. </w:t>
      </w:r>
    </w:p>
    <w:p w14:paraId="6B2D73A1"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process of determining eligibility for transplantation involves:</w:t>
      </w:r>
      <w:bookmarkEnd w:id="2638"/>
      <w:bookmarkEnd w:id="2639"/>
      <w:bookmarkEnd w:id="2640"/>
      <w:r w:rsidRPr="006720E4">
        <w:rPr>
          <w:rFonts w:ascii="Calibri" w:hAnsi="Calibri" w:cs="Calibri"/>
          <w:sz w:val="22"/>
          <w:szCs w:val="22"/>
        </w:rPr>
        <w:t xml:space="preserve"> </w:t>
      </w:r>
    </w:p>
    <w:p w14:paraId="49B9D81B" w14:textId="77777777" w:rsidR="006C6EBA" w:rsidRPr="006720E4" w:rsidRDefault="006C6EBA" w:rsidP="00EA22AE">
      <w:pPr>
        <w:pStyle w:val="BulletList"/>
        <w:spacing w:after="120"/>
        <w:contextualSpacing w:val="0"/>
        <w:rPr>
          <w:rFonts w:cs="Calibri"/>
          <w:szCs w:val="22"/>
        </w:rPr>
      </w:pPr>
      <w:r w:rsidRPr="006720E4">
        <w:rPr>
          <w:rFonts w:cs="Calibri"/>
          <w:szCs w:val="22"/>
        </w:rPr>
        <w:t xml:space="preserve">Referral by a specialist physician of an individual, generally with end-stage organ disease, to a transplant unit. </w:t>
      </w:r>
    </w:p>
    <w:p w14:paraId="4F9926EB" w14:textId="30D0FAEE" w:rsidR="000B4C0B" w:rsidRPr="00ED15FF" w:rsidRDefault="006C6EBA" w:rsidP="00EA22AE">
      <w:pPr>
        <w:pStyle w:val="BulletList"/>
        <w:spacing w:after="120"/>
        <w:contextualSpacing w:val="0"/>
        <w:rPr>
          <w:rFonts w:cs="Calibri"/>
          <w:szCs w:val="22"/>
        </w:rPr>
      </w:pPr>
      <w:r w:rsidRPr="006720E4">
        <w:rPr>
          <w:rFonts w:cs="Calibri"/>
          <w:color w:val="000000" w:themeColor="text1"/>
          <w:szCs w:val="22"/>
        </w:rPr>
        <w:t>Assessment against eligibility criteria by a multidisciplinary team at the transplant unit — this takes into consideration medical history and other relevant factors (such as the ability to adhere to medical therapy) that affect transplantation outcomes.</w:t>
      </w:r>
      <w:bookmarkStart w:id="2663" w:name="_Re-evaluating_suitability_for"/>
      <w:bookmarkStart w:id="2664" w:name="_Toc82773605"/>
      <w:bookmarkStart w:id="2665" w:name="_Toc82773958"/>
      <w:bookmarkEnd w:id="2663"/>
    </w:p>
    <w:p w14:paraId="31B4FA76" w14:textId="188132B7" w:rsidR="006C6EBA" w:rsidRPr="006720E4" w:rsidRDefault="006C6EBA" w:rsidP="00EA22AE">
      <w:pPr>
        <w:pStyle w:val="Heading4"/>
        <w:spacing w:after="120"/>
      </w:pPr>
      <w:r w:rsidRPr="006720E4">
        <w:t>Re-evaluating suitability for organ transplantation and eligibility for deceased donor organ transplantation</w:t>
      </w:r>
      <w:bookmarkEnd w:id="2664"/>
      <w:bookmarkEnd w:id="2665"/>
      <w:r w:rsidRPr="006720E4">
        <w:t xml:space="preserve"> </w:t>
      </w:r>
    </w:p>
    <w:p w14:paraId="06F949ED" w14:textId="77777777" w:rsidR="006C6EBA" w:rsidRPr="006720E4" w:rsidRDefault="006C6EBA" w:rsidP="00EA22AE">
      <w:pPr>
        <w:autoSpaceDE w:val="0"/>
        <w:autoSpaceDN w:val="0"/>
        <w:adjustRightInd w:val="0"/>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Waiting times for transplantation vary according to organ type. Depending on the availability of an organ suitable to the individual and the urgency of the potential recipient’s need for transplantation, it may be several years before a candidate on the transplant waiting list is offered an organ. </w:t>
      </w:r>
    </w:p>
    <w:p w14:paraId="2495C06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person who is deemed eligible for a deceased donor transplant at time X may no longer be eligible at time Y when a transplant becomes available. Alternatively, a person who is deemed unsuitable for organ transplantation when initially evaluated, for example because a transplant is not yet clinically necessary, may become suitable at a later time point.</w:t>
      </w:r>
    </w:p>
    <w:p w14:paraId="2002BE7B" w14:textId="77777777" w:rsidR="006C6EBA" w:rsidRPr="006720E4" w:rsidRDefault="006C6EBA" w:rsidP="00EA22AE">
      <w:pPr>
        <w:autoSpaceDE w:val="0"/>
        <w:autoSpaceDN w:val="0"/>
        <w:adjustRightInd w:val="0"/>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The transplant team and other relevant </w:t>
      </w:r>
      <w:r w:rsidRPr="006720E4">
        <w:rPr>
          <w:rFonts w:ascii="Calibri" w:hAnsi="Calibri" w:cs="Calibri"/>
          <w:sz w:val="22"/>
          <w:szCs w:val="22"/>
        </w:rPr>
        <w:t xml:space="preserve">health professionals </w:t>
      </w:r>
      <w:r w:rsidRPr="006720E4">
        <w:rPr>
          <w:rFonts w:ascii="Calibri" w:hAnsi="Calibri" w:cs="Calibri"/>
          <w:color w:val="000000" w:themeColor="text1"/>
          <w:sz w:val="22"/>
          <w:szCs w:val="22"/>
        </w:rPr>
        <w:t xml:space="preserve">should regularly review potential transplant recipients and arrange re-evaluation of their suitability for transplantation or eligibility for a deceased donor transplant. If a wait-listed individual on the waiting list becomes temporarily unsuitable or ineligible for transplantation, they should be suspended from the list – “delisted” – and restored if their condition improves and they again meet the relevant criteria without losing their place in the list. </w:t>
      </w:r>
    </w:p>
    <w:p w14:paraId="24523BB8" w14:textId="77777777" w:rsidR="006C6EBA" w:rsidRPr="006720E4" w:rsidRDefault="006C6EBA" w:rsidP="00EA22AE">
      <w:pPr>
        <w:pStyle w:val="Heading3"/>
        <w:spacing w:after="120"/>
      </w:pPr>
      <w:bookmarkStart w:id="2666" w:name="_Assessing_risks_and"/>
      <w:bookmarkStart w:id="2667" w:name="_Recipient_evaluation_of"/>
      <w:bookmarkStart w:id="2668" w:name="_Toc72615134"/>
      <w:bookmarkStart w:id="2669" w:name="_Toc73129856"/>
      <w:bookmarkStart w:id="2670" w:name="_Toc73301725"/>
      <w:bookmarkStart w:id="2671" w:name="_Toc73302231"/>
      <w:bookmarkStart w:id="2672" w:name="_Toc73303364"/>
      <w:bookmarkStart w:id="2673" w:name="_Toc73303600"/>
      <w:bookmarkStart w:id="2674" w:name="_Toc74080717"/>
      <w:bookmarkStart w:id="2675" w:name="_Toc74081025"/>
      <w:bookmarkStart w:id="2676" w:name="_Toc74081255"/>
      <w:bookmarkStart w:id="2677" w:name="_Toc74081509"/>
      <w:bookmarkStart w:id="2678" w:name="_Toc74171086"/>
      <w:bookmarkStart w:id="2679" w:name="_Toc74172286"/>
      <w:bookmarkStart w:id="2680" w:name="_Toc74172822"/>
      <w:bookmarkStart w:id="2681" w:name="_Toc74238760"/>
      <w:bookmarkStart w:id="2682" w:name="_Toc79406395"/>
      <w:bookmarkStart w:id="2683" w:name="_Toc82773606"/>
      <w:bookmarkStart w:id="2684" w:name="_Toc82773959"/>
      <w:bookmarkStart w:id="2685" w:name="_Toc70414879"/>
      <w:bookmarkStart w:id="2686" w:name="_Toc70844201"/>
      <w:bookmarkEnd w:id="2666"/>
      <w:bookmarkEnd w:id="2667"/>
      <w:r w:rsidRPr="006720E4">
        <w:t>Recipient evaluation of risks and potential benefits of specific organ transplant opportunities</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r w:rsidRPr="006720E4">
        <w:t xml:space="preserve"> </w:t>
      </w:r>
      <w:bookmarkEnd w:id="2685"/>
      <w:bookmarkEnd w:id="2686"/>
    </w:p>
    <w:p w14:paraId="01C9BCD1" w14:textId="7AE5615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Having determined that an individual is eligible for transplantation, prospective transplant recipients next need to evaluate the risks and potential benefits of transplant options that are available to them. Specifically, they may need to decide whether to pursue a living donor transplant – if this is an option – or to await a deceased donor transplant.  </w:t>
      </w:r>
    </w:p>
    <w:p w14:paraId="335D4F88" w14:textId="77777777" w:rsidR="006C6EBA" w:rsidRPr="006720E4" w:rsidRDefault="006C6EBA" w:rsidP="00EA22AE">
      <w:pPr>
        <w:pStyle w:val="Heading4"/>
        <w:spacing w:after="120"/>
      </w:pPr>
      <w:bookmarkStart w:id="2687" w:name="_Evaluation_of_risks"/>
      <w:bookmarkStart w:id="2688" w:name="_Toc70414880"/>
      <w:bookmarkStart w:id="2689" w:name="_Toc70844202"/>
      <w:bookmarkStart w:id="2690" w:name="_Toc72615135"/>
      <w:bookmarkStart w:id="2691" w:name="_Toc73129857"/>
      <w:bookmarkStart w:id="2692" w:name="_Toc73301726"/>
      <w:bookmarkStart w:id="2693" w:name="_Toc73302232"/>
      <w:bookmarkStart w:id="2694" w:name="_Toc73303365"/>
      <w:bookmarkStart w:id="2695" w:name="_Toc74081510"/>
      <w:bookmarkStart w:id="2696" w:name="_Toc74172287"/>
      <w:bookmarkStart w:id="2697" w:name="_Toc74172823"/>
      <w:bookmarkStart w:id="2698" w:name="_Toc82773607"/>
      <w:bookmarkStart w:id="2699" w:name="_Toc82773960"/>
      <w:bookmarkEnd w:id="2687"/>
      <w:r w:rsidRPr="006720E4">
        <w:t>Evaluation of risks and potential benefits of deceased donor organ offers</w:t>
      </w:r>
      <w:bookmarkEnd w:id="2688"/>
      <w:bookmarkEnd w:id="2689"/>
      <w:bookmarkEnd w:id="2690"/>
      <w:bookmarkEnd w:id="2691"/>
      <w:bookmarkEnd w:id="2692"/>
      <w:bookmarkEnd w:id="2693"/>
      <w:bookmarkEnd w:id="2694"/>
      <w:bookmarkEnd w:id="2695"/>
      <w:bookmarkEnd w:id="2696"/>
      <w:bookmarkEnd w:id="2697"/>
      <w:bookmarkEnd w:id="2698"/>
      <w:bookmarkEnd w:id="2699"/>
    </w:p>
    <w:p w14:paraId="1DC0D15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awaiting a deceased donor transplant, the next decision may be whether to accept a specific offer of a donor organ when one becomes available to the candidate. Decision-making about offers may be especially challenging if:</w:t>
      </w:r>
    </w:p>
    <w:p w14:paraId="092B417C" w14:textId="77777777" w:rsidR="006C6EBA" w:rsidRPr="006720E4" w:rsidRDefault="006C6EBA" w:rsidP="00EA22AE">
      <w:pPr>
        <w:pStyle w:val="Bullet"/>
        <w:spacing w:after="120"/>
        <w:ind w:left="362"/>
        <w:contextualSpacing w:val="0"/>
        <w:rPr>
          <w:rFonts w:cs="Calibri"/>
          <w:szCs w:val="22"/>
        </w:rPr>
      </w:pPr>
      <w:r w:rsidRPr="006720E4">
        <w:rPr>
          <w:rFonts w:cs="Calibri"/>
          <w:szCs w:val="22"/>
        </w:rPr>
        <w:t>The offer involves an organ that is deemed to be of greater than normal risk or lower than normal quality, or that has been procured via an experimental study for which evidence is currently limited;</w:t>
      </w:r>
    </w:p>
    <w:p w14:paraId="5B7BEDD7" w14:textId="77777777" w:rsidR="006C6EBA" w:rsidRPr="006720E4" w:rsidRDefault="006C6EBA" w:rsidP="00EA22AE">
      <w:pPr>
        <w:pStyle w:val="Bullet"/>
        <w:spacing w:after="120"/>
        <w:ind w:left="362"/>
        <w:contextualSpacing w:val="0"/>
        <w:rPr>
          <w:rFonts w:cs="Calibri"/>
          <w:szCs w:val="22"/>
        </w:rPr>
      </w:pPr>
      <w:r w:rsidRPr="006720E4">
        <w:rPr>
          <w:rFonts w:cs="Calibri"/>
          <w:szCs w:val="22"/>
        </w:rPr>
        <w:t>The transplant candidate is clinically stable and hence able to consider declining the offer in the hope of receiving a better offer in the future;</w:t>
      </w:r>
    </w:p>
    <w:p w14:paraId="3C6028FF" w14:textId="77777777" w:rsidR="006C6EBA" w:rsidRDefault="006C6EBA" w:rsidP="00EA22AE">
      <w:pPr>
        <w:pStyle w:val="Bullet"/>
        <w:spacing w:after="120"/>
        <w:ind w:left="362"/>
        <w:contextualSpacing w:val="0"/>
        <w:rPr>
          <w:rFonts w:cs="Calibri"/>
          <w:szCs w:val="22"/>
        </w:rPr>
      </w:pPr>
      <w:r w:rsidRPr="006720E4">
        <w:rPr>
          <w:rFonts w:cs="Calibri"/>
          <w:szCs w:val="22"/>
        </w:rPr>
        <w:t>The transplant candidate has characteristics which reduce the probability of another suitably matched organ becoming available;</w:t>
      </w:r>
    </w:p>
    <w:p w14:paraId="3E0549EB" w14:textId="48F4549B" w:rsidR="007F50FE" w:rsidRPr="007F50FE" w:rsidRDefault="007F50FE" w:rsidP="00EA22AE">
      <w:pPr>
        <w:pStyle w:val="Bullet"/>
        <w:spacing w:after="120"/>
        <w:ind w:left="362"/>
        <w:contextualSpacing w:val="0"/>
        <w:rPr>
          <w:rFonts w:cs="Calibri"/>
          <w:szCs w:val="22"/>
        </w:rPr>
      </w:pPr>
      <w:r>
        <w:rPr>
          <w:rFonts w:cs="Calibri"/>
          <w:szCs w:val="22"/>
        </w:rPr>
        <w:lastRenderedPageBreak/>
        <w:t>The</w:t>
      </w:r>
      <w:r w:rsidRPr="007F50FE">
        <w:rPr>
          <w:rFonts w:cs="Calibri"/>
          <w:u w:color="0000FF"/>
          <w:lang w:val="en-GB"/>
        </w:rPr>
        <w:t xml:space="preserve"> </w:t>
      </w:r>
      <w:r w:rsidRPr="006720E4">
        <w:rPr>
          <w:rFonts w:cs="Calibri"/>
          <w:u w:color="0000FF"/>
          <w:lang w:val="en-GB"/>
        </w:rPr>
        <w:t>offer involves an organ that has been retrieved as part of an experimental study for which evidence is currently limited</w:t>
      </w:r>
      <w:r>
        <w:rPr>
          <w:rFonts w:cs="Calibri"/>
          <w:u w:color="0000FF"/>
          <w:lang w:val="en-GB"/>
        </w:rPr>
        <w:t>;</w:t>
      </w:r>
    </w:p>
    <w:p w14:paraId="12F4476A" w14:textId="77777777" w:rsidR="007F50FE" w:rsidRPr="006720E4" w:rsidRDefault="007F50FE" w:rsidP="00EA22AE">
      <w:pPr>
        <w:pStyle w:val="Bullet"/>
        <w:spacing w:after="120"/>
        <w:ind w:left="362"/>
        <w:contextualSpacing w:val="0"/>
        <w:rPr>
          <w:rFonts w:cs="Calibri"/>
          <w:szCs w:val="22"/>
        </w:rPr>
      </w:pPr>
      <w:r w:rsidRPr="006720E4">
        <w:rPr>
          <w:rFonts w:cs="Calibri"/>
          <w:szCs w:val="22"/>
        </w:rPr>
        <w:t>If there are circumstances, such as a public health crisis in the form of a viral pandemic, which may increase the risks of receiving a transplant at the time of the offer or potentially result in fewer opportunities for transplantation in the future.</w:t>
      </w:r>
    </w:p>
    <w:p w14:paraId="75F5FDAC" w14:textId="799CFBD1" w:rsidR="00FB0784"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Transplant candidates (or their substitute decision-makers) evaluating the risks and potential benefits of a particular offer therefore need to evaluate several possible future outcomes, some of which may be contingent upon the choice they make regarding the offer, but many of which may be difficult to accurately predict. </w:t>
      </w:r>
      <w:r w:rsidR="00FB0784">
        <w:rPr>
          <w:rFonts w:ascii="Calibri" w:hAnsi="Calibri" w:cs="Calibri"/>
          <w:sz w:val="22"/>
          <w:szCs w:val="22"/>
        </w:rPr>
        <w:t xml:space="preserve">The TSANZ Guidelines note, for example, </w:t>
      </w:r>
      <w:r w:rsidR="00FB0784" w:rsidRPr="00FB0784">
        <w:rPr>
          <w:rFonts w:ascii="Calibri" w:hAnsi="Calibri" w:cs="Calibri"/>
          <w:sz w:val="22"/>
          <w:szCs w:val="22"/>
        </w:rPr>
        <w:t>that “</w:t>
      </w:r>
      <w:r w:rsidR="00FB0784" w:rsidRPr="00FB0784">
        <w:rPr>
          <w:rFonts w:ascii="Calibri" w:eastAsiaTheme="minorHAnsi" w:hAnsi="Calibri" w:cs="Calibri"/>
          <w:color w:val="1A1718"/>
          <w:sz w:val="22"/>
          <w:szCs w:val="22"/>
          <w:lang w:val="en-GB" w:eastAsia="en-US"/>
          <w14:ligatures w14:val="standardContextual"/>
        </w:rPr>
        <w:t>The level of risk of disease transmission [from a deceased donor] must be balanced against the risks to an individual patient of not proceeding with transplantation.”</w:t>
      </w:r>
      <w:r w:rsidR="002B5DD4">
        <w:rPr>
          <w:rFonts w:ascii="Calibri" w:eastAsiaTheme="minorHAnsi" w:hAnsi="Calibri" w:cs="Calibri"/>
          <w:color w:val="1A1718"/>
          <w:sz w:val="22"/>
          <w:szCs w:val="22"/>
          <w:lang w:val="en-GB" w:eastAsia="en-US"/>
          <w14:ligatures w14:val="standardContextual"/>
        </w:rPr>
        <w:fldChar w:fldCharType="begin" w:fldLock="1"/>
      </w:r>
      <w:r w:rsidR="00300B74">
        <w:rPr>
          <w:rFonts w:ascii="Calibri" w:eastAsiaTheme="minorHAnsi" w:hAnsi="Calibri" w:cs="Calibri"/>
          <w:color w:val="1A1718"/>
          <w:sz w:val="22"/>
          <w:szCs w:val="22"/>
          <w:lang w:val="en-GB" w:eastAsia="en-US"/>
          <w14:ligatures w14:val="standardContextual"/>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002B5DD4">
        <w:rPr>
          <w:rFonts w:ascii="Calibri" w:eastAsiaTheme="minorHAnsi" w:hAnsi="Calibri" w:cs="Calibri"/>
          <w:color w:val="1A1718"/>
          <w:sz w:val="22"/>
          <w:szCs w:val="22"/>
          <w:lang w:val="en-GB" w:eastAsia="en-US"/>
          <w14:ligatures w14:val="standardContextual"/>
        </w:rPr>
        <w:fldChar w:fldCharType="separate"/>
      </w:r>
      <w:r w:rsidR="002B5DD4" w:rsidRPr="002B5DD4">
        <w:rPr>
          <w:rFonts w:ascii="Calibri" w:eastAsiaTheme="minorHAnsi" w:hAnsi="Calibri" w:cs="Calibri"/>
          <w:noProof/>
          <w:color w:val="1A1718"/>
          <w:sz w:val="22"/>
          <w:szCs w:val="22"/>
          <w:lang w:val="en-GB" w:eastAsia="en-US"/>
          <w14:ligatures w14:val="standardContextual"/>
        </w:rPr>
        <w:t>(12)</w:t>
      </w:r>
      <w:r w:rsidR="002B5DD4">
        <w:rPr>
          <w:rFonts w:ascii="Calibri" w:eastAsiaTheme="minorHAnsi" w:hAnsi="Calibri" w:cs="Calibri"/>
          <w:color w:val="1A1718"/>
          <w:sz w:val="22"/>
          <w:szCs w:val="22"/>
          <w:lang w:val="en-GB" w:eastAsia="en-US"/>
          <w14:ligatures w14:val="standardContextual"/>
        </w:rPr>
        <w:fldChar w:fldCharType="end"/>
      </w:r>
    </w:p>
    <w:p w14:paraId="7708DCAC" w14:textId="7556094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burdens of decision-making in such contexts may encourage risk-taking or conservative choices, depending on the characteristics of individuals involved and the clinical situation. The limited time available to make a decision about accepting an offer, so that declined offers may be presented to the next transplant candidate in line, also complicates decision-</w:t>
      </w:r>
      <w:r w:rsidRPr="007F50FE">
        <w:rPr>
          <w:rFonts w:ascii="Calibri" w:hAnsi="Calibri" w:cs="Calibri"/>
          <w:sz w:val="22"/>
          <w:szCs w:val="22"/>
        </w:rPr>
        <w:t xml:space="preserve">making. Some strategies to support decision-making about transplant offers are presented in </w:t>
      </w:r>
      <w:hyperlink w:anchor="_Supporting_decision-making_by" w:history="1">
        <w:r w:rsidRPr="007F50FE">
          <w:rPr>
            <w:rStyle w:val="Hyperlink"/>
            <w:rFonts w:ascii="Calibri" w:hAnsi="Calibri" w:cs="Calibri"/>
            <w:sz w:val="22"/>
            <w:szCs w:val="22"/>
          </w:rPr>
          <w:t xml:space="preserve">Chapter </w:t>
        </w:r>
        <w:r w:rsidR="007F50FE" w:rsidRPr="007F50FE">
          <w:rPr>
            <w:rStyle w:val="Hyperlink"/>
            <w:rFonts w:ascii="Calibri" w:hAnsi="Calibri" w:cs="Calibri"/>
            <w:sz w:val="22"/>
            <w:szCs w:val="22"/>
          </w:rPr>
          <w:t>6</w:t>
        </w:r>
        <w:r w:rsidRPr="007F50FE">
          <w:rPr>
            <w:rStyle w:val="Hyperlink"/>
            <w:rFonts w:ascii="Calibri" w:hAnsi="Calibri" w:cs="Calibri"/>
            <w:sz w:val="22"/>
            <w:szCs w:val="22"/>
          </w:rPr>
          <w:t>.6</w:t>
        </w:r>
      </w:hyperlink>
      <w:r w:rsidRPr="007F50FE">
        <w:rPr>
          <w:rFonts w:ascii="Calibri" w:hAnsi="Calibri" w:cs="Calibri"/>
          <w:sz w:val="22"/>
          <w:szCs w:val="22"/>
        </w:rPr>
        <w:t>.</w:t>
      </w:r>
    </w:p>
    <w:p w14:paraId="2A06A37A" w14:textId="77777777" w:rsidR="006C6EBA" w:rsidRPr="006720E4" w:rsidRDefault="006C6EBA" w:rsidP="00EA22AE">
      <w:pPr>
        <w:pStyle w:val="Heading4"/>
        <w:spacing w:after="120"/>
      </w:pPr>
      <w:bookmarkStart w:id="2700" w:name="_Acceptance_of_transplant"/>
      <w:bookmarkStart w:id="2701" w:name="_Acceptance_of_organ"/>
      <w:bookmarkStart w:id="2702" w:name="_Toc70414881"/>
      <w:bookmarkStart w:id="2703" w:name="_Toc70844203"/>
      <w:bookmarkStart w:id="2704" w:name="_Toc72615136"/>
      <w:bookmarkStart w:id="2705" w:name="_Toc73129858"/>
      <w:bookmarkStart w:id="2706" w:name="_Toc73301727"/>
      <w:bookmarkStart w:id="2707" w:name="_Toc73302233"/>
      <w:bookmarkStart w:id="2708" w:name="_Toc73303366"/>
      <w:bookmarkStart w:id="2709" w:name="_Toc74081511"/>
      <w:bookmarkStart w:id="2710" w:name="_Toc74172288"/>
      <w:bookmarkStart w:id="2711" w:name="_Toc74172824"/>
      <w:bookmarkStart w:id="2712" w:name="_Toc82773608"/>
      <w:bookmarkStart w:id="2713" w:name="_Toc82773961"/>
      <w:bookmarkEnd w:id="2700"/>
      <w:bookmarkEnd w:id="2701"/>
      <w:r w:rsidRPr="006720E4">
        <w:t>Acceptance of organ transplant offers involving ECD and nonstandard risk organs</w:t>
      </w:r>
      <w:bookmarkEnd w:id="2702"/>
      <w:bookmarkEnd w:id="2703"/>
      <w:bookmarkEnd w:id="2704"/>
      <w:bookmarkEnd w:id="2705"/>
      <w:bookmarkEnd w:id="2706"/>
      <w:bookmarkEnd w:id="2707"/>
      <w:bookmarkEnd w:id="2708"/>
      <w:bookmarkEnd w:id="2709"/>
      <w:bookmarkEnd w:id="2710"/>
      <w:bookmarkEnd w:id="2711"/>
      <w:bookmarkEnd w:id="2712"/>
      <w:bookmarkEnd w:id="2713"/>
    </w:p>
    <w:p w14:paraId="5BBA55DC" w14:textId="4E97AC4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Efforts to increase the availability of organs for transplantation have expanded the pool of potential living and deceased donors and resulted in more opportunities for organ transplantation. New technologies and interventions, for example, have enabled the utilisation of some organs recovered from individuals who might previously have been deemed clinically ineligible to donate, or from whom some organs may previously have been discarded as unsuitable for transplantation. Such organs are deemed </w:t>
      </w:r>
      <w:r w:rsidRPr="006720E4">
        <w:rPr>
          <w:rFonts w:ascii="Calibri" w:hAnsi="Calibri" w:cs="Calibri"/>
          <w:b/>
          <w:bCs/>
          <w:sz w:val="22"/>
          <w:szCs w:val="22"/>
        </w:rPr>
        <w:t>extended</w:t>
      </w:r>
      <w:r w:rsidR="002F7283">
        <w:rPr>
          <w:rFonts w:ascii="Calibri" w:hAnsi="Calibri" w:cs="Calibri"/>
          <w:b/>
          <w:bCs/>
          <w:sz w:val="22"/>
          <w:szCs w:val="22"/>
        </w:rPr>
        <w:t xml:space="preserve"> </w:t>
      </w:r>
      <w:r w:rsidRPr="006720E4">
        <w:rPr>
          <w:rFonts w:ascii="Calibri" w:hAnsi="Calibri" w:cs="Calibri"/>
          <w:b/>
          <w:bCs/>
          <w:sz w:val="22"/>
          <w:szCs w:val="22"/>
        </w:rPr>
        <w:t>criteria donor (</w:t>
      </w:r>
      <w:hyperlink w:anchor="_Glossary_2" w:history="1">
        <w:r w:rsidRPr="00863834">
          <w:rPr>
            <w:rStyle w:val="Hyperlink"/>
            <w:rFonts w:ascii="Calibri" w:hAnsi="Calibri" w:cs="Calibri"/>
            <w:b/>
            <w:bCs/>
            <w:sz w:val="22"/>
            <w:szCs w:val="22"/>
          </w:rPr>
          <w:t>ECD) organs</w:t>
        </w:r>
        <w:r w:rsidRPr="00863834">
          <w:rPr>
            <w:rStyle w:val="Hyperlink"/>
            <w:rFonts w:ascii="Calibri" w:hAnsi="Calibri" w:cs="Calibri"/>
            <w:sz w:val="22"/>
            <w:szCs w:val="22"/>
          </w:rPr>
          <w:t>.</w:t>
        </w:r>
      </w:hyperlink>
      <w:r w:rsidRPr="006720E4">
        <w:rPr>
          <w:rFonts w:ascii="Calibri" w:hAnsi="Calibri" w:cs="Calibri"/>
          <w:sz w:val="22"/>
          <w:szCs w:val="22"/>
        </w:rPr>
        <w:t xml:space="preserve"> </w:t>
      </w:r>
    </w:p>
    <w:p w14:paraId="167CD142" w14:textId="4CD48C1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Research and follow up of patients post transplantation have also demonstrated that some perceived risk factors that previously excluded individuals from donating organs while alive or after death may be modifiable or may not be sufficiently significant to justify exclusion of donation in particular contexts. For example, although a transplant from an older deceased donor may offer limited benefits for some young transplant recipients compared with the benefits of receiving an organ from a younger donor, the same transplant in an older recipient may be more than adequate to enable them to live a normal life span. </w:t>
      </w:r>
    </w:p>
    <w:p w14:paraId="4D749FE0" w14:textId="4A368C90" w:rsidR="006C6EBA" w:rsidRPr="00B6722A" w:rsidRDefault="006C6EBA" w:rsidP="00EA22AE">
      <w:pPr>
        <w:spacing w:after="120"/>
        <w:rPr>
          <w:rFonts w:ascii="Calibri" w:hAnsi="Calibri" w:cs="Calibri"/>
          <w:sz w:val="22"/>
          <w:szCs w:val="22"/>
        </w:rPr>
      </w:pPr>
      <w:r w:rsidRPr="006720E4">
        <w:rPr>
          <w:rFonts w:ascii="Calibri" w:hAnsi="Calibri" w:cs="Calibri"/>
          <w:sz w:val="22"/>
          <w:szCs w:val="22"/>
        </w:rPr>
        <w:t>Similarly, organs that may be judged to present higher than normal – “</w:t>
      </w:r>
      <w:r w:rsidRPr="006720E4">
        <w:rPr>
          <w:rFonts w:ascii="Calibri" w:hAnsi="Calibri" w:cs="Calibri"/>
          <w:b/>
          <w:bCs/>
          <w:sz w:val="22"/>
          <w:szCs w:val="22"/>
        </w:rPr>
        <w:t>non-standard” – risks</w:t>
      </w:r>
      <w:r w:rsidRPr="006720E4">
        <w:rPr>
          <w:rFonts w:ascii="Calibri" w:hAnsi="Calibri" w:cs="Calibri"/>
          <w:sz w:val="22"/>
          <w:szCs w:val="22"/>
        </w:rPr>
        <w:t xml:space="preserve"> for recipients, such as those from donors in whom specific infections cannot be excluded or are confirmed, may nevertheless offer sufficient benefits to recipients compared with alternatives to warrant transplantation. In South Africa, for example, an HIV-negative child received a living donor liver transplant from her mother who was HIV-positive, as this was her only option for </w:t>
      </w:r>
      <w:r w:rsidRPr="00B6722A">
        <w:rPr>
          <w:rFonts w:ascii="Calibri" w:hAnsi="Calibri" w:cs="Calibri"/>
          <w:sz w:val="22"/>
          <w:szCs w:val="22"/>
        </w:rPr>
        <w:t>transplantation and the alternative was death.</w:t>
      </w:r>
      <w:r w:rsidRPr="00B6722A">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{"citationItems":[{"id":"ITEM-1","itemData":{"DOI":"10.1097/QAD.0000000000002000","ISBN":"0000000000","ISSN":"14735571","PMID":"30281558","abstract":"OBJECTIVE: Transplant a liver from an HIV-positive mother to her HIV-negative child to save the child's life. DESIGN: A unique case of living donor liver transplantation from an HIV-positive mother to her HIV-negative child in South Africa. Two aspects of this case are ground-breaking. First, it involves living donation by someone who is HIV-positive and second it involves controlled transplant of an organ from an HIV-positive donor into an HIV-negative recipient, with the potential to prevent infection in the recipient. METHODS: Standard surgical procedure for living donor liver transplantation at our centre was followed. HIV-prophylaxis was administered preoperatively. Extensive, ultrasensitive HIV testing, over and above standard diagnostic assays, was undertaken to investigate recipient serostatus and is ongoing. RESULTS: Both mother and child are well, over 1 year posttransplantation. HIV seroconversion in our recipient was detected with serological testing at day 43 posttransplant. However, a decline in HIV antibody titres approaching undetectable levels is now being observed. No plasma, or cell-associated HIV-1 DNA has been detected in the recipient at any time-point since transplant. CONCLUSION: This case potentially opens up a new living liver donor pool which might have clinical relevance in countries where there is a high burden of HIV and a limited number of deceased donor organs or limited access to transplantation. However, our recipient's HIV status is equivocal at present and additional investigation regarding seroconversion events in this unique profile is ongoing.","author":[{"dropping-particle":"","family":"Botha","given":"Jean","non-dropping-particle":"","parse-names":false,"suffix":""},{"dropping-particle":"","family":"Conradie","given":"Francesca","non-dropping-particle":"","parse-names":false,"suffix":""},{"dropping-particle":"","family":"Etheredge","given":"Harriet","non-dropping-particle":"","parse-names":false,"suffix":""},{"dropping-particle":"","family":"Fabian","given":"June","non-dropping-particle":"","parse-names":false,"suffix":""},{"dropping-particle":"","family":"Duncan","given":"Mary","non-dropping-particle":"","parse-names":false,"suffix":""},{"dropping-particle":"","family":"Haeri Mazanderani","given":"Ahmad","non-dropping-particle":"","parse-names":false,"suffix":""},{"dropping-particle":"","family":"Paximadis","given":"Maria","non-dropping-particle":"","parse-names":false,"suffix":""},{"dropping-particle":"","family":"Maher","given":"Heather","non-dropping-particle":"","parse-names":false,"suffix":""},{"dropping-particle":"","family":"Britz","given":"Russell","non-dropping-particle":"","parse-names":false,"suffix":""},{"dropping-particle":"","family":"Loveland","given":"Jerome","non-dropping-particle":"","parse-names":false,"suffix":""},{"dropping-particle":"","family":"Ströbele","given":"Bernd","non-dropping-particle":"","parse-names":false,"suffix":""},{"dropping-particle":"","family":"Rambarran","given":"Sharan","non-dropping-particle":"","parse-names":false,"suffix":""},{"dropping-particle":"","family":"Mahomed","given":"Adam","non-dropping-particle":"","parse-names":false,"suffix":""},{"dropping-particle":"","family":"Terblanche","given":"Alta","non-dropping-particle":"","parse-names":false,"suffix":""},{"dropping-particle":"","family":"Beretta","given":"Marisa","non-dropping-particle":"","parse-names":false,"suffix":""},{"dropping-particle":"","family":"Brannigan","given":"Liam","non-dropping-particle":"","parse-names":false,"suffix":""},{"dropping-particle":"","family":"Pienaar","given":"Michael","non-dropping-particle":"","parse-names":false,"suffix":""},{"dropping-particle":"","family":"Archibald-Durham","given":"Lindsay","non-dropping-particle":"","parse-names":false,"suffix":""},{"dropping-particle":"","family":"Lang","given":"Allison","non-dropping-particle":"","parse-names":false,"suffix":""},{"dropping-particle":"","family":"Tiemessen","given":"Caroline T.","non-dropping-particle":"","parse-names":false,"suffix":""}],"container-title":"AIDS (London, England)","id":"ITEM-1","issue":"16","issued":{"date-parts":[["2018"]]},"page":"F13-F19","title":"Living donor liver transplant from an HIV-positive mother to her HIV-negative child: opening up new therapeutic options","type":"article-journal","volume":"32"},"uris":["http://www.mendeley.com/documents/?uuid=d80c71e8-ef6b-47fb-9bd7-07e600534e41"]}],"mendeley":{"formattedCitation":"(95)","plainTextFormattedCitation":"(95)","previouslyFormattedCitation":"(95)"},"properties":{"noteIndex":0},"schema":"https://github.com/citation-style-language/schema/raw/master/csl-citation.json"}</w:instrText>
      </w:r>
      <w:r w:rsidRPr="00B6722A">
        <w:rPr>
          <w:rFonts w:ascii="Calibri" w:hAnsi="Calibri" w:cs="Calibri"/>
          <w:sz w:val="22"/>
          <w:szCs w:val="22"/>
        </w:rPr>
        <w:fldChar w:fldCharType="separate"/>
      </w:r>
      <w:r w:rsidR="00BA3D76" w:rsidRPr="00BA3D76">
        <w:rPr>
          <w:rFonts w:ascii="Calibri" w:hAnsi="Calibri" w:cs="Calibri"/>
          <w:noProof/>
          <w:sz w:val="22"/>
          <w:szCs w:val="22"/>
        </w:rPr>
        <w:t>(95)</w:t>
      </w:r>
      <w:r w:rsidRPr="00B6722A">
        <w:rPr>
          <w:rFonts w:ascii="Calibri" w:hAnsi="Calibri" w:cs="Calibri"/>
          <w:sz w:val="22"/>
          <w:szCs w:val="22"/>
        </w:rPr>
        <w:fldChar w:fldCharType="end"/>
      </w:r>
    </w:p>
    <w:p w14:paraId="0E26387C" w14:textId="183B955F" w:rsidR="006C6EBA" w:rsidRPr="00B6722A" w:rsidRDefault="006C6EBA" w:rsidP="00EA22AE">
      <w:pPr>
        <w:spacing w:after="120"/>
        <w:rPr>
          <w:rFonts w:ascii="Calibri" w:hAnsi="Calibri" w:cs="Calibri"/>
          <w:sz w:val="22"/>
          <w:szCs w:val="22"/>
        </w:rPr>
      </w:pPr>
      <w:r w:rsidRPr="00B6722A">
        <w:rPr>
          <w:rFonts w:ascii="Calibri" w:hAnsi="Calibri" w:cs="Calibri"/>
          <w:sz w:val="22"/>
          <w:szCs w:val="22"/>
        </w:rPr>
        <w:t xml:space="preserve">The widening of opportunities for deceased and living organ donation, e.g., with greater acceptance of “discretionary” living donors” (see </w:t>
      </w:r>
      <w:hyperlink w:anchor="_Defining_acceptable_risk" w:history="1">
        <w:r w:rsidRPr="00B6722A">
          <w:rPr>
            <w:rStyle w:val="Hyperlink"/>
            <w:rFonts w:ascii="Calibri" w:hAnsi="Calibri" w:cs="Calibri"/>
            <w:sz w:val="22"/>
            <w:szCs w:val="22"/>
          </w:rPr>
          <w:t xml:space="preserve">Chapter </w:t>
        </w:r>
        <w:r w:rsidR="007F50FE" w:rsidRPr="00B6722A">
          <w:rPr>
            <w:rStyle w:val="Hyperlink"/>
            <w:rFonts w:ascii="Calibri" w:hAnsi="Calibri" w:cs="Calibri"/>
            <w:sz w:val="22"/>
            <w:szCs w:val="22"/>
          </w:rPr>
          <w:t>6</w:t>
        </w:r>
        <w:r w:rsidRPr="00B6722A">
          <w:rPr>
            <w:rStyle w:val="Hyperlink"/>
            <w:rFonts w:ascii="Calibri" w:hAnsi="Calibri" w:cs="Calibri"/>
            <w:sz w:val="22"/>
            <w:szCs w:val="22"/>
          </w:rPr>
          <w:t>.3.1</w:t>
        </w:r>
      </w:hyperlink>
      <w:r w:rsidRPr="00B6722A">
        <w:rPr>
          <w:rFonts w:ascii="Calibri" w:hAnsi="Calibri" w:cs="Calibri"/>
          <w:sz w:val="22"/>
          <w:szCs w:val="22"/>
        </w:rPr>
        <w:t xml:space="preserve">) means that there is a wide range of quality in donated organs, and health professionals and transplant candidates must carefully consider the potential risks and benefits of accepting the offer of an organ for transplantation in the light of information that may be specific to a particular organ or organ donor. </w:t>
      </w:r>
    </w:p>
    <w:p w14:paraId="6B5193EF" w14:textId="3BC33816" w:rsidR="006C6EBA" w:rsidRPr="006720E4" w:rsidRDefault="006C6EBA" w:rsidP="00EA22AE">
      <w:pPr>
        <w:spacing w:after="120"/>
        <w:rPr>
          <w:rFonts w:ascii="Calibri" w:hAnsi="Calibri" w:cs="Calibri"/>
          <w:sz w:val="22"/>
          <w:szCs w:val="22"/>
        </w:rPr>
      </w:pPr>
      <w:r w:rsidRPr="00B6722A">
        <w:rPr>
          <w:rFonts w:ascii="Calibri" w:hAnsi="Calibri" w:cs="Calibri"/>
          <w:sz w:val="22"/>
          <w:szCs w:val="22"/>
        </w:rPr>
        <w:t>Internationally, evidence suggests there may be significant variation in acceptance of transplant offers and</w:t>
      </w:r>
      <w:r w:rsidRPr="006720E4">
        <w:rPr>
          <w:rFonts w:ascii="Calibri" w:hAnsi="Calibri" w:cs="Calibri"/>
          <w:sz w:val="22"/>
          <w:szCs w:val="22"/>
        </w:rPr>
        <w:t xml:space="preserve"> rates of decline of ECD organs between transplant centres and individual health professionals.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{"citationItems":[{"id":"ITEM-1","itemData":{"DOI":"10.1002/lt.25048","ISSN":"15276473","PMID":"29506323","abstract":"Recent data have suggested that pediatric patients wait-listed for a liver transplantation frequently have liver offers declined. However, factors associated with liver offer decisions and center-level variability in practice patterns have not been explored. We evaluated United Network for Organ Sharing data on all match runs from May 1, 2007 to December 31, 2015 in which the liver was offered to ≥1 pediatric patient; the transplant recipient was ranked in the first 40 positions for the organ offer; and the donor was brain-dead and &lt;50 years of age. We used multilevel mixed effects models to evaluate factors associated with organ offer acceptance, among-center variability, and the association between center-level acceptance and wait-list mortality. There were 4088 unique pediatric patients during the study period, comprising 27,094 match runs. Initial Model for End-Stage Liver Disease or Pediatric End-Stage Liver Disease score, history of exception points, recipient region, rank on match run, and geographic share type were all associated with probability of offer acceptance. There was significant among-center variation (P &lt; 0.001) in adjusted liver offer acceptance rates, accounting for donor, recipient, and match-related factors (adjusted acceptance rates: median, 8.9%; range, 5.1%-14.6%). Center-level acceptance rates were associated with wait-list mortality, with a &gt;10% increase in the risk of wait-list mortality for every 1% decrease in a center's adjusted liver offer acceptance rate (odds ratio, 1.10; 95% confidence interval, 1.01-1.19). In conclusion, there is significant among-center variability in liver offer acceptance rates for pediatric patients that is not explained by donor and recipient factors. A center's liver acceptance behavior significantly impacts whether a pediatric patient will be transplanted or die on the waiting list. Liver Transplantation 24 803–809 2018 AASLD.","author":[{"dropping-particle":"","family":"Mitchell","given":"Ellen","non-dropping-particle":"","parse-names":false,"suffix":""},{"dropping-particle":"","family":"Loomes","given":"Kathleen M.","non-dropping-particle":"","parse-names":false,"suffix":""},{"dropping-particle":"","family":"Squires","given":"Robert H.","non-dropping-particle":"","parse-names":false,"suffix":""},{"dropping-particle":"","family":"Goldberg","given":"David","non-dropping-particle":"","parse-names":false,"suffix":""}],"container-title":"Liver Transplantation","id":"ITEM-1","issue":"6","issued":{"date-parts":[["2018"]]},"page":"803-809","title":"Variability in acceptance of organ offers by pediatric transplant centers and its impact on wait-list mortality","type":"article-journal","volume":"24"},"uris":["http://www.mendeley.com/documents/?uuid=d95cab18-a351-4b4c-9d28-91f9321e5a4b"]},{"id":"ITEM-2","itemData":{"DOI":"10.1016/j.healun.2019.12.010","ISSN":"15573117","PMID":"32029400","abstract":"BACKGROUND: Lung transplantation offers a survival benefit for patients with end-stage lung disease. When suitable donors are identified, centers must accept or decline the offer for a matched candidate on their waitlist. The degree to which variability in per-center offer acceptance practices impacts candidate survival is not established. The purpose of this study was to determine the degree of variability in per-center rates of lung transplantation offer acceptance and to ascertain the associated contribution to observed differences in per-center waitlist mortality. METHODS: We performed a retrospective cohort study of candidates waitlisted for lung transplantation in the US using registry data. Logistic regression was fit to assess the relationship of offer acceptance with donor, candidate, and geographic factors. Listing center was evaluated as a fixed effect to determine the adjusted per-center acceptance rate. Competing risks analysis employing the Fine-Gray model was undertaken to establish the relationship between adjusted per-center acceptance and waitlist mortality. RESULTS: Of 15,847 unique organ offers, 4,735 (29.9%) were accepted for first-ranked candidates. After adjustment for important covariates, transplant centers varied markedly in acceptance rate (9%–67%). Higher cumulative incidence of 1-year waitlist mortality was associated with lower acceptance rate. For every 10% increase in adjusted center acceptance rate, the risk of waitlist mortality decreased by 36.3% (sub-distribution hazard ratio 0.637; 95% confidence interval 0.592–0.685). CONCLUSIONS: Variability in center-level behavior represents a modifiable risk factor for waitlist mortality in lung transplantation. Further intervention is needed to standardize center-level offer acceptance practices and minimize waitlist mortality.","author":[{"dropping-particle":"","family":"Mulvihill","given":"Michael S.","non-dropping-particle":"","parse-names":false,"suffix":""},{"dropping-particle":"","family":"Lee","given":"Hui J.","non-dropping-particle":"","parse-names":false,"suffix":""},{"dropping-particle":"","family":"Weber","given":"Jeremy","non-dropping-particle":"","parse-names":false,"suffix":""},{"dropping-particle":"","family":"Choi","given":"Ashley Y.","non-dropping-particle":"","parse-names":false,"suffix":""},{"dropping-particle":"","family":"Cox","given":"Morgan L.","non-dropping-particle":"","parse-names":false,"suffix":""},{"dropping-particle":"","family":"Yerokun","given":"Babatunde A.","non-dropping-particle":"","parse-names":false,"suffix":""},{"dropping-particle":"","family":"Bishawi","given":"Muath A.","non-dropping-particle":"","parse-names":false,"suffix":""},{"dropping-particle":"","family":"Klapper","given":"Jacob","non-dropping-particle":"","parse-names":false,"suffix":""},{"dropping-particle":"","family":"Kuchibhatla","given":"Maragatha","non-dropping-particle":"","parse-names":false,"suffix":""},{"dropping-particle":"","family":"Hartwig","given":"Matthew G.","non-dropping-particle":"","parse-names":false,"suffix":""}],"container-title":"Journal of Heart and Lung Transplantation","id":"ITEM-2","issue":"4","issued":{"date-parts":[["2020"]]},"page":"353-362","publisher":"Elsevier Inc.","title":"Variability in donor organ offer acceptance and lung transplantation survival","type":"article-journal","volume":"39"},"uris":["http://www.mendeley.com/documents/?uuid=4c247e38-d96c-4d38-ab05-d554ff9b6a0c"]},{"id":"ITEM-3","itemData":{"DOI":"10.1001/jamanetworkopen.2019.10312","ISSN":"25743805","PMID":"31469394","abstract":"Importance: In the United States, substantial disparities in access to kidney transplant exist for wait-listed candidates with end-stage renal disease. The implications of transplant centers' willingness to accept kidney offers for access to transplant and mortality outcomes are unknown. Objective: To determine the outcomes for wait-listed kidney transplant candidates after the transplant center's refusal of a deceased donor kidney offer. Design, Setting, and Participants: This cohort study obtained data from the United Network for Organ Sharing Potential Transplant Recipient data set on all deceased donor kidney offers in the United States made between January 1, 2008, and December 31, 2015. The final study cohort included adult patients who were wait-listed for kidney transplant and received at least 1 allograft offer during the study period (N = 280041). Data analysis was conducted from June 1, 2018, to March 30, 2019. Exposure: Candidate state of residence. Main Outcomes and Measures: Waiting list outcome event groups included received deceased donor allograft, received living donor allograft, died while on the waiting list, removed from the waiting list without a transplant, or still on the waiting list at the end of follow-up. Results: Among the 280041 kidney transplant candidates included in the study, the mean (SD) age at wait-listing was 51.1 (13.1) years, and male patients were predominant (171 517 [61.2%]). In this cohort, 81 750 candidates (29.2%) received a deceased donor kidney allograft, 30 870 (11.0%) received a living donor allograft, 25 967 (9.3%) died while on the waiting list, and 59 359 (21.2%) were removed from the waiting list. Overall, 10 candidates with at least 1 previous allograft offer died each day during the study period. Time to first offer was similar for candidates who received deceased donor kidney allograft compared with those who died while waiting (median [interquartile range {IQR}] time, 79 [16-426] days vs 78 [17-401] days, respectively). Deceased donor allograft recipients had a median of 17 offers (IQR, 6-44) over 422 days (IQR, 106-909 days), whereas candidates who died while waiting received a median of 16 offers (IQR, 6-41) over 651 days (IQR, 304-1117 days). Most kidneys (84%) were declined on behalf of at least 1 candidate before being accepted for transplant. As reported by centers, organ or donor quality concerns accounted for 8 416 474 (92.6%) of all declined offers, whereas offers were infrequently refus…","author":[{"dropping-particle":"","family":"Husain","given":"S. Ali","non-dropping-particle":"","parse-names":false,"suffix":""},{"dropping-particle":"","family":"King","given":"Kristen L.","non-dropping-particle":"","parse-names":false,"suffix":""},{"dropping-particle":"","family":"Pastan","given":"Stephen","non-dropping-particle":"","parse-names":false,"suffix":""},{"dropping-particle":"","family":"Pazter","given":"Rachel E.","non-dropping-particle":"","parse-names":false,"suffix":""},{"dropping-particle":"","family":"Cohen","given":"David J.","non-dropping-particle":"","parse-names":false,"suffix":""},{"dropping-particle":"","family":"Radhakrishnan","given":"Jai","non-dropping-particle":"","parse-names":false,"suffix":""},{"dropping-particle":"","family":"Mohan","given":"Sumit","non-dropping-particle":"","parse-names":false,"suffix":""}],"container-title":"JAMA Network Open","id":"ITEM-3","issue":"8","issued":{"date-parts":[["2019"]]},"page":"2-13","title":"Association between Declined Offers of Deceased Donor Kidney Allograft and Outcomes in Kidney Transplant Candidates","type":"article-journal","volume":"2"},"uris":["http://www.mendeley.com/documents/?uuid=503fa66a-81fb-4453-b3d4-3b4c5d2cf856"]},{"id":"ITEM-4","itemData":{"DOI":"10.1001/jamacardio.2020.0659","ISSN":"23806591","PMID":"32293647","abstract":"Importance: Under the current Centers for Medicare &amp; Medicaid Services guidelines, there is incentivization to optimize posttransplant outcomes regardless of mortality among patients on the waitlist and transplant rates; few data exist with regard to transplant center acceptance practices and survival to heart transplant. Objectives: To evaluate the extent of variability in organ acceptance practices in the US and whether this center-level behavior is associated with heart transplant candidate survival. Design, Setting, and Participants: In this retrospective cohort study, the US National Transplant Registry was queried for all match runs of adult candidates listed for isolated heart transplant between May 1, 2007, and March 31, 2017. Data analysis was conducted from October 30, 2018, to May 1, 2019. The final cohort included 93 transplant centers, 19703 donors, and 9628 candidates. Main Outcomes and Measures: Center acceptance rates for heart allografts offered to the highest-priority candidates, association between center acceptance rate and mortality among patients on the waitlist, and posttransplant outcomes between candidates who accepted their first-rank offers vs those who accepted previously declined offers. Results: Among 19703 unique organ offers, 6302 hearts (32.0%) were accepted for first-rank candidates. After adjustment for donor, candidate, and geographic covariates, transplant centers varied in acceptance rates (12.3%-61.5%) of offers made to first-rank candidates. Higher acceptance rates were associated with lower cumulative incidence of 1-year mortality among patients on the waitlist. For every 10% increase in adjusted center acceptance rate, the risk of mortality decreased by 27% (subdistribution hazard ratio, 0.73; 95% CI, 0.67-0.80). No statistically significant difference was observed in 5-year adjusted posttransplant patient survival (adjusted hazard ratio, 1.02; 95% CI, 0.94-1.11) and graft failure (subdistribution hazard ratio; 0.95; 95% CI, 0.83-1.09) between hearts accepted at the first-rank compared with lower-rank positions. Conclusions and Relevance: Variability in heart allograft acceptance rates appears to exist among transplant centers, with candidates listed at lower acceptance rate centers being more likely to experience mortality while on the waitlist. Comparable posttransplant survival suggests that allografts that were declined as a first offer perform as well as those that were accepted at their first offer. These …","author":[{"dropping-particle":"","family":"Choi","given":"Ashley Y.","non-dropping-particle":"","parse-names":false,"suffix":""},{"dropping-particle":"","family":"Mulvihill","given":"Michael S.","non-dropping-particle":"","parse-names":false,"suffix":""},{"dropping-particle":"","family":"Lee","given":"Hui Jie","non-dropping-particle":"","parse-names":false,"suffix":""},{"dropping-particle":"","family":"Zhao","given":"Congwen","non-dropping-particle":"","parse-names":false,"suffix":""},{"dropping-particle":"","family":"Kuchibhatla","given":"Maragatha","non-dropping-particle":"","parse-names":false,"suffix":""},{"dropping-particle":"","family":"Schroder","given":"Jacob N.","non-dropping-particle":"","parse-names":false,"suffix":""},{"dropping-particle":"","family":"Patel","given":"Chetan B.","non-dropping-particle":"","parse-names":false,"suffix":""},{"dropping-particle":"","family":"Granger","given":"Christopher B.","non-dropping-particle":"","parse-names":false,"suffix":""},{"dropping-particle":"","family":"Hartwig","given":"Matthew G.","non-dropping-particle":"","parse-names":false,"suffix":""}],"container-title":"JAMA Cardiology","id":"ITEM-4","issue":"6","issued":{"date-parts":[["2020"]]},"page":"660-668","title":"Transplant Center Variability in Organ Offer Acceptance and Mortality among US Patients on the Heart Transplant Waitlist","type":"article-journal","volume":"5"},"uris":["http://www.mendeley.com/documents/?uuid=e09f535a-c862-4aec-b472-5d0ef334e9d7"]}],"mendeley":{"formattedCitation":"(96–99)","plainTextFormattedCitation":"(96–99)","previouslyFormattedCitation":"(96–99)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(96–99)</w:t>
      </w:r>
      <w:r w:rsidRPr="006720E4">
        <w:rPr>
          <w:rFonts w:ascii="Calibri" w:hAnsi="Calibri" w:cs="Calibri"/>
          <w:sz w:val="22"/>
          <w:szCs w:val="22"/>
        </w:rPr>
        <w:fldChar w:fldCharType="end"/>
      </w:r>
      <w:r w:rsidRPr="006720E4">
        <w:rPr>
          <w:rFonts w:ascii="Calibri" w:hAnsi="Calibri" w:cs="Calibri"/>
          <w:sz w:val="22"/>
          <w:szCs w:val="22"/>
        </w:rPr>
        <w:t xml:space="preserve"> While some differences may be attributed in part to the characteristics of local donor or transplant candidate populations, some may be the result of limited experience or expertise of transplant centres or health professionals, professional bias or conflicts of interests which may influence decisions about which offers will be presented to transplant candidates, and </w:t>
      </w:r>
      <w:r w:rsidRPr="006720E4">
        <w:rPr>
          <w:rFonts w:ascii="Calibri" w:hAnsi="Calibri" w:cs="Calibri"/>
          <w:sz w:val="22"/>
          <w:szCs w:val="22"/>
        </w:rPr>
        <w:lastRenderedPageBreak/>
        <w:t>how offers are communicated, thus influencing acceptance decisions.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{"citationItems":[{"id":"ITEM-1","itemData":{"DOI":"10.1111/ajt.14506","ISSN":"16006143","PMID":"28925596","abstract":"We developed a kidney offer acceptance decision tool to predict the probability of graft survival and patient survival for first-time kidney-alone candidates after an offer is accepted or declined, and we characterized the effect of restricting the donor pool with a maximum acceptable kidney donor profile index (KDPI). For accepted offers, Cox proportional hazards models estimated these probabilities using transplanted kidneys. For declined offers, these probabilities were estimated by considering the experience of similar candidates who declined offers and the probability that declining would lead to these outcomes. We randomly selected 5000 declined offers and estimated these probabilities 3 years post-offer had the offers been accepted or declined. Predicted outcomes for declined offers were well calibrated (&lt;3% error) with good predictive accuracy (area under the curve: graft survival, 0.69; patient survival, 0.69). Had the offers been accepted, the probabilities of graft survival and patient survival were typically higher. However, these advantages attenuated or disappeared with higher KDPI, candidate priority, and local donor supply. Donor pool restrictions were associated with worse 3-year outcomes, especially for candidates with high allocation priority. The kidney offer acceptance decision tool could inform offer acceptance by characterizing the potential risk–benefit trade-off associated with accepting or declining an offer.","author":[{"dropping-particle":"","family":"Wey","given":"Andrew","non-dropping-particle":"","parse-names":false,"suffix":""},{"dropping-particle":"","family":"Salkowski","given":"Nicholas","non-dropping-particle":"","parse-names":false,"suffix":""},{"dropping-particle":"","family":"Kremers","given":"Walter K.","non-dropping-particle":"","parse-names":false,"suffix":""},{"dropping-particle":"","family":"Schaffhausen","given":"Cory R.","non-dropping-particle":"","parse-names":false,"suffix":""},{"dropping-particle":"","family":"Kasiske","given":"Bertram L.","non-dropping-particle":"","parse-names":false,"suffix":""},{"dropping-particle":"","family":"Israni","given":"Ajay K.","non-dropping-particle":"","parse-names":false,"suffix":""},{"dropping-particle":"","family":"Snyder","given":"Jon J.","non-dropping-particle":"","parse-names":false,"suffix":""}],"container-title":"American Journal of Transplantation","id":"ITEM-1","issue":"4","issued":{"date-parts":[["2018"]]},"page":"897-906","title":"A kidney offer acceptance decision tool to inform the decision to accept an offer or wait for a better kidney","type":"article-journal","volume":"18"},"uris":["http://www.mendeley.com/documents/?uuid=17674b5e-f57d-4ccc-b678-9ab449cdfbdd"]}],"mendeley":{"formattedCitation":"(100)","plainTextFormattedCitation":"(100)","previouslyFormattedCitation":"(100)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(100)</w:t>
      </w:r>
      <w:r w:rsidRPr="006720E4">
        <w:rPr>
          <w:rFonts w:ascii="Calibri" w:hAnsi="Calibri" w:cs="Calibri"/>
          <w:sz w:val="22"/>
          <w:szCs w:val="22"/>
        </w:rPr>
        <w:fldChar w:fldCharType="end"/>
      </w:r>
      <w:r w:rsidRPr="006720E4">
        <w:rPr>
          <w:rFonts w:ascii="Calibri" w:hAnsi="Calibri" w:cs="Calibri"/>
          <w:sz w:val="22"/>
          <w:szCs w:val="22"/>
        </w:rPr>
        <w:t xml:space="preserve"> </w:t>
      </w:r>
      <w:bookmarkStart w:id="2714" w:name="_Chapter_5_-"/>
      <w:bookmarkStart w:id="2715" w:name="_Toc70414883"/>
      <w:bookmarkStart w:id="2716" w:name="_Toc70844204"/>
      <w:bookmarkStart w:id="2717" w:name="_Toc70858995"/>
      <w:bookmarkStart w:id="2718" w:name="_Toc70861096"/>
      <w:bookmarkStart w:id="2719" w:name="_Toc70876581"/>
      <w:bookmarkStart w:id="2720" w:name="_Toc72615137"/>
      <w:bookmarkEnd w:id="2714"/>
      <w:r w:rsidRPr="006720E4">
        <w:rPr>
          <w:rFonts w:ascii="Calibri" w:hAnsi="Calibri" w:cs="Calibri"/>
          <w:sz w:val="22"/>
          <w:szCs w:val="22"/>
        </w:rPr>
        <w:t xml:space="preserve">Strategies that may support prospective transplant recipients in making decisions about organ offers are discussed in </w:t>
      </w:r>
      <w:hyperlink w:anchor="_Supporting_decision-making_by" w:history="1">
        <w:r w:rsidRPr="007F50FE">
          <w:rPr>
            <w:rStyle w:val="Hyperlink"/>
            <w:rFonts w:ascii="Calibri" w:hAnsi="Calibri" w:cs="Calibri"/>
            <w:sz w:val="22"/>
            <w:szCs w:val="22"/>
          </w:rPr>
          <w:t xml:space="preserve">Chapter </w:t>
        </w:r>
        <w:r w:rsidR="007F50FE" w:rsidRPr="007F50FE">
          <w:rPr>
            <w:rStyle w:val="Hyperlink"/>
            <w:rFonts w:ascii="Calibri" w:hAnsi="Calibri" w:cs="Calibri"/>
            <w:sz w:val="22"/>
            <w:szCs w:val="22"/>
          </w:rPr>
          <w:t>6</w:t>
        </w:r>
        <w:r w:rsidRPr="007F50FE">
          <w:rPr>
            <w:rStyle w:val="Hyperlink"/>
            <w:rFonts w:ascii="Calibri" w:hAnsi="Calibri" w:cs="Calibri"/>
            <w:sz w:val="22"/>
            <w:szCs w:val="22"/>
          </w:rPr>
          <w:t>.6</w:t>
        </w:r>
      </w:hyperlink>
      <w:r w:rsidRPr="007F50FE">
        <w:rPr>
          <w:rFonts w:ascii="Calibri" w:hAnsi="Calibri" w:cs="Calibri"/>
          <w:sz w:val="22"/>
          <w:szCs w:val="22"/>
        </w:rPr>
        <w:t>.</w:t>
      </w:r>
    </w:p>
    <w:p w14:paraId="33A51C14" w14:textId="77777777" w:rsidR="006C6EBA" w:rsidRPr="006720E4" w:rsidRDefault="006C6EBA" w:rsidP="00EA22AE">
      <w:pPr>
        <w:pStyle w:val="Heading2"/>
        <w:spacing w:after="120"/>
      </w:pPr>
      <w:bookmarkStart w:id="2721" w:name="_Supporting_decision-making_by"/>
      <w:bookmarkStart w:id="2722" w:name="_Toc79330865"/>
      <w:bookmarkStart w:id="2723" w:name="_Toc79331245"/>
      <w:bookmarkStart w:id="2724" w:name="_Toc79406396"/>
      <w:bookmarkStart w:id="2725" w:name="_Toc82773609"/>
      <w:bookmarkStart w:id="2726" w:name="_Toc82773962"/>
      <w:bookmarkStart w:id="2727" w:name="_Toc128314214"/>
      <w:bookmarkStart w:id="2728" w:name="_Toc135131458"/>
      <w:bookmarkEnd w:id="2715"/>
      <w:bookmarkEnd w:id="2716"/>
      <w:bookmarkEnd w:id="2717"/>
      <w:bookmarkEnd w:id="2718"/>
      <w:bookmarkEnd w:id="2719"/>
      <w:bookmarkEnd w:id="2720"/>
      <w:bookmarkEnd w:id="2721"/>
      <w:r w:rsidRPr="006720E4">
        <w:t>Supporting decision-making by potential transplant recipients about transplant offers</w:t>
      </w:r>
      <w:bookmarkEnd w:id="2722"/>
      <w:bookmarkEnd w:id="2723"/>
      <w:bookmarkEnd w:id="2724"/>
      <w:bookmarkEnd w:id="2725"/>
      <w:bookmarkEnd w:id="2726"/>
      <w:bookmarkEnd w:id="2727"/>
      <w:bookmarkEnd w:id="2728"/>
    </w:p>
    <w:p w14:paraId="6033069A" w14:textId="2FCDCD9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Potential recipients of cell, tissue and organ transplants may face a range of difficulties in evaluating the information about potential benefits and risks of the various opportunities they may have for transplantation. In addition to general recommendations outlined with regards to decision-making and consent for </w:t>
      </w:r>
      <w:r w:rsidRPr="003F7DBB">
        <w:rPr>
          <w:rFonts w:ascii="Calibri" w:hAnsi="Calibri" w:cs="Calibri"/>
          <w:sz w:val="22"/>
          <w:szCs w:val="22"/>
        </w:rPr>
        <w:t xml:space="preserve">transplantation in </w:t>
      </w:r>
      <w:hyperlink w:anchor="_Consent_for_transplantation" w:history="1">
        <w:r w:rsidRPr="003F7DBB">
          <w:rPr>
            <w:rStyle w:val="Hyperlink"/>
            <w:rFonts w:ascii="Calibri" w:hAnsi="Calibri" w:cs="Calibri"/>
            <w:sz w:val="22"/>
            <w:szCs w:val="22"/>
          </w:rPr>
          <w:t xml:space="preserve">Chapter </w:t>
        </w:r>
        <w:r w:rsidR="002B5DD4" w:rsidRPr="003F7DBB">
          <w:rPr>
            <w:rStyle w:val="Hyperlink"/>
            <w:rFonts w:ascii="Calibri" w:hAnsi="Calibri" w:cs="Calibri"/>
            <w:sz w:val="22"/>
            <w:szCs w:val="22"/>
          </w:rPr>
          <w:t>4</w:t>
        </w:r>
        <w:r w:rsidRPr="003F7DBB">
          <w:rPr>
            <w:rStyle w:val="Hyperlink"/>
            <w:rFonts w:ascii="Calibri" w:hAnsi="Calibri" w:cs="Calibri"/>
            <w:sz w:val="22"/>
            <w:szCs w:val="22"/>
          </w:rPr>
          <w:t>.2</w:t>
        </w:r>
      </w:hyperlink>
      <w:r w:rsidRPr="003F7DBB">
        <w:rPr>
          <w:rFonts w:ascii="Calibri" w:hAnsi="Calibri" w:cs="Calibri"/>
          <w:sz w:val="22"/>
          <w:szCs w:val="22"/>
        </w:rPr>
        <w:t xml:space="preserve"> and </w:t>
      </w:r>
      <w:hyperlink w:anchor="_Transplantation_of_children" w:history="1">
        <w:r w:rsidRPr="003F7DBB">
          <w:rPr>
            <w:rStyle w:val="Hyperlink"/>
            <w:rFonts w:ascii="Calibri" w:hAnsi="Calibri" w:cs="Calibri"/>
            <w:sz w:val="22"/>
            <w:szCs w:val="22"/>
          </w:rPr>
          <w:t xml:space="preserve">Chapter </w:t>
        </w:r>
        <w:r w:rsidR="002B5DD4" w:rsidRPr="003F7DBB">
          <w:rPr>
            <w:rStyle w:val="Hyperlink"/>
            <w:rFonts w:ascii="Calibri" w:hAnsi="Calibri" w:cs="Calibri"/>
            <w:sz w:val="22"/>
            <w:szCs w:val="22"/>
          </w:rPr>
          <w:t>5</w:t>
        </w:r>
        <w:r w:rsidRPr="003F7DBB">
          <w:rPr>
            <w:rStyle w:val="Hyperlink"/>
            <w:rFonts w:ascii="Calibri" w:hAnsi="Calibri" w:cs="Calibri"/>
            <w:sz w:val="22"/>
            <w:szCs w:val="22"/>
          </w:rPr>
          <w:t>.4</w:t>
        </w:r>
      </w:hyperlink>
      <w:r w:rsidRPr="003F7DBB">
        <w:rPr>
          <w:rFonts w:ascii="Calibri" w:hAnsi="Calibri" w:cs="Calibri"/>
          <w:sz w:val="22"/>
          <w:szCs w:val="22"/>
        </w:rPr>
        <w:t>, a number of</w:t>
      </w:r>
      <w:r w:rsidRPr="006720E4">
        <w:rPr>
          <w:rFonts w:ascii="Calibri" w:hAnsi="Calibri" w:cs="Calibri"/>
          <w:sz w:val="22"/>
          <w:szCs w:val="22"/>
        </w:rPr>
        <w:t xml:space="preserve"> strategies to support decision-making that involves appraisal of risks and potential benefits may be helpful. The strategies used will differ according to the type of transplant being considered and the circumstances of individual transplant candidates.</w:t>
      </w:r>
    </w:p>
    <w:p w14:paraId="20912BE5" w14:textId="77777777" w:rsidR="006C6EBA" w:rsidRPr="006720E4" w:rsidRDefault="006C6EBA" w:rsidP="00EA22AE">
      <w:pPr>
        <w:pStyle w:val="Heading3"/>
        <w:spacing w:after="120"/>
      </w:pPr>
      <w:bookmarkStart w:id="2729" w:name="_Disclosure__and"/>
      <w:bookmarkStart w:id="2730" w:name="_Disclosure_and_communication"/>
      <w:bookmarkStart w:id="2731" w:name="_Toc79406397"/>
      <w:bookmarkStart w:id="2732" w:name="_Toc82773610"/>
      <w:bookmarkStart w:id="2733" w:name="_Toc82773963"/>
      <w:bookmarkEnd w:id="2729"/>
      <w:bookmarkEnd w:id="2730"/>
      <w:r w:rsidRPr="006720E4">
        <w:t>Disclosure and communication about organ transplant opportunities</w:t>
      </w:r>
      <w:bookmarkEnd w:id="2731"/>
      <w:bookmarkEnd w:id="2732"/>
      <w:bookmarkEnd w:id="2733"/>
    </w:p>
    <w:p w14:paraId="7C4DC3E2" w14:textId="4E1BCC6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Respect for autonomy requires that prospective organ transplant recipients or their substitute decision-makers – have the opportunity to make informed choices about all available options for treatment. This requires</w:t>
      </w:r>
      <w:r w:rsidR="003F7DBB">
        <w:rPr>
          <w:rFonts w:ascii="Calibri" w:hAnsi="Calibri" w:cs="Calibri"/>
          <w:sz w:val="22"/>
          <w:szCs w:val="22"/>
        </w:rPr>
        <w:t>:</w:t>
      </w:r>
      <w:r w:rsidRPr="006720E4">
        <w:rPr>
          <w:rFonts w:ascii="Calibri" w:hAnsi="Calibri" w:cs="Calibri"/>
          <w:sz w:val="22"/>
          <w:szCs w:val="22"/>
        </w:rPr>
        <w:t xml:space="preserve"> </w:t>
      </w:r>
    </w:p>
    <w:p w14:paraId="4E60B12F" w14:textId="77777777" w:rsidR="006C6EBA" w:rsidRPr="006720E4" w:rsidRDefault="006C6EBA" w:rsidP="00EA22AE">
      <w:pPr>
        <w:pStyle w:val="Bullet"/>
        <w:spacing w:after="120"/>
        <w:contextualSpacing w:val="0"/>
        <w:rPr>
          <w:rFonts w:cs="Calibri"/>
        </w:rPr>
      </w:pPr>
      <w:r w:rsidRPr="006720E4">
        <w:rPr>
          <w:rFonts w:cs="Calibri"/>
        </w:rPr>
        <w:t xml:space="preserve">discussion of the option of transplantation from a living donor where possible and of the relative benefits and risks of living donor transplants compared with deceased donor transplants where relevant. </w:t>
      </w:r>
    </w:p>
    <w:p w14:paraId="6E7A2A1E" w14:textId="4E769570" w:rsidR="006C6EBA" w:rsidRPr="006720E4" w:rsidRDefault="006C6EBA" w:rsidP="00EA22AE">
      <w:pPr>
        <w:pStyle w:val="Bullet"/>
        <w:spacing w:after="120"/>
        <w:contextualSpacing w:val="0"/>
        <w:rPr>
          <w:rFonts w:cs="Calibri"/>
        </w:rPr>
      </w:pPr>
      <w:r w:rsidRPr="006720E4">
        <w:rPr>
          <w:rFonts w:cs="Calibri"/>
        </w:rPr>
        <w:t xml:space="preserve">pre-emptive discussion of the types of organ offers that may be made via the allocation system of deceased donor organs e.g. increased viral risk </w:t>
      </w:r>
      <w:r w:rsidRPr="00863834">
        <w:rPr>
          <w:rFonts w:cs="Calibri"/>
        </w:rPr>
        <w:t>donors</w:t>
      </w:r>
      <w:r w:rsidR="00B6722A" w:rsidRPr="00863834">
        <w:rPr>
          <w:rFonts w:cs="Calibri"/>
        </w:rPr>
        <w:t xml:space="preserve"> (see </w:t>
      </w:r>
      <w:hyperlink w:anchor="_Acceptance_of_a" w:history="1">
        <w:r w:rsidR="00B6722A" w:rsidRPr="00863834">
          <w:rPr>
            <w:rStyle w:val="Hyperlink"/>
            <w:rFonts w:cs="Calibri"/>
          </w:rPr>
          <w:t>Chapter 2.6.1</w:t>
        </w:r>
      </w:hyperlink>
      <w:r w:rsidR="00B6722A" w:rsidRPr="00863834">
        <w:rPr>
          <w:rFonts w:cs="Calibri"/>
        </w:rPr>
        <w:t>)</w:t>
      </w:r>
    </w:p>
    <w:p w14:paraId="5FAEBD21" w14:textId="77777777" w:rsidR="006C6EBA" w:rsidRPr="006720E4" w:rsidRDefault="006C6EBA" w:rsidP="00EA22AE">
      <w:pPr>
        <w:pStyle w:val="Bullet"/>
        <w:spacing w:after="120"/>
        <w:contextualSpacing w:val="0"/>
        <w:rPr>
          <w:rFonts w:cs="Calibri"/>
        </w:rPr>
      </w:pPr>
      <w:r w:rsidRPr="006720E4">
        <w:rPr>
          <w:rFonts w:cs="Calibri"/>
        </w:rPr>
        <w:t>discussion of specific organ offers that are made via the allocation system of deceased donor organs.</w:t>
      </w:r>
    </w:p>
    <w:p w14:paraId="4D9A7B1F" w14:textId="120817D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There are several potential barriers to direct inclusion of prospective transplant recipients in decision-making about specific transplant offers made via the organ allocation system, as discussed </w:t>
      </w:r>
      <w:r w:rsidRPr="00F341C1">
        <w:rPr>
          <w:rFonts w:ascii="Calibri" w:hAnsi="Calibri" w:cs="Calibri"/>
          <w:sz w:val="22"/>
          <w:szCs w:val="22"/>
        </w:rPr>
        <w:t xml:space="preserve">in </w:t>
      </w:r>
      <w:hyperlink w:anchor="_Factors_potentially_influencing" w:history="1">
        <w:r w:rsidRPr="00F341C1">
          <w:rPr>
            <w:rStyle w:val="Hyperlink"/>
            <w:rFonts w:ascii="Calibri" w:hAnsi="Calibri" w:cs="Calibri"/>
            <w:sz w:val="22"/>
            <w:szCs w:val="22"/>
          </w:rPr>
          <w:t xml:space="preserve">Chapter </w:t>
        </w:r>
        <w:r w:rsidR="002B5DD4" w:rsidRPr="00F341C1">
          <w:rPr>
            <w:rStyle w:val="Hyperlink"/>
            <w:rFonts w:ascii="Calibri" w:hAnsi="Calibri" w:cs="Calibri"/>
            <w:sz w:val="22"/>
            <w:szCs w:val="22"/>
          </w:rPr>
          <w:t>6</w:t>
        </w:r>
        <w:r w:rsidRPr="00F341C1">
          <w:rPr>
            <w:rStyle w:val="Hyperlink"/>
            <w:rFonts w:ascii="Calibri" w:hAnsi="Calibri" w:cs="Calibri"/>
            <w:sz w:val="22"/>
            <w:szCs w:val="22"/>
          </w:rPr>
          <w:t>.6.1.1</w:t>
        </w:r>
      </w:hyperlink>
      <w:r w:rsidRPr="00F341C1">
        <w:rPr>
          <w:rFonts w:ascii="Calibri" w:hAnsi="Calibri" w:cs="Calibri"/>
          <w:sz w:val="22"/>
          <w:szCs w:val="22"/>
        </w:rPr>
        <w:t>.</w:t>
      </w:r>
      <w:r w:rsidRPr="006720E4">
        <w:rPr>
          <w:rFonts w:ascii="Calibri" w:hAnsi="Calibri" w:cs="Calibri"/>
          <w:sz w:val="22"/>
          <w:szCs w:val="22"/>
        </w:rPr>
        <w:t xml:space="preserve"> </w:t>
      </w:r>
    </w:p>
    <w:p w14:paraId="3A722FD3" w14:textId="5AFFA1E3" w:rsidR="006C6EBA" w:rsidRPr="00B6722A" w:rsidRDefault="006C6EBA" w:rsidP="00EA22AE">
      <w:pPr>
        <w:spacing w:after="120"/>
        <w:rPr>
          <w:rFonts w:ascii="Calibri" w:hAnsi="Calibri" w:cs="Calibri"/>
          <w:sz w:val="22"/>
          <w:szCs w:val="22"/>
        </w:rPr>
      </w:pPr>
      <w:r w:rsidRPr="006720E4">
        <w:rPr>
          <w:rFonts w:ascii="Calibri" w:hAnsi="Calibri" w:cs="Calibri"/>
          <w:sz w:val="22"/>
          <w:szCs w:val="22"/>
        </w:rPr>
        <w:t xml:space="preserve">As shared decision-making may not always be possible at the time an offer is made, when a transplant candidate joins the waiting list, health professionals should discuss with them the possible types of offers that may be made, including offers of non-standard risk donor organs. Health professionals should strive to gain an </w:t>
      </w:r>
      <w:r w:rsidRPr="00B6722A">
        <w:rPr>
          <w:rFonts w:ascii="Calibri" w:hAnsi="Calibri" w:cs="Calibri"/>
          <w:sz w:val="22"/>
          <w:szCs w:val="22"/>
        </w:rPr>
        <w:t xml:space="preserve">understanding of the candidate’s values, beliefs, and preferences so that they may use a substituted judgement approach to decision-making about acceptance or decline of offers, if necessary at a later time (see </w:t>
      </w:r>
      <w:hyperlink w:anchor="_Use_of_decision-making" w:history="1">
        <w:r w:rsidRPr="00B6722A">
          <w:rPr>
            <w:rStyle w:val="Hyperlink"/>
            <w:rFonts w:ascii="Calibri" w:hAnsi="Calibri" w:cs="Calibri"/>
            <w:sz w:val="22"/>
            <w:szCs w:val="22"/>
          </w:rPr>
          <w:t xml:space="preserve">Chapter </w:t>
        </w:r>
        <w:r w:rsidR="002B5DD4" w:rsidRPr="00B6722A">
          <w:rPr>
            <w:rStyle w:val="Hyperlink"/>
            <w:rFonts w:ascii="Calibri" w:hAnsi="Calibri" w:cs="Calibri"/>
            <w:sz w:val="22"/>
            <w:szCs w:val="22"/>
          </w:rPr>
          <w:t>6</w:t>
        </w:r>
        <w:r w:rsidRPr="00B6722A">
          <w:rPr>
            <w:rStyle w:val="Hyperlink"/>
            <w:rFonts w:ascii="Calibri" w:hAnsi="Calibri" w:cs="Calibri"/>
            <w:sz w:val="22"/>
            <w:szCs w:val="22"/>
          </w:rPr>
          <w:t>.6.3</w:t>
        </w:r>
      </w:hyperlink>
      <w:r w:rsidRPr="00B6722A">
        <w:rPr>
          <w:rFonts w:ascii="Calibri" w:hAnsi="Calibri" w:cs="Calibri"/>
          <w:sz w:val="22"/>
          <w:szCs w:val="22"/>
        </w:rPr>
        <w:t xml:space="preserve">). </w:t>
      </w:r>
    </w:p>
    <w:p w14:paraId="49A18A24" w14:textId="075B6D6C" w:rsidR="006C6EBA" w:rsidRPr="006720E4" w:rsidRDefault="006C6EBA" w:rsidP="00EA22AE">
      <w:pPr>
        <w:spacing w:after="120"/>
        <w:rPr>
          <w:rFonts w:ascii="Calibri" w:hAnsi="Calibri" w:cs="Calibri"/>
          <w:sz w:val="22"/>
          <w:szCs w:val="22"/>
        </w:rPr>
      </w:pPr>
      <w:r w:rsidRPr="00B6722A">
        <w:rPr>
          <w:rFonts w:ascii="Calibri" w:hAnsi="Calibri" w:cs="Calibri"/>
          <w:sz w:val="22"/>
          <w:szCs w:val="22"/>
        </w:rPr>
        <w:t>In order to ensure that unsuitable transplant offers are declined as efficiently as possible, in some cases it may be necessary for transplant professionals to decline an offer without consulting the potential transplant recipient. If the professional instead</w:t>
      </w:r>
      <w:r w:rsidRPr="006720E4">
        <w:rPr>
          <w:rFonts w:ascii="Calibri" w:hAnsi="Calibri" w:cs="Calibri"/>
          <w:sz w:val="22"/>
          <w:szCs w:val="22"/>
        </w:rPr>
        <w:t xml:space="preserve"> believes the offer should be accepted or at least considered by the prospective recipient, or if they are uncertain of the prospective recipient’s likely preferences with regards to the offer, the offer should routinely be disclosed and discussed. Valid consent to accept a specific organ offer is always required from the transplant recipient or their substitute decision-maker before transplantation can occur.</w:t>
      </w:r>
    </w:p>
    <w:p w14:paraId="553D74C6" w14:textId="59818EB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Transparency around decision making is important. Health professionals should routinely provide feedback to the organ allocation program on the reasons for declining transplant offers to inform revisions to allocation protocols that may reduce the risk of offers being declined and improve efficiency of the allocation system. Decision-making about transplant offers should also be routinely documented in a system suitable for auditing, with regular auditing used to monitor trends in decisions and to evaluate clinical reasoning in the light of patient outcomes over time.</w:t>
      </w:r>
    </w:p>
    <w:p w14:paraId="31B5A6C6" w14:textId="77777777" w:rsidR="006C6EBA" w:rsidRPr="006720E4" w:rsidRDefault="006C6EBA" w:rsidP="00EA22AE">
      <w:pPr>
        <w:pStyle w:val="Heading4"/>
        <w:spacing w:after="120"/>
      </w:pPr>
      <w:bookmarkStart w:id="2734" w:name="_Factors_potentially_influencing"/>
      <w:bookmarkStart w:id="2735" w:name="_Toc82773611"/>
      <w:bookmarkStart w:id="2736" w:name="_Toc82773964"/>
      <w:bookmarkEnd w:id="2734"/>
      <w:r w:rsidRPr="006720E4">
        <w:lastRenderedPageBreak/>
        <w:t>Factors potentially influencing inclusion of candidates in discussion of transplant offers</w:t>
      </w:r>
      <w:bookmarkEnd w:id="2735"/>
      <w:bookmarkEnd w:id="2736"/>
    </w:p>
    <w:p w14:paraId="20CBC16A" w14:textId="048D3E5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Barriers to timely and effective communication may discourage or prevent direct inclusion of transplant candidates in discussion of some offers that are made via the deceased donor organ allocation system. This is especially the case when the relevant transplant professional deems an offer to be clinically unsuitable or incompatible with the transplant candidate’s known preferences.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{"citationItems":[{"id":"ITEM-1","itemData":{"DOI":"10.1111/ctr.13793","ISSN":"13990012","PMID":"31989699","abstract":"Background: Kidney transplantation is the best treatment for patients with end-stage renal disease. The decision to accept a kidney from a deceased donor can be a difficult one, especially when organs from high KDPI (&gt;85%) donors are offered. This study aims to capture the perspectives of transplant nephrologists (TNs) on the decision-making process when an organ is offered. Methods: Fifteen Canadian TNs took part in semi-structured interviews between December 2017 and April 2018. The interviews were digitally recorded, transcribed, and analyzed using the thematic analysis method. Results: The decision to accept a deceased-donor kidney offer is a medical one for the participants. However, transplant candidates could be involved when the offered kidney is from a donor with a KDPI &gt;85% or increased infectious risk donor. The TNs’ past experience, comprehensive data on the donor, and education of the transplant candidate could facilitate the decision-making process. A decision aid could also facilitate the decision-making process, but different concerns should be addressed. Conclusion: Although accepting a deceased-donor organ offer is often viewed as an opportunity for shared decision-making, participants in this study viewed the decision to accept or refuse an offer as a medical decision with little room for patient participation.","author":[{"dropping-particle":"","family":"Cardinal","given":"Héloïse","non-dropping-particle":"","parse-names":false,"suffix":""},{"dropping-particle":"","family":"Ballesteros Gallego","given":"Fabian","non-dropping-particle":"","parse-names":false,"suffix":""},{"dropping-particle":"","family":"Affdal","given":"Aliya","non-dropping-particle":"","parse-names":false,"suffix":""},{"dropping-particle":"","family":"Fortin","given":"Marie Chantal","non-dropping-particle":"","parse-names":false,"suffix":""}],"container-title":"Clinical Transplantation","id":"ITEM-1","issue":"3","issued":{"date-parts":[["2020"]]},"title":"Canadian transplant nephrologists’ perspectives on the decision-making process for accepting or refusing a kidney from a deceased organ donor","type":"article-journal","volume":"34"},"uris":["http://www.mendeley.com/documents/?uuid=89b81f00-61ec-47ed-9ae6-aac5dbdcce92"]}],"mendeley":{"formattedCitation":"(101)","plainTextFormattedCitation":"(101)","previouslyFormattedCitation":"(101)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(101)</w:t>
      </w:r>
      <w:r w:rsidRPr="006720E4">
        <w:rPr>
          <w:rFonts w:ascii="Calibri" w:hAnsi="Calibri" w:cs="Calibri"/>
          <w:sz w:val="22"/>
          <w:szCs w:val="22"/>
        </w:rPr>
        <w:fldChar w:fldCharType="end"/>
      </w:r>
      <w:r w:rsidRPr="006720E4">
        <w:rPr>
          <w:rFonts w:ascii="Calibri" w:hAnsi="Calibri" w:cs="Calibri"/>
          <w:sz w:val="22"/>
          <w:szCs w:val="22"/>
        </w:rPr>
        <w:t xml:space="preserve"> </w:t>
      </w:r>
    </w:p>
    <w:p w14:paraId="43C7BDEC"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Efforts to reach a transplant candidate urgently via telephone to communicate and discuss an offer that the transplant professional expects will be declined may result in delays in reallocation of the relevant organ which could ultimately lead to it being discarded without transplantation. Inefficiencies in the organ allocation system may in some cases result in multiple offers being made that are clinically unsuitable for some transplant candidates.</w:t>
      </w:r>
    </w:p>
    <w:p w14:paraId="60CDEC56" w14:textId="5A4DE5F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circumstances, particularly when the offer involves an ECD or non-standard risk donor organ, health professionals may be reluctant to disclose or discuss organ offers with transplant candidates even if it is feasible to do so. Such reluctance may be due to fears that transplant candidates may be distressed by discussion of offers that the professional believes should be declined or that candidates may become anxious if they receive extensive information about the limitations or risks of an offer that the professional believes should be accepted. </w:t>
      </w:r>
    </w:p>
    <w:p w14:paraId="56F084C5" w14:textId="75022CD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Some health professionals may simply feel that the decision to accept or decline an offer is a purely medical decision that requires no input from patients.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{"citationItems":[{"id":"ITEM-1","itemData":{"DOI":"10.1111/ctr.13793","ISSN":"13990012","PMID":"31989699","abstract":"Background: Kidney transplantation is the best treatment for patients with end-stage renal disease. The decision to accept a kidney from a deceased donor can be a difficult one, especially when organs from high KDPI (&gt;85%) donors are offered. This study aims to capture the perspectives of transplant nephrologists (TNs) on the decision-making process when an organ is offered. Methods: Fifteen Canadian TNs took part in semi-structured interviews between December 2017 and April 2018. The interviews were digitally recorded, transcribed, and analyzed using the thematic analysis method. Results: The decision to accept a deceased-donor kidney offer is a medical one for the participants. However, transplant candidates could be involved when the offered kidney is from a donor with a KDPI &gt;85% or increased infectious risk donor. The TNs’ past experience, comprehensive data on the donor, and education of the transplant candidate could facilitate the decision-making process. A decision aid could also facilitate the decision-making process, but different concerns should be addressed. Conclusion: Although accepting a deceased-donor organ offer is often viewed as an opportunity for shared decision-making, participants in this study viewed the decision to accept or refuse an offer as a medical decision with little room for patient participation.","author":[{"dropping-particle":"","family":"Cardinal","given":"Héloïse","non-dropping-particle":"","parse-names":false,"suffix":""},{"dropping-particle":"","family":"Ballesteros Gallego","given":"Fabian","non-dropping-particle":"","parse-names":false,"suffix":""},{"dropping-particle":"","family":"Affdal","given":"Aliya","non-dropping-particle":"","parse-names":false,"suffix":""},{"dropping-particle":"","family":"Fortin","given":"Marie Chantal","non-dropping-particle":"","parse-names":false,"suffix":""}],"container-title":"Clinical Transplantation","id":"ITEM-1","issue":"3","issued":{"date-parts":[["2020"]]},"title":"Canadian transplant nephrologists’ perspectives on the decision-making process for accepting or refusing a kidney from a deceased organ donor","type":"article-journal","volume":"34"},"uris":["http://www.mendeley.com/documents/?uuid=89b81f00-61ec-47ed-9ae6-aac5dbdcce92"]}],"mendeley":{"formattedCitation":"(101)","plainTextFormattedCitation":"(101)","previouslyFormattedCitation":"(101)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(101)</w:t>
      </w:r>
      <w:r w:rsidRPr="006720E4">
        <w:rPr>
          <w:rFonts w:ascii="Calibri" w:hAnsi="Calibri" w:cs="Calibri"/>
          <w:sz w:val="22"/>
          <w:szCs w:val="22"/>
        </w:rPr>
        <w:fldChar w:fldCharType="end"/>
      </w:r>
      <w:r w:rsidRPr="006720E4">
        <w:rPr>
          <w:rFonts w:ascii="Calibri" w:hAnsi="Calibri" w:cs="Calibri"/>
          <w:sz w:val="22"/>
          <w:szCs w:val="22"/>
        </w:rPr>
        <w:t xml:space="preserve">  However, many decisions about organ offers involve qualitative judgements about the proportionality of potential benefits and risks associated with specific offers, and hence should be informed by the transplant candidate’s values, beliefs and preferences (</w:t>
      </w:r>
      <w:r w:rsidRPr="003F7DBB">
        <w:rPr>
          <w:rFonts w:ascii="Calibri" w:hAnsi="Calibri" w:cs="Calibri"/>
          <w:sz w:val="22"/>
          <w:szCs w:val="22"/>
        </w:rPr>
        <w:t xml:space="preserve">see </w:t>
      </w:r>
      <w:hyperlink w:anchor="_Disclosure_and_communication" w:history="1">
        <w:r w:rsidRPr="003F7DBB">
          <w:rPr>
            <w:rStyle w:val="Hyperlink"/>
            <w:rFonts w:ascii="Calibri" w:hAnsi="Calibri" w:cs="Calibri"/>
            <w:sz w:val="22"/>
            <w:szCs w:val="22"/>
          </w:rPr>
          <w:t xml:space="preserve">Chapter </w:t>
        </w:r>
        <w:r w:rsidR="002B5DD4" w:rsidRPr="003F7DBB">
          <w:rPr>
            <w:rStyle w:val="Hyperlink"/>
            <w:rFonts w:ascii="Calibri" w:hAnsi="Calibri" w:cs="Calibri"/>
            <w:sz w:val="22"/>
            <w:szCs w:val="22"/>
          </w:rPr>
          <w:t>6</w:t>
        </w:r>
        <w:r w:rsidRPr="003F7DBB">
          <w:rPr>
            <w:rStyle w:val="Hyperlink"/>
            <w:rFonts w:ascii="Calibri" w:hAnsi="Calibri" w:cs="Calibri"/>
            <w:sz w:val="22"/>
            <w:szCs w:val="22"/>
          </w:rPr>
          <w:t>.6.1</w:t>
        </w:r>
      </w:hyperlink>
      <w:r w:rsidRPr="003F7DBB">
        <w:rPr>
          <w:rFonts w:ascii="Calibri" w:hAnsi="Calibri" w:cs="Calibri"/>
          <w:sz w:val="22"/>
          <w:szCs w:val="22"/>
        </w:rPr>
        <w:t>).</w:t>
      </w:r>
      <w:r w:rsidRPr="003F7DBB">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0000000000001850","ISBN":"0000000000","ISSN":"00411337","PMID":"28640067","author":[{"dropping-particle":"","family":"Wong","given":"Germaine","non-dropping-particle":"","parse-names":false,"suffix":""},{"dropping-particle":"","family":"Howell","given":"Martin","non-dropping-particle":"","parse-names":false,"suffix":""},{"dropping-particle":"","family":"Patrick","given":"Ellis","non-dropping-particle":"","parse-names":false,"suffix":""},{"dropping-particle":"","family":"Yang","given":"Jean","non-dropping-particle":"","parse-names":false,"suffix":""}],"container-title":"Transplantation","id":"ITEM-1","issue":"12","issued":{"date-parts":[["2017"]]},"page":"2812-2813","title":"Taking Kidneys for Granted? Time to Reflect on the Choices We Make","type":"article-journal","volume":"101"},"uris":["http://www.mendeley.com/documents/?uuid=bfeb2650-c1cb-43dc-ae5e-d6e98068c765"]}],"mendeley":{"formattedCitation":"(102)","plainTextFormattedCitation":"(102)","previouslyFormattedCitation":"(102)"},"properties":{"noteIndex":0},"schema":"https://github.com/citation-style-language/schema/raw/master/csl-citation.json"}</w:instrText>
      </w:r>
      <w:r w:rsidRPr="003F7DBB">
        <w:rPr>
          <w:rFonts w:ascii="Calibri" w:hAnsi="Calibri" w:cs="Calibri"/>
          <w:sz w:val="22"/>
          <w:szCs w:val="22"/>
        </w:rPr>
        <w:fldChar w:fldCharType="separate"/>
      </w:r>
      <w:r w:rsidR="00BA3D76" w:rsidRPr="00BA3D76">
        <w:rPr>
          <w:rFonts w:ascii="Calibri" w:hAnsi="Calibri" w:cs="Calibri"/>
          <w:noProof/>
          <w:sz w:val="22"/>
          <w:szCs w:val="22"/>
        </w:rPr>
        <w:t>(102)</w:t>
      </w:r>
      <w:r w:rsidRPr="003F7DBB">
        <w:rPr>
          <w:rFonts w:ascii="Calibri" w:hAnsi="Calibri" w:cs="Calibri"/>
          <w:sz w:val="22"/>
          <w:szCs w:val="22"/>
        </w:rPr>
        <w:fldChar w:fldCharType="end"/>
      </w:r>
      <w:r w:rsidRPr="006720E4">
        <w:rPr>
          <w:rFonts w:ascii="Calibri" w:hAnsi="Calibri" w:cs="Calibri"/>
          <w:sz w:val="22"/>
          <w:szCs w:val="22"/>
        </w:rPr>
        <w:t xml:space="preserve"> </w:t>
      </w:r>
    </w:p>
    <w:p w14:paraId="64225820" w14:textId="41DF486A" w:rsidR="006C6EBA" w:rsidRDefault="006C6EBA" w:rsidP="00EA22AE">
      <w:pPr>
        <w:spacing w:after="120"/>
        <w:rPr>
          <w:rFonts w:ascii="Calibri" w:hAnsi="Calibri" w:cs="Calibri"/>
          <w:sz w:val="22"/>
          <w:szCs w:val="22"/>
        </w:rPr>
      </w:pPr>
      <w:r w:rsidRPr="006720E4">
        <w:rPr>
          <w:rFonts w:ascii="Calibri" w:hAnsi="Calibri" w:cs="Calibri"/>
          <w:sz w:val="22"/>
          <w:szCs w:val="22"/>
        </w:rPr>
        <w:t>Where an offer is declined without consulting the prospective transplant recipient, they should be informed of the offer and the reasons for declining it at an appropriate time. Doing so provides a mechanism for accountability that may reduce the risk of professional bias. It may also help to reassure candidates that they are “active” on the waiting list and being considered for transplantation.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{"citationItems":[{"id":"ITEM-1","itemData":{"DOI":"10.1111/ctr.13793","ISSN":"13990012","PMID":"31989699","abstract":"Background: Kidney transplantation is the best treatment for patients with end-stage renal disease. The decision to accept a kidney from a deceased donor can be a difficult one, especially when organs from high KDPI (&gt;85%) donors are offered. This study aims to capture the perspectives of transplant nephrologists (TNs) on the decision-making process when an organ is offered. Methods: Fifteen Canadian TNs took part in semi-structured interviews between December 2017 and April 2018. The interviews were digitally recorded, transcribed, and analyzed using the thematic analysis method. Results: The decision to accept a deceased-donor kidney offer is a medical one for the participants. However, transplant candidates could be involved when the offered kidney is from a donor with a KDPI &gt;85% or increased infectious risk donor. The TNs’ past experience, comprehensive data on the donor, and education of the transplant candidate could facilitate the decision-making process. A decision aid could also facilitate the decision-making process, but different concerns should be addressed. Conclusion: Although accepting a deceased-donor organ offer is often viewed as an opportunity for shared decision-making, participants in this study viewed the decision to accept or refuse an offer as a medical decision with little room for patient participation.","author":[{"dropping-particle":"","family":"Cardinal","given":"Héloïse","non-dropping-particle":"","parse-names":false,"suffix":""},{"dropping-particle":"","family":"Ballesteros Gallego","given":"Fabian","non-dropping-particle":"","parse-names":false,"suffix":""},{"dropping-particle":"","family":"Affdal","given":"Aliya","non-dropping-particle":"","parse-names":false,"suffix":""},{"dropping-particle":"","family":"Fortin","given":"Marie Chantal","non-dropping-particle":"","parse-names":false,"suffix":""}],"container-title":"Clinical Transplantation","id":"ITEM-1","issue":"3","issued":{"date-parts":[["2020"]]},"title":"Canadian transplant nephrologists’ perspectives on the decision-making process for accepting or refusing a kidney from a deceased organ donor","type":"article-journal","volume":"34"},"uris":["http://www.mendeley.com/documents/?uuid=89b81f00-61ec-47ed-9ae6-aac5dbdcce92"]}],"mendeley":{"formattedCitation":"(101)","plainTextFormattedCitation":"(101)","previouslyFormattedCitation":"(101)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(101)</w:t>
      </w:r>
      <w:r w:rsidRPr="006720E4">
        <w:rPr>
          <w:rFonts w:ascii="Calibri" w:hAnsi="Calibri" w:cs="Calibri"/>
          <w:sz w:val="22"/>
          <w:szCs w:val="22"/>
        </w:rPr>
        <w:fldChar w:fldCharType="end"/>
      </w:r>
      <w:r w:rsidRPr="006720E4">
        <w:rPr>
          <w:rFonts w:ascii="Calibri" w:hAnsi="Calibri" w:cs="Calibri"/>
          <w:sz w:val="22"/>
          <w:szCs w:val="22"/>
        </w:rPr>
        <w:t xml:space="preserve"> </w:t>
      </w:r>
    </w:p>
    <w:p w14:paraId="48911021" w14:textId="77777777" w:rsidR="00F341C1" w:rsidRDefault="00F341C1" w:rsidP="00EA22AE">
      <w:pPr>
        <w:spacing w:after="120"/>
        <w:rPr>
          <w:rFonts w:ascii="Calibri" w:hAnsi="Calibri" w:cs="Calibri"/>
          <w:sz w:val="22"/>
          <w:szCs w:val="22"/>
        </w:rPr>
      </w:pPr>
    </w:p>
    <w:p w14:paraId="1C7F8333" w14:textId="2CB8D7B1" w:rsidR="004A07F5" w:rsidRPr="004A07F5" w:rsidRDefault="006329CB" w:rsidP="004A07F5">
      <w:pPr>
        <w:spacing w:after="80"/>
        <w:rPr>
          <w:rFonts w:ascii="Calibri" w:eastAsiaTheme="majorEastAsia" w:hAnsi="Calibri" w:cs="Calibri"/>
          <w:b/>
          <w:color w:val="2F5496" w:themeColor="accent1" w:themeShade="BF"/>
          <w:kern w:val="2"/>
          <w:sz w:val="26"/>
          <w:szCs w:val="26"/>
          <w:lang w:eastAsia="en-US"/>
          <w14:ligatures w14:val="standardContextual"/>
        </w:rPr>
      </w:pPr>
      <w:r>
        <w:rPr>
          <w:rFonts w:ascii="Calibri" w:eastAsiaTheme="majorEastAsia" w:hAnsi="Calibri" w:cs="Calibri"/>
          <w:b/>
          <w:color w:val="2F5496" w:themeColor="accent1" w:themeShade="BF"/>
          <w:sz w:val="26"/>
          <w:szCs w:val="26"/>
        </w:rPr>
        <w:t>Case Study</w:t>
      </w:r>
      <w:r w:rsidR="000A471B">
        <w:rPr>
          <w:rFonts w:ascii="Calibri" w:eastAsiaTheme="majorEastAsia" w:hAnsi="Calibri" w:cs="Calibri"/>
          <w:b/>
          <w:color w:val="2F5496" w:themeColor="accent1" w:themeShade="BF"/>
          <w:sz w:val="26"/>
          <w:szCs w:val="26"/>
        </w:rPr>
        <w:t xml:space="preserve"> </w:t>
      </w:r>
      <w:r>
        <w:rPr>
          <w:rFonts w:ascii="Calibri" w:eastAsiaTheme="majorEastAsia" w:hAnsi="Calibri" w:cs="Calibri"/>
          <w:b/>
          <w:color w:val="2F5496" w:themeColor="accent1" w:themeShade="BF"/>
          <w:sz w:val="26"/>
          <w:szCs w:val="26"/>
        </w:rPr>
        <w:t xml:space="preserve"> </w:t>
      </w:r>
      <w:r w:rsidR="004A07F5" w:rsidRPr="004A07F5">
        <w:rPr>
          <w:rFonts w:ascii="Calibri" w:eastAsiaTheme="majorEastAsia" w:hAnsi="Calibri" w:cs="Calibri"/>
          <w:b/>
          <w:color w:val="2F5496" w:themeColor="accent1" w:themeShade="BF"/>
          <w:kern w:val="2"/>
          <w:sz w:val="26"/>
          <w:szCs w:val="26"/>
          <w:lang w:eastAsia="en-US"/>
          <w14:ligatures w14:val="standardContextual"/>
        </w:rPr>
        <w:t>– Expanded Criteria Donor (ECD) organ transplant offer</w:t>
      </w:r>
    </w:p>
    <w:p w14:paraId="7582450D" w14:textId="77777777" w:rsidR="00CC1107" w:rsidRPr="00CC1107" w:rsidRDefault="00CC1107" w:rsidP="00CC1107">
      <w:pPr>
        <w:spacing w:after="120"/>
        <w:rPr>
          <w:rFonts w:ascii="Calibri" w:eastAsiaTheme="minorHAnsi" w:hAnsi="Calibri" w:cs="Calibri"/>
          <w:i/>
          <w:iCs/>
          <w:color w:val="4472C4" w:themeColor="accent1"/>
          <w:kern w:val="2"/>
          <w:sz w:val="22"/>
          <w:szCs w:val="22"/>
          <w:lang w:eastAsia="en-US"/>
          <w14:ligatures w14:val="standardContextual"/>
        </w:rPr>
      </w:pPr>
      <w:r w:rsidRPr="00CC1107">
        <w:rPr>
          <w:rFonts w:ascii="Calibri" w:eastAsiaTheme="minorHAnsi" w:hAnsi="Calibri" w:cs="Calibri"/>
          <w:i/>
          <w:iCs/>
          <w:color w:val="4472C4" w:themeColor="accent1"/>
          <w:kern w:val="2"/>
          <w:sz w:val="22"/>
          <w:szCs w:val="22"/>
          <w:lang w:eastAsia="en-US"/>
          <w14:ligatures w14:val="standardContextual"/>
        </w:rPr>
        <w:t xml:space="preserve">Marwan is a 67-year-old man who has been on the waiting list for a kidney transplant for two years. Marwan does not have a potential living donor. He is also highly immunologically sensitized. This means that he has a below average chance of matching when an organ from a deceased donor becomes available for him. </w:t>
      </w:r>
    </w:p>
    <w:p w14:paraId="219FFDEF" w14:textId="77777777" w:rsidR="00CC1107" w:rsidRPr="00CC1107" w:rsidRDefault="00CC1107" w:rsidP="00CC1107">
      <w:pPr>
        <w:spacing w:after="120"/>
        <w:rPr>
          <w:rFonts w:asciiTheme="minorHAnsi" w:eastAsiaTheme="minorHAnsi" w:hAnsiTheme="minorHAnsi" w:cstheme="minorBidi"/>
          <w:kern w:val="2"/>
          <w:lang w:eastAsia="en-US"/>
          <w14:ligatures w14:val="standardContextual"/>
        </w:rPr>
      </w:pPr>
      <w:r w:rsidRPr="00CC1107">
        <w:rPr>
          <w:rFonts w:ascii="Calibri" w:eastAsiaTheme="minorHAnsi" w:hAnsi="Calibri" w:cs="Calibri"/>
          <w:i/>
          <w:iCs/>
          <w:color w:val="4472C4" w:themeColor="accent1"/>
          <w:kern w:val="2"/>
          <w:sz w:val="22"/>
          <w:szCs w:val="22"/>
          <w:lang w:eastAsia="en-US"/>
          <w14:ligatures w14:val="standardContextual"/>
        </w:rPr>
        <w:t>A kidney becomes available from a deceased donor that is offered to Marwan through the organ allocation system. He is a good match from an immunological perspective, but Marwan’s transplant team is concerned that the kidney is from an expanded criteria donor. (refer to EG 6.5.2.2 - Expanded criteria donors are donors with characteristics outside of ideal or standard criteria, usually associated with poorer functional transplantation outcomes and/or increased risk of donor-derived disease transmission) Marwan’s transplant nephrologist, Dr C, tells Marwan about the offer, but explains that they plan to decline it. Dr C says, “I just don’t think this is a good kidney. Although you’ll have to wait longer for a transplant because it might be a while before a suitable match comes up again, I think it’s worth waiting for a better offer. If you take this kidney I don’t think it will last you as long and you’ll probably become even more sensitized, making it harder to get another match. You’re doing well on dialysis, and if you keep fit and wait for a good kidney it will probably last you the rest of your life if you treat it well.”</w:t>
      </w:r>
    </w:p>
    <w:p w14:paraId="11DD7732" w14:textId="77777777" w:rsidR="00CC1107" w:rsidRPr="00CC1107" w:rsidRDefault="00CC1107" w:rsidP="00CC1107">
      <w:pPr>
        <w:spacing w:after="80"/>
        <w:rPr>
          <w:rFonts w:ascii="Calibri" w:eastAsiaTheme="minorHAnsi" w:hAnsi="Calibri" w:cs="Calibri"/>
          <w:color w:val="000000" w:themeColor="text1"/>
          <w:kern w:val="2"/>
          <w:sz w:val="22"/>
          <w:szCs w:val="22"/>
          <w:lang w:eastAsia="en-US"/>
          <w14:ligatures w14:val="standardContextual"/>
        </w:rPr>
      </w:pPr>
      <w:r w:rsidRPr="00CC1107">
        <w:rPr>
          <w:rFonts w:ascii="Calibri" w:eastAsiaTheme="minorHAnsi" w:hAnsi="Calibri" w:cs="Calibri"/>
          <w:color w:val="000000" w:themeColor="text1"/>
          <w:kern w:val="2"/>
          <w:sz w:val="22"/>
          <w:szCs w:val="22"/>
          <w:lang w:eastAsia="en-US"/>
          <w14:ligatures w14:val="standardContextual"/>
        </w:rPr>
        <w:t>Points to consider:</w:t>
      </w:r>
    </w:p>
    <w:p w14:paraId="78326392" w14:textId="680DED79" w:rsidR="00CC1107" w:rsidRPr="00CC1107" w:rsidRDefault="00CC1107" w:rsidP="00CC1107">
      <w:pPr>
        <w:numPr>
          <w:ilvl w:val="0"/>
          <w:numId w:val="140"/>
        </w:numPr>
        <w:spacing w:after="80"/>
        <w:contextualSpacing/>
        <w:rPr>
          <w:rFonts w:ascii="Calibri" w:eastAsiaTheme="minorHAnsi" w:hAnsi="Calibri" w:cs="Calibri"/>
          <w:color w:val="000000" w:themeColor="text1"/>
          <w:kern w:val="2"/>
          <w:sz w:val="22"/>
          <w:szCs w:val="22"/>
          <w:lang w:eastAsia="en-US"/>
          <w14:ligatures w14:val="standardContextual"/>
        </w:rPr>
      </w:pPr>
      <w:r w:rsidRPr="00CC1107">
        <w:rPr>
          <w:rFonts w:ascii="Calibri" w:eastAsiaTheme="minorHAnsi" w:hAnsi="Calibri" w:cs="Calibri"/>
          <w:color w:val="000000" w:themeColor="text1"/>
          <w:kern w:val="2"/>
          <w:sz w:val="22"/>
          <w:szCs w:val="22"/>
          <w:lang w:eastAsia="en-US"/>
          <w14:ligatures w14:val="standardContextual"/>
        </w:rPr>
        <w:lastRenderedPageBreak/>
        <w:t xml:space="preserve">This case highlights the complexity of decision-making about ECD organ offers (see </w:t>
      </w:r>
      <w:hyperlink w:anchor="_Acceptance_of_transplant" w:history="1">
        <w:r w:rsidRPr="005B60A9">
          <w:rPr>
            <w:rStyle w:val="Hyperlink"/>
            <w:rFonts w:ascii="Calibri" w:eastAsiaTheme="minorHAnsi" w:hAnsi="Calibri" w:cs="Calibri"/>
            <w:kern w:val="2"/>
            <w:sz w:val="22"/>
            <w:szCs w:val="22"/>
            <w:lang w:eastAsia="en-US"/>
            <w14:ligatures w14:val="standardContextual"/>
          </w:rPr>
          <w:t>Chapter 6.5.2.2</w:t>
        </w:r>
        <w:r w:rsidRPr="00382CEE">
          <w:rPr>
            <w:rStyle w:val="Hyperlink"/>
            <w:rFonts w:ascii="Calibri" w:eastAsiaTheme="minorHAnsi" w:hAnsi="Calibri" w:cs="Calibri"/>
            <w:kern w:val="2"/>
            <w:sz w:val="22"/>
            <w:szCs w:val="22"/>
            <w:lang w:eastAsia="en-US"/>
            <w14:ligatures w14:val="standardContextual"/>
          </w:rPr>
          <w:t>)</w:t>
        </w:r>
        <w:r w:rsidRPr="005301D2">
          <w:rPr>
            <w:rStyle w:val="Hyperlink"/>
            <w:rFonts w:ascii="Calibri" w:eastAsiaTheme="minorHAnsi" w:hAnsi="Calibri" w:cs="Calibri"/>
            <w:kern w:val="2"/>
            <w:sz w:val="22"/>
            <w:szCs w:val="22"/>
            <w:lang w:eastAsia="en-US"/>
            <w14:ligatures w14:val="standardContextual"/>
          </w:rPr>
          <w:t>.</w:t>
        </w:r>
      </w:hyperlink>
    </w:p>
    <w:p w14:paraId="4022D0E6" w14:textId="77777777" w:rsidR="00CC1107" w:rsidRPr="00CC1107" w:rsidRDefault="00CC1107" w:rsidP="00CC1107">
      <w:pPr>
        <w:numPr>
          <w:ilvl w:val="0"/>
          <w:numId w:val="140"/>
        </w:numPr>
        <w:spacing w:after="120"/>
        <w:rPr>
          <w:rFonts w:ascii="Calibri" w:eastAsiaTheme="minorHAnsi" w:hAnsi="Calibri" w:cs="Calibri"/>
          <w:sz w:val="22"/>
          <w:szCs w:val="22"/>
          <w:u w:color="0000FF"/>
          <w:lang w:val="en-GB" w:eastAsia="en-US"/>
          <w14:ligatures w14:val="standardContextual"/>
        </w:rPr>
      </w:pPr>
      <w:r w:rsidRPr="00CC1107">
        <w:rPr>
          <w:rFonts w:ascii="Calibri" w:eastAsiaTheme="minorHAnsi" w:hAnsi="Calibri" w:cs="Calibri"/>
          <w:sz w:val="22"/>
          <w:szCs w:val="22"/>
          <w:u w:color="0000FF"/>
          <w:lang w:val="en-GB" w:eastAsia="en-US"/>
          <w14:ligatures w14:val="standardContextual"/>
        </w:rPr>
        <w:t>Three principles may be especially relevant to this case:</w:t>
      </w:r>
    </w:p>
    <w:p w14:paraId="12B4E0F2" w14:textId="77777777" w:rsidR="00CC1107" w:rsidRPr="00CC1107" w:rsidRDefault="00CC1107" w:rsidP="00CC1107">
      <w:pPr>
        <w:numPr>
          <w:ilvl w:val="1"/>
          <w:numId w:val="140"/>
        </w:numPr>
        <w:spacing w:after="120"/>
        <w:rPr>
          <w:rFonts w:ascii="Calibri" w:eastAsiaTheme="minorHAnsi" w:hAnsi="Calibri" w:cs="Calibri"/>
          <w:sz w:val="22"/>
          <w:szCs w:val="22"/>
          <w:u w:color="0000FF"/>
          <w:lang w:val="en-GB" w:eastAsia="en-US"/>
          <w14:ligatures w14:val="standardContextual"/>
        </w:rPr>
      </w:pPr>
      <w:r w:rsidRPr="00CC1107">
        <w:rPr>
          <w:rFonts w:ascii="Calibri" w:eastAsiaTheme="minorHAnsi" w:hAnsi="Calibri" w:cs="Calibri"/>
          <w:b/>
          <w:bCs/>
          <w:sz w:val="22"/>
          <w:szCs w:val="22"/>
          <w:u w:color="0000FF"/>
          <w:lang w:val="en-GB" w:eastAsia="en-US"/>
          <w14:ligatures w14:val="standardContextual"/>
        </w:rPr>
        <w:t>Principle 1</w:t>
      </w:r>
      <w:r w:rsidRPr="00CC1107">
        <w:rPr>
          <w:rFonts w:ascii="Calibri" w:eastAsiaTheme="minorHAnsi" w:hAnsi="Calibri" w:cs="Calibri"/>
          <w:sz w:val="22"/>
          <w:szCs w:val="22"/>
          <w:u w:color="0000FF"/>
          <w:lang w:val="en-GB" w:eastAsia="en-US"/>
          <w14:ligatures w14:val="standardContextual"/>
        </w:rPr>
        <w:t xml:space="preserve"> Decision-making about donation and transplantation should seek out and take account of expressed preferences of donors, recipients, their families and communities, and facilitate self-determination. </w:t>
      </w:r>
    </w:p>
    <w:p w14:paraId="40267224" w14:textId="77777777" w:rsidR="00CC1107" w:rsidRPr="00CC1107" w:rsidRDefault="00CC1107" w:rsidP="00CC1107">
      <w:pPr>
        <w:numPr>
          <w:ilvl w:val="1"/>
          <w:numId w:val="140"/>
        </w:numPr>
        <w:spacing w:after="120"/>
        <w:rPr>
          <w:rFonts w:ascii="Calibri" w:eastAsiaTheme="minorHAnsi" w:hAnsi="Calibri" w:cs="Calibri"/>
          <w:sz w:val="22"/>
          <w:szCs w:val="22"/>
          <w:u w:color="0000FF"/>
          <w:lang w:val="en-GB" w:eastAsia="en-US"/>
          <w14:ligatures w14:val="standardContextual"/>
        </w:rPr>
      </w:pPr>
      <w:r w:rsidRPr="00CC1107">
        <w:rPr>
          <w:rFonts w:ascii="Calibri" w:eastAsiaTheme="minorHAnsi" w:hAnsi="Calibri" w:cs="Calibri"/>
          <w:b/>
          <w:bCs/>
          <w:sz w:val="22"/>
          <w:szCs w:val="22"/>
          <w:u w:color="0000FF"/>
          <w:lang w:val="en-GB" w:eastAsia="en-US"/>
          <w14:ligatures w14:val="standardContextual"/>
        </w:rPr>
        <w:t>Principle 5</w:t>
      </w:r>
      <w:r w:rsidRPr="00CC1107">
        <w:rPr>
          <w:rFonts w:ascii="Calibri" w:eastAsiaTheme="minorHAnsi" w:hAnsi="Calibri" w:cs="Calibri"/>
          <w:sz w:val="22"/>
          <w:szCs w:val="22"/>
          <w:u w:color="0000FF"/>
          <w:lang w:val="en-GB" w:eastAsia="en-US"/>
          <w14:ligatures w14:val="standardContextual"/>
        </w:rPr>
        <w:t xml:space="preserve"> Donation and transplantation activities and associated decision-making should be transparent and open to scrutiny.  </w:t>
      </w:r>
    </w:p>
    <w:p w14:paraId="1DF59AD5" w14:textId="77777777" w:rsidR="00CC1107" w:rsidRPr="00CC1107" w:rsidRDefault="00CC1107" w:rsidP="00CC1107">
      <w:pPr>
        <w:numPr>
          <w:ilvl w:val="1"/>
          <w:numId w:val="140"/>
        </w:numPr>
        <w:spacing w:after="120"/>
        <w:rPr>
          <w:rFonts w:ascii="Calibri" w:eastAsiaTheme="minorHAnsi" w:hAnsi="Calibri" w:cs="Calibri"/>
          <w:sz w:val="22"/>
          <w:szCs w:val="22"/>
          <w:u w:color="0000FF"/>
          <w:lang w:val="en-GB" w:eastAsia="en-US"/>
          <w14:ligatures w14:val="standardContextual"/>
        </w:rPr>
      </w:pPr>
      <w:r w:rsidRPr="00CC1107">
        <w:rPr>
          <w:rFonts w:ascii="Calibri" w:eastAsiaTheme="minorHAnsi" w:hAnsi="Calibri" w:cs="Calibri"/>
          <w:b/>
          <w:bCs/>
          <w:sz w:val="22"/>
          <w:szCs w:val="22"/>
          <w:u w:color="0000FF"/>
          <w:lang w:val="en-GB" w:eastAsia="en-US"/>
          <w14:ligatures w14:val="standardContextual"/>
        </w:rPr>
        <w:t>Principle 7</w:t>
      </w:r>
      <w:r w:rsidRPr="00CC1107">
        <w:rPr>
          <w:rFonts w:ascii="Calibri" w:eastAsiaTheme="minorHAnsi" w:hAnsi="Calibri" w:cs="Calibri"/>
          <w:sz w:val="22"/>
          <w:szCs w:val="22"/>
          <w:u w:color="0000FF"/>
          <w:lang w:val="en-GB" w:eastAsia="en-US"/>
          <w14:ligatures w14:val="standardContextual"/>
        </w:rPr>
        <w:t xml:space="preserve"> Donation and transplantation activities should provide benefit and minimise burden and risk of harm: where burdens or risks are unavoidable, they should be proportionate to the benefits that are anticipated. </w:t>
      </w:r>
    </w:p>
    <w:p w14:paraId="7241A95A" w14:textId="77777777" w:rsidR="00CC1107" w:rsidRPr="00CC1107" w:rsidRDefault="00CC1107" w:rsidP="00CC1107">
      <w:pPr>
        <w:numPr>
          <w:ilvl w:val="0"/>
          <w:numId w:val="140"/>
        </w:numPr>
        <w:spacing w:after="80"/>
        <w:contextualSpacing/>
        <w:rPr>
          <w:rFonts w:ascii="Calibri" w:eastAsiaTheme="minorHAnsi" w:hAnsi="Calibri" w:cs="Calibri"/>
          <w:color w:val="000000" w:themeColor="text1"/>
          <w:kern w:val="2"/>
          <w:sz w:val="22"/>
          <w:szCs w:val="22"/>
          <w:lang w:eastAsia="en-US"/>
          <w14:ligatures w14:val="standardContextual"/>
        </w:rPr>
      </w:pPr>
      <w:r w:rsidRPr="00CC1107">
        <w:rPr>
          <w:rFonts w:ascii="Calibri" w:eastAsiaTheme="minorHAnsi" w:hAnsi="Calibri" w:cs="Calibri"/>
          <w:color w:val="000000" w:themeColor="text1"/>
          <w:kern w:val="2"/>
          <w:sz w:val="22"/>
          <w:szCs w:val="22"/>
          <w:lang w:eastAsia="en-US"/>
          <w14:ligatures w14:val="standardContextual"/>
        </w:rPr>
        <w:t>The transplant candidate and their health professional team need to weigh up the potential benefits and risks of accepting an organ offer against the benefits and risk of waiting for another offer. In the case of highly sensitized patients, with a lower chance of receiving offers, the risk of missing an opportunity for transplantation if they decline an offer is especially significant.</w:t>
      </w:r>
    </w:p>
    <w:p w14:paraId="5C0AE8F1" w14:textId="77777777" w:rsidR="00CC1107" w:rsidRPr="00CC1107" w:rsidRDefault="00CC1107" w:rsidP="00CC1107">
      <w:pPr>
        <w:numPr>
          <w:ilvl w:val="0"/>
          <w:numId w:val="140"/>
        </w:numPr>
        <w:spacing w:after="80"/>
        <w:contextualSpacing/>
        <w:rPr>
          <w:rFonts w:ascii="Calibri" w:eastAsiaTheme="minorHAnsi" w:hAnsi="Calibri" w:cs="Calibri"/>
          <w:color w:val="000000" w:themeColor="text1"/>
          <w:kern w:val="2"/>
          <w:sz w:val="22"/>
          <w:szCs w:val="22"/>
          <w:lang w:eastAsia="en-US"/>
          <w14:ligatures w14:val="standardContextual"/>
        </w:rPr>
      </w:pPr>
      <w:r w:rsidRPr="00CC1107">
        <w:rPr>
          <w:rFonts w:ascii="Calibri" w:eastAsiaTheme="minorHAnsi" w:hAnsi="Calibri" w:cs="Calibri"/>
          <w:color w:val="000000" w:themeColor="text1"/>
          <w:kern w:val="2"/>
          <w:sz w:val="22"/>
          <w:szCs w:val="22"/>
          <w:lang w:eastAsia="en-US"/>
          <w14:ligatures w14:val="standardContextual"/>
        </w:rPr>
        <w:t xml:space="preserve">It is important that Marwan be involved in this decision as his personal perspective is essential for evaluating the options. It is also vital that his decisions be as informed as possible. For example, it may be helpful for Marwan to receive more specific information about the concerns expressed regarding the quality of the offered kidney and the implications of this for his own long-term outcomes if the offer is accepted. </w:t>
      </w:r>
    </w:p>
    <w:p w14:paraId="29973A26" w14:textId="77777777" w:rsidR="00CC1107" w:rsidRPr="00CC1107" w:rsidRDefault="00CC1107" w:rsidP="00CC1107">
      <w:pPr>
        <w:numPr>
          <w:ilvl w:val="0"/>
          <w:numId w:val="140"/>
        </w:numPr>
        <w:spacing w:after="80"/>
        <w:contextualSpacing/>
        <w:rPr>
          <w:rFonts w:ascii="Calibri" w:eastAsiaTheme="minorHAnsi" w:hAnsi="Calibri" w:cs="Calibri"/>
          <w:color w:val="000000" w:themeColor="text1"/>
          <w:kern w:val="2"/>
          <w:sz w:val="22"/>
          <w:szCs w:val="22"/>
          <w:lang w:eastAsia="en-US"/>
          <w14:ligatures w14:val="standardContextual"/>
        </w:rPr>
      </w:pPr>
      <w:r w:rsidRPr="00CC1107">
        <w:rPr>
          <w:rFonts w:ascii="Calibri" w:eastAsiaTheme="minorHAnsi" w:hAnsi="Calibri" w:cs="Calibri"/>
          <w:color w:val="000000" w:themeColor="text1"/>
          <w:kern w:val="2"/>
          <w:sz w:val="22"/>
          <w:szCs w:val="22"/>
          <w:lang w:eastAsia="en-US"/>
          <w14:ligatures w14:val="standardContextual"/>
        </w:rPr>
        <w:t>It would also be important for Dr C to hear Marwan’s perspectives regarding his current situation. For example, although Marwan may be “doing well” from a clinical perspective while on dialysis, he may be finding dialysis socially burdensome or psychologically difficult.</w:t>
      </w:r>
    </w:p>
    <w:p w14:paraId="299E7A0E" w14:textId="77777777" w:rsidR="00CC1107" w:rsidRPr="00CC1107" w:rsidRDefault="00CC1107" w:rsidP="00CC1107">
      <w:pPr>
        <w:numPr>
          <w:ilvl w:val="0"/>
          <w:numId w:val="140"/>
        </w:numPr>
        <w:spacing w:after="80"/>
        <w:contextualSpacing/>
        <w:rPr>
          <w:rFonts w:ascii="Calibri" w:eastAsiaTheme="minorHAnsi" w:hAnsi="Calibri" w:cs="Calibri"/>
          <w:color w:val="000000" w:themeColor="text1"/>
          <w:kern w:val="2"/>
          <w:sz w:val="22"/>
          <w:szCs w:val="22"/>
          <w:lang w:eastAsia="en-US"/>
          <w14:ligatures w14:val="standardContextual"/>
        </w:rPr>
      </w:pPr>
      <w:r w:rsidRPr="00CC1107">
        <w:rPr>
          <w:rFonts w:ascii="Calibri" w:eastAsiaTheme="minorHAnsi" w:hAnsi="Calibri" w:cs="Calibri"/>
          <w:color w:val="000000" w:themeColor="text1"/>
          <w:kern w:val="2"/>
          <w:sz w:val="22"/>
          <w:szCs w:val="22"/>
          <w:lang w:eastAsia="en-US"/>
          <w14:ligatures w14:val="standardContextual"/>
        </w:rPr>
        <w:t xml:space="preserve">Considering the evidence available when estimating potential outcomes of specific treatment options will help to ensure Marwan’s decision is informed. For example, although Marwan may be coping well with dialysis, there may be risks associated with prolonged time on dialysis that need to be weighed against the potential benefits of waiting and (possibly) receiving another kidney of greater quality. Similarly, although there may be a risk of Marwan become more sensitized if he accepts the organ offered, this may be less of a concern in his case given his age. If he were aged in his 30s, then it would be more likely that he would need a second transplant during his lifetime so the impact of further sensitization might be greater. </w:t>
      </w:r>
    </w:p>
    <w:p w14:paraId="3FBD320B" w14:textId="2756AEBE" w:rsidR="00CC1107" w:rsidRPr="00CC1107" w:rsidRDefault="00CC1107" w:rsidP="00CC1107">
      <w:pPr>
        <w:numPr>
          <w:ilvl w:val="0"/>
          <w:numId w:val="140"/>
        </w:numPr>
        <w:spacing w:after="80"/>
        <w:contextualSpacing/>
        <w:rPr>
          <w:rFonts w:ascii="Calibri" w:eastAsiaTheme="minorHAnsi" w:hAnsi="Calibri" w:cs="Calibri"/>
          <w:szCs w:val="22"/>
          <w:u w:color="0000FF"/>
          <w:lang w:val="en-GB" w:eastAsia="en-US"/>
          <w14:ligatures w14:val="standardContextual"/>
        </w:rPr>
      </w:pPr>
      <w:r w:rsidRPr="00CC1107">
        <w:rPr>
          <w:rFonts w:ascii="Calibri" w:eastAsiaTheme="minorHAnsi" w:hAnsi="Calibri" w:cs="Calibri"/>
          <w:color w:val="000000" w:themeColor="text1"/>
          <w:kern w:val="2"/>
          <w:sz w:val="22"/>
          <w:szCs w:val="22"/>
          <w:lang w:eastAsia="en-US"/>
          <w14:ligatures w14:val="standardContextual"/>
        </w:rPr>
        <w:t xml:space="preserve">It may be helpful for Dr C to involve a colleague in decision-making, to help promote objectivity in decision-making. It is possible that personal biases or assumptions may unduly influence Dr C’s assessment of the risks and potential benefits of the offer. For example, Dr C may be feeling unduly optimistic that Marwan will receive another </w:t>
      </w:r>
      <w:r w:rsidR="00382CEE" w:rsidRPr="00CC1107">
        <w:rPr>
          <w:rFonts w:ascii="Calibri" w:eastAsiaTheme="minorHAnsi" w:hAnsi="Calibri" w:cs="Calibri"/>
          <w:color w:val="000000" w:themeColor="text1"/>
          <w:kern w:val="2"/>
          <w:sz w:val="22"/>
          <w:szCs w:val="22"/>
          <w:lang w:eastAsia="en-US"/>
          <w14:ligatures w14:val="standardContextual"/>
        </w:rPr>
        <w:t>offer or</w:t>
      </w:r>
      <w:r w:rsidRPr="00CC1107">
        <w:rPr>
          <w:rFonts w:ascii="Calibri" w:eastAsiaTheme="minorHAnsi" w:hAnsi="Calibri" w:cs="Calibri"/>
          <w:color w:val="000000" w:themeColor="text1"/>
          <w:kern w:val="2"/>
          <w:sz w:val="22"/>
          <w:szCs w:val="22"/>
          <w:lang w:eastAsia="en-US"/>
          <w14:ligatures w14:val="standardContextual"/>
        </w:rPr>
        <w:t xml:space="preserve"> might be unduly concerned about the impact of a poor outcome on his transplant unit’s performance record. </w:t>
      </w:r>
    </w:p>
    <w:p w14:paraId="5835AA5C" w14:textId="1BC3B644" w:rsidR="00CC1107" w:rsidRPr="00CC1107" w:rsidRDefault="00CC1107" w:rsidP="00CC1107">
      <w:pPr>
        <w:numPr>
          <w:ilvl w:val="0"/>
          <w:numId w:val="140"/>
        </w:numPr>
        <w:spacing w:after="80"/>
        <w:contextualSpacing/>
        <w:rPr>
          <w:rFonts w:ascii="Calibri" w:eastAsiaTheme="minorHAnsi" w:hAnsi="Calibri" w:cs="Calibri"/>
          <w:szCs w:val="22"/>
          <w:u w:color="0000FF"/>
          <w:lang w:val="en-GB" w:eastAsia="en-US"/>
          <w14:ligatures w14:val="standardContextual"/>
        </w:rPr>
      </w:pPr>
      <w:r w:rsidRPr="00CC1107">
        <w:rPr>
          <w:rFonts w:ascii="Calibri" w:eastAsiaTheme="minorHAnsi" w:hAnsi="Calibri" w:cs="Calibri"/>
          <w:color w:val="000000" w:themeColor="text1"/>
          <w:kern w:val="2"/>
          <w:sz w:val="22"/>
          <w:szCs w:val="22"/>
          <w:lang w:eastAsia="en-US"/>
          <w14:ligatures w14:val="standardContextual"/>
        </w:rPr>
        <w:t xml:space="preserve">Planning ahead for complex transplant decision-making like this helps to make decision-making easier when an offer is available (see </w:t>
      </w:r>
      <w:hyperlink w:anchor="_Planning_for_transplant" w:history="1">
        <w:r w:rsidR="00C816AE">
          <w:rPr>
            <w:rFonts w:ascii="Calibri" w:eastAsiaTheme="minorHAnsi" w:hAnsi="Calibri" w:cs="Calibri"/>
            <w:color w:val="0563C1" w:themeColor="hyperlink"/>
            <w:kern w:val="2"/>
            <w:sz w:val="22"/>
            <w:szCs w:val="22"/>
            <w:u w:val="single"/>
            <w:lang w:eastAsia="en-US"/>
            <w14:ligatures w14:val="standardContextual"/>
          </w:rPr>
          <w:t>Chapter</w:t>
        </w:r>
        <w:r w:rsidR="00C816AE" w:rsidRPr="00CC1107">
          <w:rPr>
            <w:rFonts w:ascii="Calibri" w:eastAsiaTheme="minorHAnsi" w:hAnsi="Calibri" w:cs="Calibri"/>
            <w:color w:val="0563C1" w:themeColor="hyperlink"/>
            <w:kern w:val="2"/>
            <w:sz w:val="22"/>
            <w:szCs w:val="22"/>
            <w:u w:val="single"/>
            <w:lang w:eastAsia="en-US"/>
            <w14:ligatures w14:val="standardContextual"/>
          </w:rPr>
          <w:t xml:space="preserve"> 6.6.2</w:t>
        </w:r>
      </w:hyperlink>
      <w:r w:rsidRPr="00CC1107">
        <w:rPr>
          <w:rFonts w:ascii="Calibri" w:eastAsiaTheme="minorHAnsi" w:hAnsi="Calibri" w:cs="Calibri"/>
          <w:color w:val="000000" w:themeColor="text1"/>
          <w:kern w:val="2"/>
          <w:sz w:val="22"/>
          <w:szCs w:val="22"/>
          <w:lang w:eastAsia="en-US"/>
          <w14:ligatures w14:val="standardContextual"/>
        </w:rPr>
        <w:t xml:space="preserve">). For example, if Marwan has already had a discussion with Dr C about the pros and cons of a transplant involving ECD kidney, it may be easier for him to process the specific information relevant to this offer and make a timely decision. </w:t>
      </w:r>
    </w:p>
    <w:p w14:paraId="1DD56783" w14:textId="77777777" w:rsidR="00CC1107" w:rsidRPr="00CC1107" w:rsidRDefault="00CC1107" w:rsidP="00CC1107">
      <w:pPr>
        <w:rPr>
          <w:rFonts w:asciiTheme="minorHAnsi" w:eastAsiaTheme="minorHAnsi" w:hAnsiTheme="minorHAnsi" w:cstheme="minorBidi"/>
          <w:kern w:val="2"/>
          <w:lang w:eastAsia="en-US"/>
          <w14:ligatures w14:val="standardContextual"/>
        </w:rPr>
      </w:pPr>
    </w:p>
    <w:p w14:paraId="0206C651" w14:textId="0EAECF48" w:rsidR="006329CB" w:rsidRDefault="006329CB" w:rsidP="00EA22AE">
      <w:pPr>
        <w:spacing w:after="120"/>
        <w:rPr>
          <w:rFonts w:ascii="Calibri" w:hAnsi="Calibri" w:cs="Calibri"/>
          <w:color w:val="000000" w:themeColor="text1"/>
          <w:sz w:val="22"/>
          <w:szCs w:val="22"/>
        </w:rPr>
      </w:pPr>
    </w:p>
    <w:p w14:paraId="0DC1A123" w14:textId="77777777" w:rsidR="00E93EFC" w:rsidRDefault="00E93EFC" w:rsidP="00EA22AE">
      <w:pPr>
        <w:spacing w:after="120"/>
        <w:rPr>
          <w:rFonts w:ascii="Calibri" w:hAnsi="Calibri" w:cs="Calibri"/>
          <w:color w:val="000000" w:themeColor="text1"/>
          <w:sz w:val="22"/>
          <w:szCs w:val="22"/>
        </w:rPr>
      </w:pPr>
    </w:p>
    <w:p w14:paraId="794169CA" w14:textId="77777777" w:rsidR="00E93EFC" w:rsidRDefault="00E93EFC" w:rsidP="00EA22AE">
      <w:pPr>
        <w:spacing w:after="120"/>
        <w:rPr>
          <w:rFonts w:ascii="Calibri" w:hAnsi="Calibri" w:cs="Calibri"/>
          <w:color w:val="000000" w:themeColor="text1"/>
          <w:sz w:val="22"/>
          <w:szCs w:val="22"/>
        </w:rPr>
      </w:pPr>
    </w:p>
    <w:p w14:paraId="3C476AD3" w14:textId="44127FBD" w:rsidR="00E93EFC" w:rsidRDefault="00E93EFC" w:rsidP="00EA22AE">
      <w:pPr>
        <w:spacing w:after="120"/>
        <w:rPr>
          <w:rFonts w:ascii="Calibri" w:hAnsi="Calibri" w:cs="Calibri"/>
          <w:color w:val="000000" w:themeColor="text1"/>
          <w:sz w:val="22"/>
          <w:szCs w:val="22"/>
        </w:rPr>
      </w:pPr>
    </w:p>
    <w:p w14:paraId="149BA64F" w14:textId="77777777" w:rsidR="006C6EBA" w:rsidRPr="006720E4" w:rsidRDefault="006C6EBA" w:rsidP="00EA22AE">
      <w:pPr>
        <w:pStyle w:val="Heading3"/>
        <w:spacing w:after="120"/>
      </w:pPr>
      <w:bookmarkStart w:id="2737" w:name="_Planning_for_complex"/>
      <w:bookmarkStart w:id="2738" w:name="_Toc79406398"/>
      <w:bookmarkStart w:id="2739" w:name="_Toc82773612"/>
      <w:bookmarkStart w:id="2740" w:name="_Toc82773965"/>
      <w:bookmarkEnd w:id="2737"/>
      <w:r w:rsidRPr="006720E4">
        <w:lastRenderedPageBreak/>
        <w:t>Planning for complex transplant decision-making</w:t>
      </w:r>
      <w:bookmarkEnd w:id="2738"/>
      <w:bookmarkEnd w:id="2739"/>
      <w:bookmarkEnd w:id="2740"/>
    </w:p>
    <w:p w14:paraId="3247E0A5" w14:textId="4126382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Decision-making in the context of uncertainty regarding deceased donor organ offers requires careful planning and investment of time - and resources where necessary - to support shared decision-making that is centred on the values and preferences of the prospective transplant recipient. Use of a multi-step approach to consent for transplantation may help to prepare transplant candidates for decision-making about transplant opportunities when these arise and ensure more time is allowed for reflection on preferences and decisions. </w:t>
      </w:r>
    </w:p>
    <w:p w14:paraId="0A81D969" w14:textId="0FB857F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is particularly important for prospective organ transplant recipients who may need to make a decision about acceptance of a non-standard risk donor organ within a limited time period. It is also essential as transplant professionals may be required to make a decision about acceptance of an organ offer on behalf of the prospective transplant </w:t>
      </w:r>
      <w:r w:rsidRPr="002B5DD4">
        <w:rPr>
          <w:rFonts w:ascii="Calibri" w:hAnsi="Calibri" w:cs="Calibri"/>
          <w:sz w:val="22"/>
          <w:szCs w:val="22"/>
        </w:rPr>
        <w:t xml:space="preserve">recipient (see </w:t>
      </w:r>
      <w:hyperlink w:anchor="_Disclosure__and" w:history="1">
        <w:r w:rsidR="003F7DBB">
          <w:rPr>
            <w:rStyle w:val="Hyperlink"/>
            <w:rFonts w:ascii="Calibri" w:hAnsi="Calibri" w:cs="Calibri"/>
            <w:sz w:val="22"/>
            <w:szCs w:val="22"/>
          </w:rPr>
          <w:t>Chapter</w:t>
        </w:r>
        <w:r w:rsidRPr="002B5DD4">
          <w:rPr>
            <w:rStyle w:val="Hyperlink"/>
            <w:rFonts w:ascii="Calibri" w:hAnsi="Calibri" w:cs="Calibri"/>
            <w:sz w:val="22"/>
            <w:szCs w:val="22"/>
          </w:rPr>
          <w:t xml:space="preserve"> </w:t>
        </w:r>
        <w:r w:rsidR="002B5DD4" w:rsidRPr="002B5DD4">
          <w:rPr>
            <w:rStyle w:val="Hyperlink"/>
            <w:rFonts w:ascii="Calibri" w:hAnsi="Calibri" w:cs="Calibri"/>
            <w:sz w:val="22"/>
            <w:szCs w:val="22"/>
          </w:rPr>
          <w:t>6</w:t>
        </w:r>
        <w:r w:rsidRPr="002B5DD4">
          <w:rPr>
            <w:rStyle w:val="Hyperlink"/>
            <w:rFonts w:ascii="Calibri" w:hAnsi="Calibri" w:cs="Calibri"/>
            <w:sz w:val="22"/>
            <w:szCs w:val="22"/>
          </w:rPr>
          <w:t>.6.1</w:t>
        </w:r>
      </w:hyperlink>
      <w:r w:rsidRPr="002B5DD4">
        <w:rPr>
          <w:rFonts w:ascii="Calibri" w:hAnsi="Calibri" w:cs="Calibri"/>
          <w:sz w:val="22"/>
          <w:szCs w:val="22"/>
        </w:rPr>
        <w:t>), so they</w:t>
      </w:r>
      <w:r w:rsidRPr="006720E4">
        <w:rPr>
          <w:rFonts w:ascii="Calibri" w:hAnsi="Calibri" w:cs="Calibri"/>
          <w:sz w:val="22"/>
          <w:szCs w:val="22"/>
        </w:rPr>
        <w:t xml:space="preserve"> will need to be familiar with the individual’s current values and preferences. </w:t>
      </w:r>
    </w:p>
    <w:p w14:paraId="327E3EDA" w14:textId="66AD8F0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multi-step approach might involve informing the transplant candidate at the time of being wait-listed about the possibility of receiving an offer of a non-standard risk donor organ. At that time, without a specific offer, the candidate has the opportunity to reflect carefully on the potential benefits and risks of accepting an offer. The possibility is revisited at a later time point to ensure the information is not forgotten and to encourage further reflection. When an eventual organ offer is made the candidate will be asked to make a decision based on the specific information about the offer and their own clinical status at the current time.</w:t>
      </w:r>
    </w:p>
    <w:p w14:paraId="303E036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Health professionals who may be responsible for making a decision about acceptance of a deceased donor organ on behalf of a patient should also ensure that the individual’s personal goals, tolerance for risks, and understanding of potential options for treatment and the likelihood of receiving future </w:t>
      </w:r>
      <w:r w:rsidRPr="00D55DE3">
        <w:rPr>
          <w:rFonts w:ascii="Calibri" w:hAnsi="Calibri" w:cs="Calibri"/>
          <w:sz w:val="22"/>
          <w:szCs w:val="22"/>
        </w:rPr>
        <w:t>transplant</w:t>
      </w:r>
      <w:r w:rsidRPr="006720E4">
        <w:rPr>
          <w:rFonts w:ascii="Calibri" w:hAnsi="Calibri" w:cs="Calibri"/>
          <w:sz w:val="22"/>
          <w:szCs w:val="22"/>
        </w:rPr>
        <w:t xml:space="preserve"> offers are regularly revisited in discussions aimed at eliciting or reaffirming the potential recipient’s current values and preferences.</w:t>
      </w:r>
    </w:p>
    <w:p w14:paraId="5614F722" w14:textId="2B552882" w:rsidR="006C6EBA" w:rsidRPr="006720E4" w:rsidRDefault="006C6EBA" w:rsidP="00EA22AE">
      <w:pPr>
        <w:pStyle w:val="Heading3"/>
        <w:spacing w:after="120"/>
      </w:pPr>
      <w:bookmarkStart w:id="2741" w:name="_Use_of_decision-making"/>
      <w:bookmarkStart w:id="2742" w:name="_Toc79406399"/>
      <w:bookmarkStart w:id="2743" w:name="_Toc82773613"/>
      <w:bookmarkStart w:id="2744" w:name="_Toc82773966"/>
      <w:bookmarkEnd w:id="2741"/>
      <w:r w:rsidRPr="006720E4">
        <w:t>Use of decision-making aids</w:t>
      </w:r>
      <w:bookmarkEnd w:id="2742"/>
      <w:bookmarkEnd w:id="2743"/>
      <w:bookmarkEnd w:id="2744"/>
    </w:p>
    <w:p w14:paraId="20D3585A" w14:textId="4F815082" w:rsidR="00863834" w:rsidRPr="00863834" w:rsidRDefault="006C6EBA" w:rsidP="00EA22AE">
      <w:pPr>
        <w:spacing w:after="120"/>
        <w:rPr>
          <w:rFonts w:ascii="Calibri" w:hAnsi="Calibri" w:cs="Calibri"/>
          <w:sz w:val="22"/>
          <w:szCs w:val="22"/>
        </w:rPr>
      </w:pPr>
      <w:r w:rsidRPr="006720E4">
        <w:rPr>
          <w:rFonts w:ascii="Calibri" w:hAnsi="Calibri" w:cs="Calibri"/>
          <w:sz w:val="22"/>
          <w:szCs w:val="22"/>
        </w:rPr>
        <w:t>Use of decision-making aids including clinical guidelines, recent research of relevance, and tools that may be specifically designed for the purpose of facilitating decision-making in specific situations may be helpful. For example, an American tool has been designed to help people rapidly estimate the probability of particular outcomes (functioning graft and patient survival) when making a decision about an offer of a donor kidney.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{"citationItems":[{"id":"ITEM-1","itemData":{"DOI":"10.1111/ajt.14506","ISSN":"16006143","PMID":"28925596","abstract":"We developed a kidney offer acceptance decision tool to predict the probability of graft survival and patient survival for first-time kidney-alone candidates after an offer is accepted or declined, and we characterized the effect of restricting the donor pool with a maximum acceptable kidney donor profile index (KDPI). For accepted offers, Cox proportional hazards models estimated these probabilities using transplanted kidneys. For declined offers, these probabilities were estimated by considering the experience of similar candidates who declined offers and the probability that declining would lead to these outcomes. We randomly selected 5000 declined offers and estimated these probabilities 3 years post-offer had the offers been accepted or declined. Predicted outcomes for declined offers were well calibrated (&lt;3% error) with good predictive accuracy (area under the curve: graft survival, 0.69; patient survival, 0.69). Had the offers been accepted, the probabilities of graft survival and patient survival were typically higher. However, these advantages attenuated or disappeared with higher KDPI, candidate priority, and local donor supply. Donor pool restrictions were associated with worse 3-year outcomes, especially for candidates with high allocation priority. The kidney offer acceptance decision tool could inform offer acceptance by characterizing the potential risk–benefit trade-off associated with accepting or declining an offer.","author":[{"dropping-particle":"","family":"Wey","given":"Andrew","non-dropping-particle":"","parse-names":false,"suffix":""},{"dropping-particle":"","family":"Salkowski","given":"Nicholas","non-dropping-particle":"","parse-names":false,"suffix":""},{"dropping-particle":"","family":"Kremers","given":"Walter K.","non-dropping-particle":"","parse-names":false,"suffix":""},{"dropping-particle":"","family":"Schaffhausen","given":"Cory R.","non-dropping-particle":"","parse-names":false,"suffix":""},{"dropping-particle":"","family":"Kasiske","given":"Bertram L.","non-dropping-particle":"","parse-names":false,"suffix":""},{"dropping-particle":"","family":"Israni","given":"Ajay K.","non-dropping-particle":"","parse-names":false,"suffix":""},{"dropping-particle":"","family":"Snyder","given":"Jon J.","non-dropping-particle":"","parse-names":false,"suffix":""}],"container-title":"American Journal of Transplantation","id":"ITEM-1","issue":"4","issued":{"date-parts":[["2018"]]},"page":"897-906","title":"A kidney offer acceptance decision tool to inform the decision to accept an offer or wait for a better kidney","type":"article-journal","volume":"18"},"uris":["http://www.mendeley.com/documents/?uuid=17674b5e-f57d-4ccc-b678-9ab449cdfbdd"]}],"mendeley":{"formattedCitation":"(100)","plainTextFormattedCitation":"(100)","previouslyFormattedCitation":"(100)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(100)</w:t>
      </w:r>
      <w:r w:rsidRPr="006720E4">
        <w:rPr>
          <w:rFonts w:ascii="Calibri" w:hAnsi="Calibri" w:cs="Calibri"/>
          <w:sz w:val="22"/>
          <w:szCs w:val="22"/>
        </w:rPr>
        <w:fldChar w:fldCharType="end"/>
      </w:r>
      <w:r w:rsidRPr="006720E4">
        <w:rPr>
          <w:rFonts w:ascii="Calibri" w:hAnsi="Calibri" w:cs="Calibri"/>
          <w:sz w:val="22"/>
          <w:szCs w:val="22"/>
        </w:rPr>
        <w:t xml:space="preserve"> The decision will ultimately depend however on the values and preferences and specific clinical situation of the individual transplant candidate, so tools such as this should be used to support decision-making rather than to determine which offers should be accepted.</w:t>
      </w:r>
      <w:r w:rsidR="00E31FF3">
        <w:rPr>
          <w:rFonts w:ascii="Calibri" w:hAnsi="Calibri" w:cs="Calibri"/>
          <w:sz w:val="22"/>
          <w:szCs w:val="22"/>
        </w:rPr>
        <w:t xml:space="preserve"> </w:t>
      </w:r>
      <w:r w:rsidR="00F345EA">
        <w:rPr>
          <w:rFonts w:ascii="Calibri" w:hAnsi="Calibri" w:cs="Calibri"/>
          <w:sz w:val="22"/>
          <w:szCs w:val="22"/>
        </w:rPr>
        <w:t>Local tools are being developed.</w:t>
      </w:r>
    </w:p>
    <w:p w14:paraId="550749B0" w14:textId="1D7EB430" w:rsidR="00014DBB" w:rsidRPr="005D3090" w:rsidRDefault="00CD249E" w:rsidP="00EA22AE">
      <w:pPr>
        <w:spacing w:after="120"/>
        <w:rPr>
          <w:rFonts w:cs="Calibri"/>
          <w:szCs w:val="22"/>
        </w:rPr>
      </w:pPr>
      <w:r>
        <w:rPr>
          <w:noProof/>
        </w:rPr>
        <w:lastRenderedPageBreak/>
        <mc:AlternateContent>
          <mc:Choice Requires="wps">
            <w:drawing>
              <wp:anchor distT="0" distB="0" distL="114300" distR="114300" simplePos="0" relativeHeight="251658243" behindDoc="0" locked="0" layoutInCell="1" allowOverlap="1" wp14:anchorId="41C28BB3" wp14:editId="2DBC861D">
                <wp:simplePos x="0" y="0"/>
                <wp:positionH relativeFrom="column">
                  <wp:posOffset>0</wp:posOffset>
                </wp:positionH>
                <wp:positionV relativeFrom="paragraph">
                  <wp:posOffset>0</wp:posOffset>
                </wp:positionV>
                <wp:extent cx="1828800" cy="1828800"/>
                <wp:effectExtent l="12700" t="12700" r="19050" b="6985"/>
                <wp:wrapSquare wrapText="bothSides"/>
                <wp:docPr id="1440758506" name="Text Box 1440758506" descr="P1792TB4#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0A9A8F1B" w14:textId="42F40279" w:rsidR="00CD249E" w:rsidRPr="00CD249E" w:rsidRDefault="00CD249E" w:rsidP="00271073">
                            <w:pPr>
                              <w:spacing w:after="80"/>
                              <w:rPr>
                                <w:rFonts w:ascii="Calibri" w:hAnsi="Calibri" w:cs="Calibri"/>
                                <w:b/>
                                <w:bCs/>
                                <w:sz w:val="22"/>
                                <w:szCs w:val="22"/>
                              </w:rPr>
                            </w:pPr>
                            <w:r w:rsidRPr="00CD249E">
                              <w:rPr>
                                <w:rFonts w:ascii="Calibri" w:hAnsi="Calibri" w:cs="Calibri"/>
                                <w:b/>
                                <w:bCs/>
                                <w:sz w:val="22"/>
                                <w:szCs w:val="22"/>
                              </w:rPr>
                              <w:t>Box 6.</w:t>
                            </w:r>
                            <w:r w:rsidR="005D3090">
                              <w:rPr>
                                <w:rFonts w:ascii="Calibri" w:hAnsi="Calibri" w:cs="Calibri"/>
                                <w:b/>
                                <w:bCs/>
                                <w:sz w:val="22"/>
                                <w:szCs w:val="22"/>
                              </w:rPr>
                              <w:t>2</w:t>
                            </w:r>
                            <w:r w:rsidRPr="00CD249E">
                              <w:rPr>
                                <w:rFonts w:ascii="Calibri" w:hAnsi="Calibri" w:cs="Calibri"/>
                                <w:b/>
                                <w:bCs/>
                                <w:sz w:val="22"/>
                                <w:szCs w:val="22"/>
                              </w:rPr>
                              <w:t xml:space="preserve"> Decision-making about deceased donor organ transplant offers - summary recommendations </w:t>
                            </w:r>
                          </w:p>
                          <w:p w14:paraId="6670A518" w14:textId="77777777" w:rsidR="00CD249E" w:rsidRPr="00CD249E" w:rsidRDefault="00CD249E" w:rsidP="00C3783C">
                            <w:pPr>
                              <w:pStyle w:val="ListParagraph"/>
                              <w:numPr>
                                <w:ilvl w:val="0"/>
                                <w:numId w:val="111"/>
                              </w:numPr>
                              <w:spacing w:after="80"/>
                              <w:rPr>
                                <w:rFonts w:cs="Calibri"/>
                                <w:szCs w:val="22"/>
                              </w:rPr>
                            </w:pPr>
                            <w:r w:rsidRPr="00CD249E">
                              <w:rPr>
                                <w:rFonts w:cs="Calibri"/>
                                <w:szCs w:val="22"/>
                              </w:rPr>
                              <w:t>The complexities of decision-making about deceased donor organ transplant offers should be carefully addressed to avoid bias in decision-making, equity of opportunity for transplantation and to promote autonomy of decision-making in prospective transplant recipients.</w:t>
                            </w:r>
                          </w:p>
                          <w:p w14:paraId="0A7A82F5" w14:textId="77777777" w:rsidR="00CD249E" w:rsidRPr="00CD249E" w:rsidRDefault="00CD249E" w:rsidP="00C3783C">
                            <w:pPr>
                              <w:pStyle w:val="ListParagraph"/>
                              <w:numPr>
                                <w:ilvl w:val="1"/>
                                <w:numId w:val="111"/>
                              </w:numPr>
                              <w:spacing w:after="80"/>
                              <w:contextualSpacing w:val="0"/>
                              <w:rPr>
                                <w:rFonts w:cs="Calibri"/>
                                <w:szCs w:val="22"/>
                              </w:rPr>
                            </w:pPr>
                            <w:r w:rsidRPr="00CD249E">
                              <w:rPr>
                                <w:rFonts w:cs="Calibri"/>
                                <w:szCs w:val="22"/>
                              </w:rPr>
                              <w:t>When a potential transplant recipient is wait listed for a deceased donor organ transplant, a multistep process for consent with regards to the consideration of offers of non-standard risk donor organs should be implemented where possible and appropriate.</w:t>
                            </w:r>
                          </w:p>
                          <w:p w14:paraId="18FEA070" w14:textId="3358BA8D" w:rsidR="00CD249E" w:rsidRPr="00CD249E" w:rsidRDefault="00CD249E" w:rsidP="00C3783C">
                            <w:pPr>
                              <w:pStyle w:val="ListParagraph"/>
                              <w:numPr>
                                <w:ilvl w:val="1"/>
                                <w:numId w:val="111"/>
                              </w:numPr>
                              <w:spacing w:after="80"/>
                              <w:contextualSpacing w:val="0"/>
                              <w:rPr>
                                <w:rFonts w:cs="Calibri"/>
                                <w:szCs w:val="22"/>
                              </w:rPr>
                            </w:pPr>
                            <w:r>
                              <w:rPr>
                                <w:rFonts w:cs="Calibri"/>
                                <w:szCs w:val="22"/>
                              </w:rPr>
                              <w:t>Shared</w:t>
                            </w:r>
                            <w:r w:rsidRPr="00CD249E">
                              <w:rPr>
                                <w:rFonts w:cs="Calibri"/>
                                <w:szCs w:val="22"/>
                              </w:rPr>
                              <w:t xml:space="preserve"> decision-making with prospective transplant recipients </w:t>
                            </w:r>
                            <w:r>
                              <w:rPr>
                                <w:rFonts w:cs="Calibri"/>
                                <w:szCs w:val="22"/>
                              </w:rPr>
                              <w:t xml:space="preserve">should </w:t>
                            </w:r>
                            <w:r w:rsidRPr="00CD249E">
                              <w:rPr>
                                <w:rFonts w:cs="Calibri"/>
                                <w:szCs w:val="22"/>
                              </w:rPr>
                              <w:t xml:space="preserve">aim </w:t>
                            </w:r>
                            <w:r>
                              <w:rPr>
                                <w:rFonts w:cs="Calibri"/>
                                <w:szCs w:val="22"/>
                              </w:rPr>
                              <w:t>to</w:t>
                            </w:r>
                            <w:r w:rsidRPr="00CD249E">
                              <w:rPr>
                                <w:rFonts w:cs="Calibri"/>
                                <w:szCs w:val="22"/>
                              </w:rPr>
                              <w:t xml:space="preserve"> elicit their informed values and preferences with regards to potential </w:t>
                            </w:r>
                            <w:r>
                              <w:rPr>
                                <w:rFonts w:cs="Calibri"/>
                                <w:szCs w:val="22"/>
                              </w:rPr>
                              <w:t>organ</w:t>
                            </w:r>
                            <w:r w:rsidRPr="00CD249E">
                              <w:rPr>
                                <w:rFonts w:cs="Calibri"/>
                                <w:szCs w:val="22"/>
                              </w:rPr>
                              <w:t xml:space="preserve"> offers.</w:t>
                            </w:r>
                          </w:p>
                          <w:p w14:paraId="7B5D9B56" w14:textId="77777777" w:rsidR="00CD249E" w:rsidRPr="00CD249E" w:rsidRDefault="00CD249E" w:rsidP="00C3783C">
                            <w:pPr>
                              <w:pStyle w:val="ListParagraph"/>
                              <w:numPr>
                                <w:ilvl w:val="1"/>
                                <w:numId w:val="111"/>
                              </w:numPr>
                              <w:spacing w:after="80"/>
                              <w:contextualSpacing w:val="0"/>
                              <w:rPr>
                                <w:rFonts w:cs="Calibri"/>
                                <w:szCs w:val="22"/>
                              </w:rPr>
                            </w:pPr>
                            <w:r w:rsidRPr="00CD249E">
                              <w:rPr>
                                <w:rFonts w:cs="Calibri"/>
                                <w:szCs w:val="22"/>
                              </w:rPr>
                              <w:t>Any potential conflicts of interest or sources of bias that may influence transplant professionals’ recommendations regarding acceptance of potential transplant offers should routinely be disclosed to potential transplant recipients.</w:t>
                            </w:r>
                          </w:p>
                          <w:p w14:paraId="511D2A5A" w14:textId="77777777" w:rsidR="00CD249E" w:rsidRPr="00CD249E" w:rsidRDefault="00CD249E" w:rsidP="00C3783C">
                            <w:pPr>
                              <w:pStyle w:val="ListParagraph"/>
                              <w:numPr>
                                <w:ilvl w:val="1"/>
                                <w:numId w:val="111"/>
                              </w:numPr>
                              <w:spacing w:after="80"/>
                              <w:contextualSpacing w:val="0"/>
                              <w:rPr>
                                <w:rFonts w:cs="Calibri"/>
                                <w:szCs w:val="22"/>
                              </w:rPr>
                            </w:pPr>
                            <w:r w:rsidRPr="00CD249E">
                              <w:rPr>
                                <w:rFonts w:cs="Calibri"/>
                                <w:szCs w:val="22"/>
                              </w:rPr>
                              <w:t xml:space="preserve">Where appropriate, </w:t>
                            </w:r>
                            <w:hyperlink w:anchor="_Glossary" w:history="1">
                              <w:r w:rsidRPr="00CD249E">
                                <w:rPr>
                                  <w:rStyle w:val="Hyperlink"/>
                                  <w:rFonts w:cs="Calibri"/>
                                  <w:szCs w:val="22"/>
                                </w:rPr>
                                <w:t>decision-making aids</w:t>
                              </w:r>
                            </w:hyperlink>
                            <w:r w:rsidRPr="00CD249E">
                              <w:rPr>
                                <w:rFonts w:cs="Calibri"/>
                                <w:szCs w:val="22"/>
                              </w:rPr>
                              <w:t xml:space="preserve"> should be used to support potential recipients in determining their preferences with regards to the range of potential transplant offers they may receive.</w:t>
                            </w:r>
                          </w:p>
                          <w:p w14:paraId="66EE9F20" w14:textId="77777777" w:rsidR="00CD249E" w:rsidRPr="006720E4" w:rsidRDefault="00CD249E" w:rsidP="00C3783C">
                            <w:pPr>
                              <w:pStyle w:val="ListParagraph"/>
                              <w:numPr>
                                <w:ilvl w:val="0"/>
                                <w:numId w:val="111"/>
                              </w:numPr>
                              <w:spacing w:after="80"/>
                              <w:contextualSpacing w:val="0"/>
                              <w:rPr>
                                <w:rFonts w:cs="Calibri"/>
                                <w:szCs w:val="22"/>
                              </w:rPr>
                            </w:pPr>
                            <w:r w:rsidRPr="006720E4">
                              <w:rPr>
                                <w:rFonts w:cs="Calibri"/>
                                <w:szCs w:val="22"/>
                              </w:rPr>
                              <w:t xml:space="preserve">A recipient-centred approach to decision-making about </w:t>
                            </w:r>
                            <w:r w:rsidRPr="00CD249E">
                              <w:rPr>
                                <w:rFonts w:cs="Calibri"/>
                                <w:szCs w:val="22"/>
                              </w:rPr>
                              <w:t>acceptance</w:t>
                            </w:r>
                            <w:r w:rsidRPr="006720E4">
                              <w:rPr>
                                <w:rFonts w:cs="Calibri"/>
                                <w:szCs w:val="22"/>
                              </w:rPr>
                              <w:t xml:space="preserve"> of deceased donor organ transplant offers should be used.</w:t>
                            </w:r>
                          </w:p>
                          <w:p w14:paraId="6B5B860F" w14:textId="77777777" w:rsidR="00CD249E" w:rsidRPr="006720E4" w:rsidRDefault="00CD249E" w:rsidP="00C3783C">
                            <w:pPr>
                              <w:pStyle w:val="ListParagraph"/>
                              <w:numPr>
                                <w:ilvl w:val="1"/>
                                <w:numId w:val="111"/>
                              </w:numPr>
                              <w:spacing w:after="80"/>
                              <w:contextualSpacing w:val="0"/>
                              <w:rPr>
                                <w:rFonts w:cs="Calibri"/>
                                <w:szCs w:val="22"/>
                              </w:rPr>
                            </w:pPr>
                            <w:r w:rsidRPr="006720E4">
                              <w:rPr>
                                <w:rFonts w:cs="Calibri"/>
                                <w:szCs w:val="22"/>
                              </w:rPr>
                              <w:t>If the transplant professional(s) receiving an offer on behalf of a patient believes the offered organ would be wholly unsuitable for the candidate at this time, the offer may be declined without consulting the candidate.</w:t>
                            </w:r>
                          </w:p>
                          <w:p w14:paraId="015AB662" w14:textId="77777777" w:rsidR="00863834" w:rsidRPr="006720E4" w:rsidRDefault="00863834" w:rsidP="00C3783C">
                            <w:pPr>
                              <w:pStyle w:val="ListParagraph"/>
                              <w:numPr>
                                <w:ilvl w:val="1"/>
                                <w:numId w:val="111"/>
                              </w:numPr>
                              <w:spacing w:after="80"/>
                              <w:contextualSpacing w:val="0"/>
                              <w:rPr>
                                <w:rFonts w:cs="Calibri"/>
                                <w:szCs w:val="22"/>
                              </w:rPr>
                            </w:pPr>
                            <w:r w:rsidRPr="006720E4">
                              <w:rPr>
                                <w:rFonts w:cs="Calibri"/>
                                <w:szCs w:val="22"/>
                              </w:rPr>
                              <w:t>If the transplant professional believes an offer should be accepted or at least considered by the prospective recipient, or if they are uncertain of the prospective recipient’s likely preferences with regards to the offer, the offer should routinely be disclosed and discussed directly with the potential recipient.</w:t>
                            </w:r>
                          </w:p>
                          <w:p w14:paraId="27CF317F" w14:textId="76E33FC2" w:rsidR="00CD249E" w:rsidRPr="00863834" w:rsidRDefault="00CD249E" w:rsidP="00863834">
                            <w:pPr>
                              <w:pStyle w:val="ListParagraph"/>
                              <w:spacing w:after="80"/>
                              <w:rPr>
                                <w:rFonts w:cs="Calibri"/>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C28BB3" id="Text Box 1440758506" o:spid="_x0000_s1031" type="#_x0000_t202" alt="P1792TB4#y1" style="position:absolute;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" filled="f" strokecolor="black [3213]" strokeweight="1.5pt">
                <v:textbox style="mso-fit-shape-to-text:t">
                  <w:txbxContent>
                    <w:p w14:paraId="0A9A8F1B" w14:textId="42F40279" w:rsidR="00CD249E" w:rsidRPr="00CD249E" w:rsidRDefault="00CD249E" w:rsidP="00271073">
                      <w:pPr>
                        <w:spacing w:after="80"/>
                        <w:rPr>
                          <w:rFonts w:ascii="Calibri" w:hAnsi="Calibri" w:cs="Calibri"/>
                          <w:b/>
                          <w:bCs/>
                          <w:sz w:val="22"/>
                          <w:szCs w:val="22"/>
                        </w:rPr>
                      </w:pPr>
                      <w:r w:rsidRPr="00CD249E">
                        <w:rPr>
                          <w:rFonts w:ascii="Calibri" w:hAnsi="Calibri" w:cs="Calibri"/>
                          <w:b/>
                          <w:bCs/>
                          <w:sz w:val="22"/>
                          <w:szCs w:val="22"/>
                        </w:rPr>
                        <w:t>Box 6.</w:t>
                      </w:r>
                      <w:r w:rsidR="005D3090">
                        <w:rPr>
                          <w:rFonts w:ascii="Calibri" w:hAnsi="Calibri" w:cs="Calibri"/>
                          <w:b/>
                          <w:bCs/>
                          <w:sz w:val="22"/>
                          <w:szCs w:val="22"/>
                        </w:rPr>
                        <w:t>2</w:t>
                      </w:r>
                      <w:r w:rsidRPr="00CD249E">
                        <w:rPr>
                          <w:rFonts w:ascii="Calibri" w:hAnsi="Calibri" w:cs="Calibri"/>
                          <w:b/>
                          <w:bCs/>
                          <w:sz w:val="22"/>
                          <w:szCs w:val="22"/>
                        </w:rPr>
                        <w:t xml:space="preserve"> Decision-making about deceased donor organ transplant offers - summary recommendations </w:t>
                      </w:r>
                    </w:p>
                    <w:p w14:paraId="6670A518" w14:textId="77777777" w:rsidR="00CD249E" w:rsidRPr="00CD249E" w:rsidRDefault="00CD249E" w:rsidP="00C3783C">
                      <w:pPr>
                        <w:pStyle w:val="ListParagraph"/>
                        <w:numPr>
                          <w:ilvl w:val="0"/>
                          <w:numId w:val="111"/>
                        </w:numPr>
                        <w:spacing w:after="80"/>
                        <w:rPr>
                          <w:rFonts w:cs="Calibri"/>
                          <w:szCs w:val="22"/>
                        </w:rPr>
                      </w:pPr>
                      <w:r w:rsidRPr="00CD249E">
                        <w:rPr>
                          <w:rFonts w:cs="Calibri"/>
                          <w:szCs w:val="22"/>
                        </w:rPr>
                        <w:t>The complexities of decision-making about deceased donor organ transplant offers should be carefully addressed to avoid bias in decision-making, equity of opportunity for transplantation and to promote autonomy of decision-making in prospective transplant recipients.</w:t>
                      </w:r>
                    </w:p>
                    <w:p w14:paraId="0A7A82F5" w14:textId="77777777" w:rsidR="00CD249E" w:rsidRPr="00CD249E" w:rsidRDefault="00CD249E" w:rsidP="00C3783C">
                      <w:pPr>
                        <w:pStyle w:val="ListParagraph"/>
                        <w:numPr>
                          <w:ilvl w:val="1"/>
                          <w:numId w:val="111"/>
                        </w:numPr>
                        <w:spacing w:after="80"/>
                        <w:contextualSpacing w:val="0"/>
                        <w:rPr>
                          <w:rFonts w:cs="Calibri"/>
                          <w:szCs w:val="22"/>
                        </w:rPr>
                      </w:pPr>
                      <w:r w:rsidRPr="00CD249E">
                        <w:rPr>
                          <w:rFonts w:cs="Calibri"/>
                          <w:szCs w:val="22"/>
                        </w:rPr>
                        <w:t>When a potential transplant recipient is wait listed for a deceased donor organ transplant, a multistep process for consent with regards to the consideration of offers of non-standard risk donor organs should be implemented where possible and appropriate.</w:t>
                      </w:r>
                    </w:p>
                    <w:p w14:paraId="18FEA070" w14:textId="3358BA8D" w:rsidR="00CD249E" w:rsidRPr="00CD249E" w:rsidRDefault="00CD249E" w:rsidP="00C3783C">
                      <w:pPr>
                        <w:pStyle w:val="ListParagraph"/>
                        <w:numPr>
                          <w:ilvl w:val="1"/>
                          <w:numId w:val="111"/>
                        </w:numPr>
                        <w:spacing w:after="80"/>
                        <w:contextualSpacing w:val="0"/>
                        <w:rPr>
                          <w:rFonts w:cs="Calibri"/>
                          <w:szCs w:val="22"/>
                        </w:rPr>
                      </w:pPr>
                      <w:r>
                        <w:rPr>
                          <w:rFonts w:cs="Calibri"/>
                          <w:szCs w:val="22"/>
                        </w:rPr>
                        <w:t>Shared</w:t>
                      </w:r>
                      <w:r w:rsidRPr="00CD249E">
                        <w:rPr>
                          <w:rFonts w:cs="Calibri"/>
                          <w:szCs w:val="22"/>
                        </w:rPr>
                        <w:t xml:space="preserve"> decision-making with prospective transplant recipients </w:t>
                      </w:r>
                      <w:r>
                        <w:rPr>
                          <w:rFonts w:cs="Calibri"/>
                          <w:szCs w:val="22"/>
                        </w:rPr>
                        <w:t xml:space="preserve">should </w:t>
                      </w:r>
                      <w:r w:rsidRPr="00CD249E">
                        <w:rPr>
                          <w:rFonts w:cs="Calibri"/>
                          <w:szCs w:val="22"/>
                        </w:rPr>
                        <w:t xml:space="preserve">aim </w:t>
                      </w:r>
                      <w:r>
                        <w:rPr>
                          <w:rFonts w:cs="Calibri"/>
                          <w:szCs w:val="22"/>
                        </w:rPr>
                        <w:t>to</w:t>
                      </w:r>
                      <w:r w:rsidRPr="00CD249E">
                        <w:rPr>
                          <w:rFonts w:cs="Calibri"/>
                          <w:szCs w:val="22"/>
                        </w:rPr>
                        <w:t xml:space="preserve"> elicit their informed values and preferences with regards to potential </w:t>
                      </w:r>
                      <w:r>
                        <w:rPr>
                          <w:rFonts w:cs="Calibri"/>
                          <w:szCs w:val="22"/>
                        </w:rPr>
                        <w:t>organ</w:t>
                      </w:r>
                      <w:r w:rsidRPr="00CD249E">
                        <w:rPr>
                          <w:rFonts w:cs="Calibri"/>
                          <w:szCs w:val="22"/>
                        </w:rPr>
                        <w:t xml:space="preserve"> offers.</w:t>
                      </w:r>
                    </w:p>
                    <w:p w14:paraId="7B5D9B56" w14:textId="77777777" w:rsidR="00CD249E" w:rsidRPr="00CD249E" w:rsidRDefault="00CD249E" w:rsidP="00C3783C">
                      <w:pPr>
                        <w:pStyle w:val="ListParagraph"/>
                        <w:numPr>
                          <w:ilvl w:val="1"/>
                          <w:numId w:val="111"/>
                        </w:numPr>
                        <w:spacing w:after="80"/>
                        <w:contextualSpacing w:val="0"/>
                        <w:rPr>
                          <w:rFonts w:cs="Calibri"/>
                          <w:szCs w:val="22"/>
                        </w:rPr>
                      </w:pPr>
                      <w:r w:rsidRPr="00CD249E">
                        <w:rPr>
                          <w:rFonts w:cs="Calibri"/>
                          <w:szCs w:val="22"/>
                        </w:rPr>
                        <w:t>Any potential conflicts of interest or sources of bias that may influence transplant professionals’ recommendations regarding acceptance of potential transplant offers should routinely be disclosed to potential transplant recipients.</w:t>
                      </w:r>
                    </w:p>
                    <w:p w14:paraId="511D2A5A" w14:textId="77777777" w:rsidR="00CD249E" w:rsidRPr="00CD249E" w:rsidRDefault="00CD249E" w:rsidP="00C3783C">
                      <w:pPr>
                        <w:pStyle w:val="ListParagraph"/>
                        <w:numPr>
                          <w:ilvl w:val="1"/>
                          <w:numId w:val="111"/>
                        </w:numPr>
                        <w:spacing w:after="80"/>
                        <w:contextualSpacing w:val="0"/>
                        <w:rPr>
                          <w:rFonts w:cs="Calibri"/>
                          <w:szCs w:val="22"/>
                        </w:rPr>
                      </w:pPr>
                      <w:r w:rsidRPr="00CD249E">
                        <w:rPr>
                          <w:rFonts w:cs="Calibri"/>
                          <w:szCs w:val="22"/>
                        </w:rPr>
                        <w:t xml:space="preserve">Where appropriate, </w:t>
                      </w:r>
                      <w:hyperlink w:anchor="_Glossary" w:history="1">
                        <w:r w:rsidRPr="00CD249E">
                          <w:rPr>
                            <w:rStyle w:val="Hyperlink"/>
                            <w:rFonts w:cs="Calibri"/>
                            <w:szCs w:val="22"/>
                          </w:rPr>
                          <w:t>decision-making aids</w:t>
                        </w:r>
                      </w:hyperlink>
                      <w:r w:rsidRPr="00CD249E">
                        <w:rPr>
                          <w:rFonts w:cs="Calibri"/>
                          <w:szCs w:val="22"/>
                        </w:rPr>
                        <w:t xml:space="preserve"> should be used to support potential recipients in determining their preferences with regards to the range of potential transplant offers they may receive.</w:t>
                      </w:r>
                    </w:p>
                    <w:p w14:paraId="66EE9F20" w14:textId="77777777" w:rsidR="00CD249E" w:rsidRPr="006720E4" w:rsidRDefault="00CD249E" w:rsidP="00C3783C">
                      <w:pPr>
                        <w:pStyle w:val="ListParagraph"/>
                        <w:numPr>
                          <w:ilvl w:val="0"/>
                          <w:numId w:val="111"/>
                        </w:numPr>
                        <w:spacing w:after="80"/>
                        <w:contextualSpacing w:val="0"/>
                        <w:rPr>
                          <w:rFonts w:cs="Calibri"/>
                          <w:szCs w:val="22"/>
                        </w:rPr>
                      </w:pPr>
                      <w:r w:rsidRPr="006720E4">
                        <w:rPr>
                          <w:rFonts w:cs="Calibri"/>
                          <w:szCs w:val="22"/>
                        </w:rPr>
                        <w:t xml:space="preserve">A recipient-centred approach to decision-making about </w:t>
                      </w:r>
                      <w:r w:rsidRPr="00CD249E">
                        <w:rPr>
                          <w:rFonts w:cs="Calibri"/>
                          <w:szCs w:val="22"/>
                        </w:rPr>
                        <w:t>acceptance</w:t>
                      </w:r>
                      <w:r w:rsidRPr="006720E4">
                        <w:rPr>
                          <w:rFonts w:cs="Calibri"/>
                          <w:szCs w:val="22"/>
                        </w:rPr>
                        <w:t xml:space="preserve"> of deceased donor organ transplant offers should be used.</w:t>
                      </w:r>
                    </w:p>
                    <w:p w14:paraId="6B5B860F" w14:textId="77777777" w:rsidR="00CD249E" w:rsidRPr="006720E4" w:rsidRDefault="00CD249E" w:rsidP="00C3783C">
                      <w:pPr>
                        <w:pStyle w:val="ListParagraph"/>
                        <w:numPr>
                          <w:ilvl w:val="1"/>
                          <w:numId w:val="111"/>
                        </w:numPr>
                        <w:spacing w:after="80"/>
                        <w:contextualSpacing w:val="0"/>
                        <w:rPr>
                          <w:rFonts w:cs="Calibri"/>
                          <w:szCs w:val="22"/>
                        </w:rPr>
                      </w:pPr>
                      <w:r w:rsidRPr="006720E4">
                        <w:rPr>
                          <w:rFonts w:cs="Calibri"/>
                          <w:szCs w:val="22"/>
                        </w:rPr>
                        <w:t>If the transplant professional(s) receiving an offer on behalf of a patient believes the offered organ would be wholly unsuitable for the candidate at this time, the offer may be declined without consulting the candidate.</w:t>
                      </w:r>
                    </w:p>
                    <w:p w14:paraId="015AB662" w14:textId="77777777" w:rsidR="00863834" w:rsidRPr="006720E4" w:rsidRDefault="00863834" w:rsidP="00C3783C">
                      <w:pPr>
                        <w:pStyle w:val="ListParagraph"/>
                        <w:numPr>
                          <w:ilvl w:val="1"/>
                          <w:numId w:val="111"/>
                        </w:numPr>
                        <w:spacing w:after="80"/>
                        <w:contextualSpacing w:val="0"/>
                        <w:rPr>
                          <w:rFonts w:cs="Calibri"/>
                          <w:szCs w:val="22"/>
                        </w:rPr>
                      </w:pPr>
                      <w:r w:rsidRPr="006720E4">
                        <w:rPr>
                          <w:rFonts w:cs="Calibri"/>
                          <w:szCs w:val="22"/>
                        </w:rPr>
                        <w:t>If the transplant professional believes an offer should be accepted or at least considered by the prospective recipient, or if they are uncertain of the prospective recipient’s likely preferences with regards to the offer, the offer should routinely be disclosed and discussed directly with the potential recipient.</w:t>
                      </w:r>
                    </w:p>
                    <w:p w14:paraId="27CF317F" w14:textId="76E33FC2" w:rsidR="00CD249E" w:rsidRPr="00863834" w:rsidRDefault="00CD249E" w:rsidP="00863834">
                      <w:pPr>
                        <w:pStyle w:val="ListParagraph"/>
                        <w:spacing w:after="80"/>
                        <w:rPr>
                          <w:rFonts w:cs="Calibri"/>
                          <w:szCs w:val="22"/>
                        </w:rPr>
                      </w:pPr>
                    </w:p>
                  </w:txbxContent>
                </v:textbox>
                <w10:wrap type="square"/>
              </v:shape>
            </w:pict>
          </mc:Fallback>
        </mc:AlternateContent>
      </w:r>
      <w:bookmarkStart w:id="2745" w:name="_Privacy_and_confidentiality_1"/>
      <w:bookmarkStart w:id="2746" w:name="_Toc63683433"/>
      <w:bookmarkStart w:id="2747" w:name="_Toc70241776"/>
      <w:bookmarkStart w:id="2748" w:name="_Toc70243411"/>
      <w:bookmarkStart w:id="2749" w:name="_Toc70328741"/>
      <w:bookmarkStart w:id="2750" w:name="_Toc70333971"/>
      <w:bookmarkStart w:id="2751" w:name="_Toc70414884"/>
      <w:bookmarkStart w:id="2752" w:name="_Toc70844205"/>
      <w:bookmarkStart w:id="2753" w:name="_Toc70858996"/>
      <w:bookmarkStart w:id="2754" w:name="_Toc70861097"/>
      <w:bookmarkStart w:id="2755" w:name="_Toc70876582"/>
      <w:bookmarkStart w:id="2756" w:name="_Toc72615138"/>
      <w:bookmarkStart w:id="2757" w:name="_Toc73129860"/>
      <w:bookmarkStart w:id="2758" w:name="_Toc73301729"/>
      <w:bookmarkStart w:id="2759" w:name="_Toc73302235"/>
      <w:bookmarkStart w:id="2760" w:name="_Toc73303368"/>
      <w:bookmarkStart w:id="2761" w:name="_Toc73303602"/>
      <w:bookmarkStart w:id="2762" w:name="_Toc74080719"/>
      <w:bookmarkStart w:id="2763" w:name="_Toc74081027"/>
      <w:bookmarkStart w:id="2764" w:name="_Toc74081257"/>
      <w:bookmarkStart w:id="2765" w:name="_Toc74081513"/>
      <w:bookmarkStart w:id="2766" w:name="_Toc74171088"/>
      <w:bookmarkStart w:id="2767" w:name="_Toc74172290"/>
      <w:bookmarkStart w:id="2768" w:name="_Toc74172826"/>
      <w:bookmarkStart w:id="2769" w:name="_Toc74238762"/>
      <w:bookmarkStart w:id="2770" w:name="_Toc78304772"/>
      <w:bookmarkStart w:id="2771" w:name="_Toc79330866"/>
      <w:bookmarkStart w:id="2772" w:name="_Toc79331246"/>
      <w:bookmarkStart w:id="2773" w:name="_Toc79406400"/>
      <w:bookmarkStart w:id="2774" w:name="_Toc82773614"/>
      <w:bookmarkStart w:id="2775" w:name="_Toc82773967"/>
      <w:bookmarkStart w:id="2776" w:name="_Toc128314215"/>
      <w:bookmarkEnd w:id="2745"/>
      <w:r w:rsidR="00014DBB">
        <w:br w:type="page"/>
      </w:r>
    </w:p>
    <w:p w14:paraId="4DCCC414" w14:textId="49AE9880" w:rsidR="00863834" w:rsidRDefault="00863834" w:rsidP="00863834">
      <w:pPr>
        <w:pStyle w:val="Heading1"/>
        <w:numPr>
          <w:ilvl w:val="0"/>
          <w:numId w:val="0"/>
        </w:numPr>
        <w:ind w:left="357" w:hanging="357"/>
      </w:pPr>
      <w:bookmarkStart w:id="2777" w:name="_Privacy_and_confidentiality"/>
      <w:bookmarkStart w:id="2778" w:name="_Toc135131459"/>
      <w:bookmarkEnd w:id="2777"/>
      <w:r>
        <w:rPr>
          <w:noProof/>
        </w:rPr>
        <w:lastRenderedPageBreak/>
        <mc:AlternateContent>
          <mc:Choice Requires="wps">
            <w:drawing>
              <wp:anchor distT="0" distB="0" distL="114300" distR="114300" simplePos="0" relativeHeight="251658251" behindDoc="0" locked="0" layoutInCell="1" allowOverlap="1" wp14:anchorId="4A1D4655" wp14:editId="52219195">
                <wp:simplePos x="0" y="0"/>
                <wp:positionH relativeFrom="column">
                  <wp:posOffset>0</wp:posOffset>
                </wp:positionH>
                <wp:positionV relativeFrom="paragraph">
                  <wp:posOffset>0</wp:posOffset>
                </wp:positionV>
                <wp:extent cx="1828800" cy="1828800"/>
                <wp:effectExtent l="12700" t="12700" r="19050" b="8890"/>
                <wp:wrapSquare wrapText="bothSides"/>
                <wp:docPr id="991537167" name="Text Box 991537167" descr="P1793TB12#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0A8EB31B" w14:textId="77777777" w:rsidR="00863834" w:rsidRPr="006720E4" w:rsidRDefault="00863834" w:rsidP="00C3783C">
                            <w:pPr>
                              <w:pStyle w:val="ListParagraph"/>
                              <w:numPr>
                                <w:ilvl w:val="0"/>
                                <w:numId w:val="111"/>
                              </w:numPr>
                              <w:spacing w:after="80"/>
                              <w:contextualSpacing w:val="0"/>
                              <w:rPr>
                                <w:rFonts w:cs="Calibri"/>
                                <w:szCs w:val="22"/>
                              </w:rPr>
                            </w:pPr>
                            <w:r w:rsidRPr="006720E4">
                              <w:rPr>
                                <w:rFonts w:cs="Calibri"/>
                                <w:szCs w:val="22"/>
                              </w:rPr>
                              <w:t>Transplant offers received via the deceased donor organ allocation system should be declined or accepted as efficiently as possible to avoid delays that may lead to organs being discarded.</w:t>
                            </w:r>
                          </w:p>
                          <w:p w14:paraId="1F79C84F" w14:textId="77777777" w:rsidR="00863834" w:rsidRPr="006720E4" w:rsidRDefault="00863834" w:rsidP="00C3783C">
                            <w:pPr>
                              <w:pStyle w:val="ListParagraph"/>
                              <w:numPr>
                                <w:ilvl w:val="1"/>
                                <w:numId w:val="111"/>
                              </w:numPr>
                              <w:spacing w:after="80"/>
                              <w:contextualSpacing w:val="0"/>
                              <w:rPr>
                                <w:rFonts w:cs="Calibri"/>
                                <w:szCs w:val="22"/>
                              </w:rPr>
                            </w:pPr>
                            <w:r w:rsidRPr="006720E4">
                              <w:rPr>
                                <w:rFonts w:cs="Calibri"/>
                                <w:szCs w:val="22"/>
                              </w:rPr>
                              <w:t>Health professionals should routinely provide feedback to the organ allocation program on the reasons for declining transplant offers to inform revisions to allocation protocols.</w:t>
                            </w:r>
                          </w:p>
                          <w:p w14:paraId="1E064CB4" w14:textId="77777777" w:rsidR="00863834" w:rsidRPr="00A414D6" w:rsidRDefault="00863834" w:rsidP="00C3783C">
                            <w:pPr>
                              <w:pStyle w:val="ListParagraph"/>
                              <w:numPr>
                                <w:ilvl w:val="0"/>
                                <w:numId w:val="111"/>
                              </w:numPr>
                              <w:spacing w:after="80"/>
                              <w:rPr>
                                <w:rFonts w:cs="Calibri"/>
                                <w:szCs w:val="22"/>
                              </w:rPr>
                            </w:pPr>
                            <w:r w:rsidRPr="006720E4">
                              <w:rPr>
                                <w:rFonts w:cs="Calibri"/>
                                <w:szCs w:val="22"/>
                              </w:rPr>
                              <w:t>Decision-making about deceased donor organ transplant offers should be routinely documented and regularly audited.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1D4655" id="Text Box 991537167" o:spid="_x0000_s1032" type="#_x0000_t202" alt="P1793TB12#y1" style="position:absolute;left:0;text-align:left;margin-left:0;margin-top:0;width:2in;height:2in;z-index:25165825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" filled="f" strokecolor="black [3213]" strokeweight="1.5pt">
                <v:textbox style="mso-fit-shape-to-text:t">
                  <w:txbxContent>
                    <w:p w14:paraId="0A8EB31B" w14:textId="77777777" w:rsidR="00863834" w:rsidRPr="006720E4" w:rsidRDefault="00863834" w:rsidP="00C3783C">
                      <w:pPr>
                        <w:pStyle w:val="ListParagraph"/>
                        <w:numPr>
                          <w:ilvl w:val="0"/>
                          <w:numId w:val="111"/>
                        </w:numPr>
                        <w:spacing w:after="80"/>
                        <w:contextualSpacing w:val="0"/>
                        <w:rPr>
                          <w:rFonts w:cs="Calibri"/>
                          <w:szCs w:val="22"/>
                        </w:rPr>
                      </w:pPr>
                      <w:r w:rsidRPr="006720E4">
                        <w:rPr>
                          <w:rFonts w:cs="Calibri"/>
                          <w:szCs w:val="22"/>
                        </w:rPr>
                        <w:t>Transplant offers received via the deceased donor organ allocation system should be declined or accepted as efficiently as possible to avoid delays that may lead to organs being discarded.</w:t>
                      </w:r>
                    </w:p>
                    <w:p w14:paraId="1F79C84F" w14:textId="77777777" w:rsidR="00863834" w:rsidRPr="006720E4" w:rsidRDefault="00863834" w:rsidP="00C3783C">
                      <w:pPr>
                        <w:pStyle w:val="ListParagraph"/>
                        <w:numPr>
                          <w:ilvl w:val="1"/>
                          <w:numId w:val="111"/>
                        </w:numPr>
                        <w:spacing w:after="80"/>
                        <w:contextualSpacing w:val="0"/>
                        <w:rPr>
                          <w:rFonts w:cs="Calibri"/>
                          <w:szCs w:val="22"/>
                        </w:rPr>
                      </w:pPr>
                      <w:r w:rsidRPr="006720E4">
                        <w:rPr>
                          <w:rFonts w:cs="Calibri"/>
                          <w:szCs w:val="22"/>
                        </w:rPr>
                        <w:t>Health professionals should routinely provide feedback to the organ allocation program on the reasons for declining transplant offers to inform revisions to allocation protocols.</w:t>
                      </w:r>
                    </w:p>
                    <w:p w14:paraId="1E064CB4" w14:textId="77777777" w:rsidR="00863834" w:rsidRPr="00A414D6" w:rsidRDefault="00863834" w:rsidP="00C3783C">
                      <w:pPr>
                        <w:pStyle w:val="ListParagraph"/>
                        <w:numPr>
                          <w:ilvl w:val="0"/>
                          <w:numId w:val="111"/>
                        </w:numPr>
                        <w:spacing w:after="80"/>
                        <w:rPr>
                          <w:rFonts w:cs="Calibri"/>
                          <w:szCs w:val="22"/>
                        </w:rPr>
                      </w:pPr>
                      <w:r w:rsidRPr="006720E4">
                        <w:rPr>
                          <w:rFonts w:cs="Calibri"/>
                          <w:szCs w:val="22"/>
                        </w:rPr>
                        <w:t>Decision-making about deceased donor organ transplant offers should be routinely documented and regularly audited.</w:t>
                      </w:r>
                    </w:p>
                  </w:txbxContent>
                </v:textbox>
                <w10:wrap type="square"/>
              </v:shape>
            </w:pict>
          </mc:Fallback>
        </mc:AlternateContent>
      </w:r>
      <w:bookmarkEnd w:id="2778"/>
    </w:p>
    <w:p w14:paraId="5898B7B3" w14:textId="5AA20A30" w:rsidR="00863834" w:rsidRDefault="00863834">
      <w:pPr>
        <w:rPr>
          <w:rFonts w:ascii="Calibri" w:hAnsi="Calibri" w:cs="Calibri"/>
          <w:b/>
          <w:bCs/>
          <w:color w:val="4472C4" w:themeColor="accent1"/>
          <w:sz w:val="32"/>
          <w:szCs w:val="32"/>
          <w:u w:val="single"/>
        </w:rPr>
      </w:pPr>
    </w:p>
    <w:p w14:paraId="2B2A53A4" w14:textId="77777777" w:rsidR="007E780A" w:rsidRDefault="007E780A">
      <w:pPr>
        <w:rPr>
          <w:rFonts w:ascii="Calibri" w:hAnsi="Calibri" w:cs="Calibri"/>
          <w:b/>
          <w:bCs/>
          <w:color w:val="4472C4" w:themeColor="accent1"/>
          <w:sz w:val="32"/>
          <w:szCs w:val="32"/>
          <w:u w:val="single"/>
        </w:rPr>
      </w:pPr>
      <w:r>
        <w:br w:type="page"/>
      </w:r>
    </w:p>
    <w:p w14:paraId="3397E8DA" w14:textId="156DAA48" w:rsidR="006C6EBA" w:rsidRPr="006720E4" w:rsidRDefault="006C6EBA" w:rsidP="00EA22AE">
      <w:pPr>
        <w:pStyle w:val="Heading1"/>
      </w:pPr>
      <w:bookmarkStart w:id="2779" w:name="_Toc135131460"/>
      <w:r w:rsidRPr="006720E4">
        <w:lastRenderedPageBreak/>
        <w:t>Privacy and confidentialit</w:t>
      </w:r>
      <w:bookmarkEnd w:id="2746"/>
      <w:r w:rsidRPr="006720E4">
        <w:t>y</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9"/>
    </w:p>
    <w:p w14:paraId="65CCB355" w14:textId="4FCA3078" w:rsidR="006C6EBA" w:rsidRPr="006720E4" w:rsidRDefault="006C6EBA" w:rsidP="00EA22AE">
      <w:pPr>
        <w:spacing w:after="120"/>
        <w:rPr>
          <w:rFonts w:ascii="Calibri" w:hAnsi="Calibri" w:cs="Calibri"/>
          <w:sz w:val="22"/>
          <w:szCs w:val="22"/>
          <w:lang w:eastAsia="en-AU"/>
        </w:rPr>
      </w:pPr>
      <w:bookmarkStart w:id="2780" w:name="_Toc70414885"/>
      <w:bookmarkStart w:id="2781" w:name="_Toc70241777"/>
      <w:bookmarkStart w:id="2782" w:name="_Toc70243412"/>
      <w:r w:rsidRPr="006720E4">
        <w:rPr>
          <w:rFonts w:ascii="Calibri" w:hAnsi="Calibri" w:cs="Calibri"/>
          <w:sz w:val="22"/>
          <w:szCs w:val="22"/>
          <w:lang w:eastAsia="en-AU"/>
        </w:rPr>
        <w:t>Respecting duties of privacy and confidentiality may be complicated in the setting of donation and transplantation because it may be desirable or necessary to seek, disclose or exchange information about donors to recipients and vice versa, or to their respective family members.</w:t>
      </w:r>
      <w:bookmarkEnd w:id="2780"/>
      <w:r w:rsidRPr="006720E4">
        <w:rPr>
          <w:rFonts w:ascii="Calibri" w:hAnsi="Calibri" w:cs="Calibri"/>
          <w:sz w:val="22"/>
          <w:szCs w:val="22"/>
          <w:lang w:eastAsia="en-AU"/>
        </w:rPr>
        <w:t xml:space="preserve">  </w:t>
      </w:r>
    </w:p>
    <w:p w14:paraId="7A12927D" w14:textId="266D907A" w:rsidR="00115936" w:rsidRPr="00115936" w:rsidRDefault="006C6EBA" w:rsidP="00EA22AE">
      <w:pPr>
        <w:spacing w:after="120"/>
        <w:rPr>
          <w:rFonts w:ascii="Calibri" w:hAnsi="Calibri" w:cs="Calibri"/>
          <w:sz w:val="22"/>
          <w:szCs w:val="22"/>
        </w:rPr>
      </w:pPr>
      <w:r w:rsidRPr="006720E4">
        <w:rPr>
          <w:rFonts w:ascii="Calibri" w:hAnsi="Calibri" w:cs="Calibri"/>
          <w:sz w:val="22"/>
          <w:szCs w:val="22"/>
        </w:rPr>
        <w:t xml:space="preserve">In this chapter, the concepts of privacy and confidentiality are explained, as well as their implications for donation and transplantation activities. Situations are discussed where tensions may arise between obligations to respect a person’s privacy and obligations to respect other people’s rights to access information that may be important for their decision-making about donation or transplantation. This chapter provides information about key considerations in donation and transplantation decision-making with regards </w:t>
      </w:r>
      <w:r w:rsidRPr="00115936">
        <w:rPr>
          <w:rFonts w:ascii="Calibri" w:hAnsi="Calibri" w:cs="Calibri"/>
          <w:sz w:val="22"/>
          <w:szCs w:val="22"/>
        </w:rPr>
        <w:t xml:space="preserve">to </w:t>
      </w:r>
      <w:r w:rsidR="00115936">
        <w:rPr>
          <w:rFonts w:ascii="Calibri" w:hAnsi="Calibri" w:cs="Calibri"/>
          <w:sz w:val="22"/>
          <w:szCs w:val="22"/>
        </w:rPr>
        <w:t xml:space="preserve">foundational </w:t>
      </w:r>
      <w:r w:rsidRPr="00115936">
        <w:rPr>
          <w:rFonts w:ascii="Calibri" w:hAnsi="Calibri" w:cs="Calibri"/>
          <w:b/>
          <w:sz w:val="22"/>
          <w:szCs w:val="22"/>
        </w:rPr>
        <w:t>Principle</w:t>
      </w:r>
      <w:r w:rsidR="00252C48" w:rsidRPr="00115936">
        <w:rPr>
          <w:rFonts w:ascii="Calibri" w:hAnsi="Calibri" w:cs="Calibri"/>
          <w:b/>
          <w:sz w:val="22"/>
          <w:szCs w:val="22"/>
        </w:rPr>
        <w:t>s</w:t>
      </w:r>
      <w:r w:rsidRPr="00115936">
        <w:rPr>
          <w:rFonts w:ascii="Calibri" w:hAnsi="Calibri" w:cs="Calibri"/>
          <w:b/>
          <w:sz w:val="22"/>
          <w:szCs w:val="22"/>
        </w:rPr>
        <w:t xml:space="preserve"> 5</w:t>
      </w:r>
      <w:r w:rsidR="00252C48" w:rsidRPr="00115936">
        <w:rPr>
          <w:rFonts w:ascii="Calibri" w:hAnsi="Calibri" w:cs="Calibri"/>
          <w:b/>
          <w:sz w:val="22"/>
          <w:szCs w:val="22"/>
        </w:rPr>
        <w:t xml:space="preserve"> and 6</w:t>
      </w:r>
      <w:r w:rsidRPr="00115936">
        <w:rPr>
          <w:rFonts w:ascii="Calibri" w:hAnsi="Calibri" w:cs="Calibri"/>
          <w:sz w:val="22"/>
          <w:szCs w:val="22"/>
        </w:rPr>
        <w:t>:</w:t>
      </w:r>
      <w:bookmarkEnd w:id="2781"/>
      <w:bookmarkEnd w:id="2782"/>
    </w:p>
    <w:p w14:paraId="0E5CE4C8" w14:textId="5F94D351" w:rsidR="00252C48" w:rsidRPr="00115936" w:rsidRDefault="00115936" w:rsidP="00C3783C">
      <w:pPr>
        <w:pStyle w:val="ListParagraph"/>
        <w:numPr>
          <w:ilvl w:val="0"/>
          <w:numId w:val="136"/>
        </w:numPr>
        <w:spacing w:after="120"/>
        <w:contextualSpacing w:val="0"/>
        <w:rPr>
          <w:rFonts w:cs="Calibri"/>
          <w:szCs w:val="22"/>
        </w:rPr>
      </w:pPr>
      <w:r w:rsidRPr="00115936">
        <w:rPr>
          <w:rFonts w:cs="Calibri"/>
          <w:b/>
          <w:bCs/>
          <w:szCs w:val="22"/>
          <w:u w:color="0000FF"/>
          <w:lang w:val="en-GB"/>
        </w:rPr>
        <w:t>Principle 5</w:t>
      </w:r>
      <w:r w:rsidRPr="00115936">
        <w:rPr>
          <w:rFonts w:cs="Calibri"/>
          <w:szCs w:val="22"/>
          <w:u w:color="0000FF"/>
          <w:lang w:val="en-GB"/>
        </w:rPr>
        <w:t xml:space="preserve">. </w:t>
      </w:r>
      <w:r w:rsidRPr="00115936">
        <w:rPr>
          <w:rFonts w:cs="Calibri"/>
        </w:rPr>
        <w:t>Donation and transplantation activities and decision-making should be transparent and open to scrutiny.</w:t>
      </w:r>
    </w:p>
    <w:p w14:paraId="032F9136" w14:textId="71CFD9CB" w:rsidR="006C6EBA" w:rsidRPr="00115936" w:rsidRDefault="00115936" w:rsidP="00C3783C">
      <w:pPr>
        <w:pStyle w:val="ListParagraph"/>
        <w:numPr>
          <w:ilvl w:val="0"/>
          <w:numId w:val="135"/>
        </w:numPr>
        <w:spacing w:after="120"/>
        <w:contextualSpacing w:val="0"/>
        <w:rPr>
          <w:rFonts w:cs="Calibri"/>
          <w:szCs w:val="22"/>
        </w:rPr>
      </w:pPr>
      <w:r w:rsidRPr="00115936">
        <w:rPr>
          <w:rFonts w:cs="Calibri"/>
          <w:b/>
          <w:bCs/>
          <w:szCs w:val="22"/>
          <w:u w:color="0000FF"/>
          <w:lang w:val="en-GB"/>
        </w:rPr>
        <w:t>Principle 6</w:t>
      </w:r>
      <w:r w:rsidRPr="00115936">
        <w:rPr>
          <w:rFonts w:cs="Calibri"/>
          <w:szCs w:val="22"/>
          <w:u w:color="0000FF"/>
          <w:lang w:val="en-GB"/>
        </w:rPr>
        <w:t xml:space="preserve">. </w:t>
      </w:r>
      <w:r w:rsidR="00252C48" w:rsidRPr="00115936">
        <w:rPr>
          <w:rFonts w:cs="Calibri"/>
          <w:szCs w:val="22"/>
          <w:u w:color="0000FF"/>
          <w:lang w:val="en-GB"/>
        </w:rPr>
        <w:t>Donation and transplantation activities and associated decision-making should protect the privacy of individuals and their families and the confidentiality of information related to donation and transplantation activities.</w:t>
      </w:r>
    </w:p>
    <w:p w14:paraId="52E2898D" w14:textId="59067D6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Further reading and resources of relevance to this chapter can be found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57C3C442" w14:textId="4FDD4B5F" w:rsidR="006C6EBA" w:rsidRPr="006720E4" w:rsidRDefault="006C6EBA" w:rsidP="00EA22AE">
      <w:pPr>
        <w:pStyle w:val="Heading2"/>
        <w:spacing w:after="120"/>
      </w:pPr>
      <w:bookmarkStart w:id="2783" w:name="_General_considerations_in_1"/>
      <w:bookmarkStart w:id="2784" w:name="_Toc63683434"/>
      <w:bookmarkStart w:id="2785" w:name="_Toc70241778"/>
      <w:bookmarkStart w:id="2786" w:name="_Toc70243413"/>
      <w:bookmarkStart w:id="2787" w:name="_Toc70328742"/>
      <w:bookmarkStart w:id="2788" w:name="_Toc70333972"/>
      <w:bookmarkStart w:id="2789" w:name="_Toc70414886"/>
      <w:bookmarkStart w:id="2790" w:name="_Toc70844206"/>
      <w:bookmarkStart w:id="2791" w:name="_Toc70858997"/>
      <w:bookmarkStart w:id="2792" w:name="_Toc70861098"/>
      <w:bookmarkStart w:id="2793" w:name="_Toc70876583"/>
      <w:bookmarkStart w:id="2794" w:name="_Toc72615139"/>
      <w:bookmarkStart w:id="2795" w:name="_Toc73129861"/>
      <w:bookmarkStart w:id="2796" w:name="_Toc73301730"/>
      <w:bookmarkStart w:id="2797" w:name="_Toc73302236"/>
      <w:bookmarkStart w:id="2798" w:name="_Toc73303369"/>
      <w:bookmarkStart w:id="2799" w:name="_Toc73303603"/>
      <w:bookmarkStart w:id="2800" w:name="_Toc74080720"/>
      <w:bookmarkStart w:id="2801" w:name="_Toc74081028"/>
      <w:bookmarkStart w:id="2802" w:name="_Toc74081258"/>
      <w:bookmarkStart w:id="2803" w:name="_Toc74081514"/>
      <w:bookmarkStart w:id="2804" w:name="_Toc74171089"/>
      <w:bookmarkStart w:id="2805" w:name="_Toc74172291"/>
      <w:bookmarkStart w:id="2806" w:name="_Toc74172827"/>
      <w:bookmarkStart w:id="2807" w:name="_Toc74238763"/>
      <w:bookmarkStart w:id="2808" w:name="_Toc79330867"/>
      <w:bookmarkStart w:id="2809" w:name="_Toc79331247"/>
      <w:bookmarkStart w:id="2810" w:name="_Toc79406401"/>
      <w:bookmarkStart w:id="2811" w:name="_Toc82773615"/>
      <w:bookmarkStart w:id="2812" w:name="_Toc82773968"/>
      <w:bookmarkStart w:id="2813" w:name="_Toc128314216"/>
      <w:bookmarkStart w:id="2814" w:name="_Toc135131461"/>
      <w:bookmarkEnd w:id="2783"/>
      <w:r w:rsidRPr="006720E4">
        <w:t>General considerations in privacy and confidentiali</w:t>
      </w:r>
      <w:bookmarkEnd w:id="2784"/>
      <w:r w:rsidRPr="006720E4">
        <w:t>ty</w:t>
      </w:r>
      <w:bookmarkStart w:id="2815" w:name="_Toc70241779"/>
      <w:bookmarkStart w:id="2816" w:name="_Toc7024341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14:paraId="0C4D0740" w14:textId="77A15E1D" w:rsidR="006C6EBA" w:rsidRPr="006720E4" w:rsidRDefault="006C6EBA" w:rsidP="00EA22AE">
      <w:pPr>
        <w:spacing w:after="120"/>
        <w:rPr>
          <w:rFonts w:ascii="Calibri" w:hAnsi="Calibri" w:cs="Calibri"/>
          <w:color w:val="2F5496" w:themeColor="accent1" w:themeShade="BF"/>
          <w:sz w:val="22"/>
          <w:szCs w:val="22"/>
          <w:lang w:eastAsia="en-AU"/>
        </w:rPr>
      </w:pPr>
      <w:bookmarkStart w:id="2817" w:name="_Toc70328743"/>
      <w:bookmarkStart w:id="2818" w:name="_Toc70333973"/>
      <w:r w:rsidRPr="006720E4">
        <w:rPr>
          <w:rFonts w:ascii="Calibri" w:hAnsi="Calibri" w:cs="Calibri"/>
          <w:sz w:val="22"/>
          <w:szCs w:val="22"/>
          <w:lang w:eastAsia="en-AU"/>
        </w:rPr>
        <w:t>Privacy and confidentiality are inter-related concepts that fall within the scope of an individual’s general right to autonomy or self-governance over their own person; including their right to control access to and use of their body and personal information.</w:t>
      </w:r>
      <w:bookmarkEnd w:id="2817"/>
      <w:bookmarkEnd w:id="2818"/>
      <w:r w:rsidRPr="006720E4">
        <w:rPr>
          <w:rFonts w:ascii="Calibri" w:hAnsi="Calibri" w:cs="Calibri"/>
          <w:sz w:val="22"/>
          <w:szCs w:val="22"/>
          <w:lang w:eastAsia="en-AU"/>
        </w:rPr>
        <w:t xml:space="preserve"> </w:t>
      </w:r>
    </w:p>
    <w:p w14:paraId="021BCB9D" w14:textId="3C3E06A0" w:rsidR="006C6EBA" w:rsidRPr="006720E4" w:rsidRDefault="006C6EBA" w:rsidP="00EA22AE">
      <w:pPr>
        <w:spacing w:after="120"/>
        <w:rPr>
          <w:rFonts w:ascii="Calibri" w:hAnsi="Calibri" w:cs="Calibri"/>
          <w:bCs/>
          <w:sz w:val="22"/>
          <w:szCs w:val="22"/>
          <w:lang w:eastAsia="en-AU"/>
        </w:rPr>
      </w:pPr>
      <w:bookmarkStart w:id="2819" w:name="_Toc70328744"/>
      <w:bookmarkStart w:id="2820" w:name="_Toc70333974"/>
      <w:r w:rsidRPr="006720E4">
        <w:rPr>
          <w:rFonts w:ascii="Calibri" w:hAnsi="Calibri" w:cs="Calibri"/>
          <w:sz w:val="22"/>
          <w:szCs w:val="22"/>
          <w:lang w:eastAsia="en-AU"/>
        </w:rPr>
        <w:t xml:space="preserve">Broadly speaking, </w:t>
      </w:r>
      <w:hyperlink w:anchor="_Glossary_2" w:history="1">
        <w:r w:rsidRPr="006720E4">
          <w:rPr>
            <w:rStyle w:val="Hyperlink"/>
            <w:rFonts w:ascii="Calibri" w:hAnsi="Calibri" w:cs="Calibri"/>
            <w:bCs/>
            <w:sz w:val="22"/>
            <w:szCs w:val="22"/>
            <w:lang w:eastAsia="en-AU"/>
          </w:rPr>
          <w:t>privacy</w:t>
        </w:r>
      </w:hyperlink>
      <w:r w:rsidRPr="006720E4">
        <w:rPr>
          <w:rFonts w:ascii="Calibri" w:hAnsi="Calibri" w:cs="Calibri"/>
          <w:sz w:val="22"/>
          <w:szCs w:val="22"/>
          <w:lang w:eastAsia="en-AU"/>
        </w:rPr>
        <w:t xml:space="preserve"> refers to a person’s ability or right to control access to their person, including their physical person or body, and their personal information. Privacy may be thought of as</w:t>
      </w:r>
      <w:r w:rsidRPr="006720E4">
        <w:rPr>
          <w:rFonts w:ascii="Calibri" w:hAnsi="Calibri" w:cs="Calibri"/>
          <w:bCs/>
          <w:sz w:val="22"/>
          <w:szCs w:val="22"/>
          <w:lang w:eastAsia="en-AU"/>
        </w:rPr>
        <w:t xml:space="preserve"> a physical and theoretical space specific to an individual who governs that space. In practice, respect for privacy generally means that consent should be obtained before accessing a space that might be considered private, and a refusal should be respected. </w:t>
      </w:r>
      <w:bookmarkEnd w:id="2815"/>
      <w:bookmarkEnd w:id="2816"/>
      <w:bookmarkEnd w:id="2819"/>
      <w:bookmarkEnd w:id="2820"/>
    </w:p>
    <w:p w14:paraId="7F5F03B3" w14:textId="28F09AFB" w:rsidR="006C6EBA" w:rsidRPr="006720E4" w:rsidRDefault="006C6EBA" w:rsidP="00C3783C">
      <w:pPr>
        <w:pStyle w:val="ListParagraph"/>
        <w:numPr>
          <w:ilvl w:val="0"/>
          <w:numId w:val="104"/>
        </w:numPr>
        <w:spacing w:after="120"/>
        <w:contextualSpacing w:val="0"/>
        <w:rPr>
          <w:rFonts w:cs="Calibri"/>
          <w:szCs w:val="22"/>
          <w:lang w:eastAsia="en-AU"/>
        </w:rPr>
      </w:pPr>
      <w:r w:rsidRPr="006720E4">
        <w:rPr>
          <w:rFonts w:cs="Calibri"/>
          <w:szCs w:val="22"/>
          <w:lang w:eastAsia="en-AU"/>
        </w:rPr>
        <w:t xml:space="preserve">For example, if a doctor wishes to obtain information about a person’s risk of exposure to infectious diseases in order to evaluate whether they may be a suitable living donor, they should seek this information from the potential donor. If the person refuses to disclose their private information, it would be a violation of </w:t>
      </w:r>
      <w:r w:rsidRPr="006720E4">
        <w:rPr>
          <w:rFonts w:cs="Calibri"/>
          <w:b/>
          <w:bCs/>
          <w:szCs w:val="22"/>
          <w:lang w:eastAsia="en-AU"/>
        </w:rPr>
        <w:t>privacy</w:t>
      </w:r>
      <w:r w:rsidRPr="006720E4">
        <w:rPr>
          <w:rFonts w:cs="Calibri"/>
          <w:szCs w:val="22"/>
          <w:lang w:eastAsia="en-AU"/>
        </w:rPr>
        <w:t xml:space="preserve"> if the doctor tried to obtain the information in other ways, for example by questioning the person’s relatives or accessing their medical record for this purpose. </w:t>
      </w:r>
    </w:p>
    <w:p w14:paraId="7B1DD6AC" w14:textId="1E45E9CF" w:rsidR="006C6EBA" w:rsidRPr="006720E4" w:rsidRDefault="006C6EBA" w:rsidP="00EA22AE">
      <w:pPr>
        <w:spacing w:after="120"/>
        <w:rPr>
          <w:rFonts w:ascii="Calibri" w:hAnsi="Calibri" w:cs="Calibri"/>
          <w:bCs/>
          <w:sz w:val="22"/>
          <w:szCs w:val="22"/>
          <w:lang w:eastAsia="en-AU"/>
        </w:rPr>
      </w:pPr>
      <w:r w:rsidRPr="00115936">
        <w:rPr>
          <w:rFonts w:ascii="Calibri" w:hAnsi="Calibri" w:cs="Calibri"/>
          <w:bCs/>
          <w:sz w:val="22"/>
          <w:szCs w:val="22"/>
          <w:lang w:eastAsia="en-AU"/>
        </w:rPr>
        <w:t xml:space="preserve">See </w:t>
      </w:r>
      <w:hyperlink w:anchor="_Privacy_legislation_1" w:history="1">
        <w:r w:rsidRPr="00115936">
          <w:rPr>
            <w:rStyle w:val="Hyperlink"/>
            <w:rFonts w:ascii="Calibri" w:hAnsi="Calibri" w:cs="Calibri"/>
            <w:bCs/>
            <w:sz w:val="22"/>
            <w:szCs w:val="22"/>
            <w:lang w:eastAsia="en-AU"/>
          </w:rPr>
          <w:t xml:space="preserve">Chapter </w:t>
        </w:r>
        <w:r w:rsidR="00115936" w:rsidRPr="00115936">
          <w:rPr>
            <w:rStyle w:val="Hyperlink"/>
            <w:rFonts w:ascii="Calibri" w:hAnsi="Calibri" w:cs="Calibri"/>
            <w:bCs/>
            <w:sz w:val="22"/>
            <w:szCs w:val="22"/>
            <w:lang w:eastAsia="en-AU"/>
          </w:rPr>
          <w:t>7</w:t>
        </w:r>
        <w:r w:rsidRPr="00115936">
          <w:rPr>
            <w:rStyle w:val="Hyperlink"/>
            <w:rFonts w:ascii="Calibri" w:hAnsi="Calibri" w:cs="Calibri"/>
            <w:bCs/>
            <w:sz w:val="22"/>
            <w:szCs w:val="22"/>
            <w:lang w:eastAsia="en-AU"/>
          </w:rPr>
          <w:t>.1.1</w:t>
        </w:r>
      </w:hyperlink>
      <w:r w:rsidRPr="00115936">
        <w:rPr>
          <w:rFonts w:ascii="Calibri" w:hAnsi="Calibri" w:cs="Calibri"/>
          <w:bCs/>
          <w:sz w:val="22"/>
          <w:szCs w:val="22"/>
          <w:lang w:eastAsia="en-AU"/>
        </w:rPr>
        <w:t xml:space="preserve"> for a summary of the circumstances in which a health provider is generally legally permitted to disclose a person’s health</w:t>
      </w:r>
      <w:r w:rsidRPr="006720E4">
        <w:rPr>
          <w:rFonts w:ascii="Calibri" w:hAnsi="Calibri" w:cs="Calibri"/>
          <w:bCs/>
          <w:sz w:val="22"/>
          <w:szCs w:val="22"/>
          <w:lang w:eastAsia="en-AU"/>
        </w:rPr>
        <w:t xml:space="preserve"> information to other people.</w:t>
      </w:r>
    </w:p>
    <w:p w14:paraId="42C183F0" w14:textId="06786090" w:rsidR="006C6EBA" w:rsidRPr="006720E4" w:rsidRDefault="00000000" w:rsidP="00EA22AE">
      <w:pPr>
        <w:spacing w:after="120"/>
        <w:rPr>
          <w:rFonts w:ascii="Calibri" w:hAnsi="Calibri" w:cs="Calibri"/>
          <w:sz w:val="22"/>
          <w:szCs w:val="22"/>
          <w:lang w:eastAsia="en-AU"/>
        </w:rPr>
      </w:pPr>
      <w:hyperlink w:anchor="_Glossary_2" w:history="1">
        <w:r w:rsidR="006C6EBA" w:rsidRPr="006720E4">
          <w:rPr>
            <w:rStyle w:val="Hyperlink"/>
            <w:rFonts w:ascii="Calibri" w:hAnsi="Calibri" w:cs="Calibri"/>
            <w:sz w:val="22"/>
            <w:szCs w:val="22"/>
            <w:lang w:eastAsia="en-AU"/>
          </w:rPr>
          <w:t>Confidentiality</w:t>
        </w:r>
      </w:hyperlink>
      <w:r w:rsidR="006C6EBA" w:rsidRPr="006720E4">
        <w:rPr>
          <w:rFonts w:ascii="Calibri" w:hAnsi="Calibri" w:cs="Calibri"/>
          <w:sz w:val="22"/>
          <w:szCs w:val="22"/>
          <w:lang w:eastAsia="en-AU"/>
        </w:rPr>
        <w:t xml:space="preserve"> concerns the management of private or otherwise secret information. If a person discloses their private information in confidence to another person, that person has an ethical duty to keep it secret or to use and share that information only in accordance with the wishes of the person </w:t>
      </w:r>
      <w:r w:rsidR="006C6EBA" w:rsidRPr="006720E4">
        <w:rPr>
          <w:rFonts w:ascii="Calibri" w:hAnsi="Calibri" w:cs="Calibri"/>
          <w:sz w:val="22"/>
          <w:szCs w:val="22"/>
        </w:rPr>
        <w:t>to whom that information relates</w:t>
      </w:r>
      <w:r w:rsidR="006C6EBA" w:rsidRPr="006720E4">
        <w:rPr>
          <w:rFonts w:ascii="Calibri" w:hAnsi="Calibri" w:cs="Calibri"/>
          <w:sz w:val="22"/>
          <w:szCs w:val="22"/>
          <w:lang w:eastAsia="en-AU"/>
        </w:rPr>
        <w:t xml:space="preserve">. </w:t>
      </w:r>
    </w:p>
    <w:p w14:paraId="14EF66FB" w14:textId="31765E4F" w:rsidR="006C6EBA" w:rsidRPr="006720E4" w:rsidRDefault="006C6EBA" w:rsidP="00C3783C">
      <w:pPr>
        <w:pStyle w:val="ListParagraph"/>
        <w:numPr>
          <w:ilvl w:val="0"/>
          <w:numId w:val="104"/>
        </w:numPr>
        <w:spacing w:after="120"/>
        <w:contextualSpacing w:val="0"/>
        <w:rPr>
          <w:rFonts w:cs="Calibri"/>
          <w:szCs w:val="22"/>
          <w:lang w:eastAsia="en-AU"/>
        </w:rPr>
      </w:pPr>
      <w:r w:rsidRPr="006720E4">
        <w:rPr>
          <w:rFonts w:cs="Calibri"/>
          <w:szCs w:val="22"/>
          <w:lang w:eastAsia="en-AU"/>
        </w:rPr>
        <w:t xml:space="preserve">For example, if a prospective living donor chooses to disclose sensitive information about their risk of infectious disease to a doctor, they may give their permission for that information to be further communicated to a potential recipient of their donated cells, tissue or organ. However, if the doctor were to share the information with someone else, such as a friend of the doctor, this would be a breach of </w:t>
      </w:r>
      <w:r w:rsidRPr="006720E4">
        <w:rPr>
          <w:rFonts w:cs="Calibri"/>
          <w:b/>
          <w:bCs/>
          <w:szCs w:val="22"/>
          <w:lang w:eastAsia="en-AU"/>
        </w:rPr>
        <w:t xml:space="preserve">confidentiality </w:t>
      </w:r>
      <w:r w:rsidRPr="006720E4">
        <w:rPr>
          <w:rFonts w:cs="Calibri"/>
          <w:szCs w:val="22"/>
          <w:lang w:eastAsia="en-AU"/>
        </w:rPr>
        <w:t>as the prospective donor did not consent to this disclosure.</w:t>
      </w:r>
    </w:p>
    <w:p w14:paraId="3F4E6807" w14:textId="250CCF59"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lastRenderedPageBreak/>
        <w:t xml:space="preserve">In some cases, specific consent to disclosure of confidential information to a specific individual or for a specific purpose may be needed. This is particularly important when there are potential risks associated with the disclosure or use of information in a particular setting, or when it is reasonable to assume that the person would not expect their confidential information to be disclosed or used in a particular way.  In other cases, consent may be reasonably presumed. </w:t>
      </w:r>
    </w:p>
    <w:p w14:paraId="3DF99AE7" w14:textId="4FDB2BB9" w:rsidR="006C6EBA" w:rsidRPr="006720E4" w:rsidRDefault="006C6EBA" w:rsidP="00C3783C">
      <w:pPr>
        <w:pStyle w:val="ListParagraph"/>
        <w:numPr>
          <w:ilvl w:val="0"/>
          <w:numId w:val="104"/>
        </w:numPr>
        <w:spacing w:after="120"/>
        <w:contextualSpacing w:val="0"/>
        <w:rPr>
          <w:rFonts w:cs="Calibri"/>
          <w:szCs w:val="22"/>
          <w:lang w:eastAsia="en-AU"/>
        </w:rPr>
      </w:pPr>
      <w:r w:rsidRPr="006720E4">
        <w:rPr>
          <w:rFonts w:cs="Calibri"/>
          <w:szCs w:val="22"/>
          <w:lang w:eastAsia="en-AU"/>
        </w:rPr>
        <w:t>For example, a doctor providing care to a transplant candidate may share confidential information about the person’s medical history with other members of the transplant team, for the purpose of providing care to that person. Members of that team might also access the medical record of the transplant candidate without seeking consent from the person and this would not usually be considered a breach of privacy. This is because the person is presumed to consent to access and use of their medical information for the purpose of the transplant when they consent to receive care within a particular healthcare setting.</w:t>
      </w:r>
    </w:p>
    <w:p w14:paraId="2BB858E6" w14:textId="262928E8" w:rsidR="006C6EBA" w:rsidRPr="006720E4" w:rsidRDefault="006C6EBA" w:rsidP="00EA22AE">
      <w:pPr>
        <w:pStyle w:val="Heading3"/>
        <w:spacing w:after="120"/>
      </w:pPr>
      <w:bookmarkStart w:id="2821" w:name="_Privacy_legislation_1"/>
      <w:bookmarkStart w:id="2822" w:name="_Toc63683401"/>
      <w:bookmarkStart w:id="2823" w:name="_Toc70241740"/>
      <w:bookmarkStart w:id="2824" w:name="_Toc70243374"/>
      <w:bookmarkStart w:id="2825" w:name="_Toc70414830"/>
      <w:bookmarkStart w:id="2826" w:name="_Toc70844156"/>
      <w:bookmarkStart w:id="2827" w:name="_Toc72615088"/>
      <w:bookmarkStart w:id="2828" w:name="_Toc73129808"/>
      <w:bookmarkStart w:id="2829" w:name="_Toc73301677"/>
      <w:bookmarkStart w:id="2830" w:name="_Toc73302183"/>
      <w:bookmarkStart w:id="2831" w:name="_Toc73303316"/>
      <w:bookmarkStart w:id="2832" w:name="_Toc73303563"/>
      <w:bookmarkStart w:id="2833" w:name="_Toc74080680"/>
      <w:bookmarkStart w:id="2834" w:name="_Toc74080988"/>
      <w:bookmarkStart w:id="2835" w:name="_Toc74081218"/>
      <w:bookmarkStart w:id="2836" w:name="_Toc74081461"/>
      <w:bookmarkStart w:id="2837" w:name="_Toc74171049"/>
      <w:bookmarkStart w:id="2838" w:name="_Toc74172238"/>
      <w:bookmarkStart w:id="2839" w:name="_Toc74172774"/>
      <w:bookmarkStart w:id="2840" w:name="_Toc74238723"/>
      <w:bookmarkStart w:id="2841" w:name="_Toc79406402"/>
      <w:bookmarkStart w:id="2842" w:name="_Toc82773616"/>
      <w:bookmarkStart w:id="2843" w:name="_Toc82773969"/>
      <w:bookmarkEnd w:id="2821"/>
      <w:r w:rsidRPr="006720E4">
        <w:t>Privacy legislation</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14:paraId="5A37463F" w14:textId="3B853DA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Commonwealth and State or Territory legislation governs aspects of privacy in health care and creates rules regarding how a health provider can collect, use, or disclose (i.e., share) another person’s health information.  </w:t>
      </w:r>
    </w:p>
    <w:p w14:paraId="158EBECC" w14:textId="38D55716"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The Australian Government and federal, state and territory legislation provide extensive guidance about the protection of private information.</w:t>
      </w:r>
      <w:r w:rsidRPr="006720E4">
        <w:rPr>
          <w:rFonts w:ascii="Calibri" w:hAnsi="Calibri" w:cs="Calibri"/>
          <w:sz w:val="22"/>
          <w:szCs w:val="22"/>
          <w:lang w:eastAsia="en-AU"/>
        </w:rPr>
        <w:fldChar w:fldCharType="begin" w:fldLock="1"/>
      </w:r>
      <w:r w:rsidR="00EB088B">
        <w:rPr>
          <w:rFonts w:ascii="Calibri" w:hAnsi="Calibri" w:cs="Calibri"/>
          <w:sz w:val="22"/>
          <w:szCs w:val="22"/>
          <w:lang w:eastAsia="en-AU"/>
        </w:rPr>
        <w:instrText>ADDIN CSL_CITATION {"citationItems":[{"id":"ITEM-1","itemData":{"URL":"https://www.oaic.gov.au/privacy/your-privacy-rights/what-is-privacy/","author":[{"dropping-particle":"","family":"OAIC","given":"","non-dropping-particle":"","parse-names":false,"suffix":""}],"id":"ITEM-1","issued":{"date-parts":[["0"]]},"title":"What is privacy","type":"webpage"},"uris":["http://www.mendeley.com/documents/?uuid=3837512e-e360-43d8-9caa-b163b0430360"]}],"mendeley":{"formattedCitation":"(103)","plainTextFormattedCitation":"(103)","previouslyFormattedCitation":"(103)"},"properties":{"noteIndex":0},"schema":"https://github.com/citation-style-language/schema/raw/master/csl-citation.json"}</w:instrText>
      </w:r>
      <w:r w:rsidRPr="006720E4">
        <w:rPr>
          <w:rFonts w:ascii="Calibri" w:hAnsi="Calibri" w:cs="Calibri"/>
          <w:sz w:val="22"/>
          <w:szCs w:val="22"/>
          <w:lang w:eastAsia="en-AU"/>
        </w:rPr>
        <w:fldChar w:fldCharType="separate"/>
      </w:r>
      <w:r w:rsidR="00BA3D76" w:rsidRPr="00BA3D76">
        <w:rPr>
          <w:rFonts w:ascii="Calibri" w:hAnsi="Calibri" w:cs="Calibri"/>
          <w:noProof/>
          <w:sz w:val="22"/>
          <w:szCs w:val="22"/>
          <w:lang w:eastAsia="en-AU"/>
        </w:rPr>
        <w:t>(103)</w:t>
      </w:r>
      <w:r w:rsidRPr="006720E4">
        <w:rPr>
          <w:rFonts w:ascii="Calibri" w:hAnsi="Calibri" w:cs="Calibri"/>
          <w:sz w:val="22"/>
          <w:szCs w:val="22"/>
          <w:lang w:eastAsia="en-AU"/>
        </w:rPr>
        <w:fldChar w:fldCharType="end"/>
      </w:r>
      <w:r w:rsidRPr="006720E4">
        <w:rPr>
          <w:rFonts w:ascii="Calibri" w:hAnsi="Calibri" w:cs="Calibri"/>
          <w:sz w:val="22"/>
          <w:szCs w:val="22"/>
          <w:lang w:eastAsia="en-AU"/>
        </w:rPr>
        <w:t xml:space="preserve"> Specific legislation (see </w:t>
      </w:r>
      <w:r w:rsidRPr="00520A86">
        <w:rPr>
          <w:rFonts w:ascii="Calibri" w:hAnsi="Calibri" w:cs="Calibri"/>
          <w:b/>
          <w:bCs/>
          <w:sz w:val="22"/>
          <w:szCs w:val="22"/>
        </w:rPr>
        <w:t xml:space="preserve">Table </w:t>
      </w:r>
      <w:r w:rsidR="00520A86" w:rsidRPr="00520A86">
        <w:rPr>
          <w:rFonts w:ascii="Calibri" w:hAnsi="Calibri" w:cs="Calibri"/>
          <w:b/>
          <w:bCs/>
          <w:sz w:val="22"/>
          <w:szCs w:val="22"/>
        </w:rPr>
        <w:t>7</w:t>
      </w:r>
      <w:r w:rsidRPr="00520A86">
        <w:rPr>
          <w:rFonts w:ascii="Calibri" w:hAnsi="Calibri" w:cs="Calibri"/>
          <w:b/>
          <w:bCs/>
          <w:sz w:val="22"/>
          <w:szCs w:val="22"/>
        </w:rPr>
        <w:t>.1</w:t>
      </w:r>
      <w:r w:rsidRPr="006720E4">
        <w:rPr>
          <w:rFonts w:ascii="Calibri" w:hAnsi="Calibri" w:cs="Calibri"/>
          <w:sz w:val="22"/>
          <w:szCs w:val="22"/>
        </w:rPr>
        <w:t xml:space="preserve">) </w:t>
      </w:r>
      <w:r w:rsidRPr="006720E4">
        <w:rPr>
          <w:rFonts w:ascii="Calibri" w:hAnsi="Calibri" w:cs="Calibri"/>
          <w:sz w:val="22"/>
          <w:szCs w:val="22"/>
          <w:lang w:eastAsia="en-AU"/>
        </w:rPr>
        <w:t>governs the use of health information, which means that in some jurisdictions health professionals may be legally bound to manage information in particular ways</w:t>
      </w:r>
      <w:r w:rsidR="00520A86">
        <w:rPr>
          <w:rFonts w:ascii="Calibri" w:hAnsi="Calibri" w:cs="Calibri"/>
          <w:sz w:val="22"/>
          <w:szCs w:val="22"/>
          <w:lang w:eastAsia="en-AU"/>
        </w:rPr>
        <w:t>,</w:t>
      </w:r>
      <w:r w:rsidRPr="006720E4">
        <w:rPr>
          <w:rFonts w:ascii="Calibri" w:hAnsi="Calibri" w:cs="Calibri"/>
          <w:sz w:val="22"/>
          <w:szCs w:val="22"/>
          <w:lang w:eastAsia="en-AU"/>
        </w:rPr>
        <w:t xml:space="preserve"> regardless of how individuals may choose to manage their own personal information. (</w:t>
      </w:r>
      <w:r w:rsidRPr="001F7E00">
        <w:rPr>
          <w:rFonts w:ascii="Calibri" w:hAnsi="Calibri" w:cs="Calibri"/>
          <w:sz w:val="22"/>
          <w:szCs w:val="22"/>
          <w:lang w:eastAsia="en-AU"/>
        </w:rPr>
        <w:t xml:space="preserve">See also </w:t>
      </w:r>
      <w:hyperlink w:anchor="_Data_collection_and" w:history="1">
        <w:r w:rsidRPr="001F7E00">
          <w:rPr>
            <w:rStyle w:val="Hyperlink"/>
            <w:rFonts w:ascii="Calibri" w:hAnsi="Calibri" w:cs="Calibri"/>
            <w:sz w:val="22"/>
            <w:szCs w:val="22"/>
            <w:lang w:eastAsia="en-AU"/>
          </w:rPr>
          <w:t xml:space="preserve">Chapter </w:t>
        </w:r>
        <w:r w:rsidR="00115936" w:rsidRPr="001F7E00">
          <w:rPr>
            <w:rStyle w:val="Hyperlink"/>
            <w:rFonts w:ascii="Calibri" w:hAnsi="Calibri" w:cs="Calibri"/>
            <w:sz w:val="22"/>
            <w:szCs w:val="22"/>
            <w:lang w:eastAsia="en-AU"/>
          </w:rPr>
          <w:t>7</w:t>
        </w:r>
        <w:r w:rsidRPr="001F7E00">
          <w:rPr>
            <w:rStyle w:val="Hyperlink"/>
            <w:rFonts w:ascii="Calibri" w:hAnsi="Calibri" w:cs="Calibri"/>
            <w:sz w:val="22"/>
            <w:szCs w:val="22"/>
            <w:lang w:eastAsia="en-AU"/>
          </w:rPr>
          <w:t>.3</w:t>
        </w:r>
      </w:hyperlink>
      <w:r w:rsidRPr="001F7E00">
        <w:rPr>
          <w:rFonts w:ascii="Calibri" w:hAnsi="Calibri" w:cs="Calibri"/>
          <w:sz w:val="22"/>
          <w:szCs w:val="22"/>
          <w:lang w:eastAsia="en-AU"/>
        </w:rPr>
        <w:t xml:space="preserve"> for</w:t>
      </w:r>
      <w:r w:rsidRPr="006720E4">
        <w:rPr>
          <w:rFonts w:ascii="Calibri" w:hAnsi="Calibri" w:cs="Calibri"/>
          <w:sz w:val="22"/>
          <w:szCs w:val="22"/>
          <w:lang w:eastAsia="en-AU"/>
        </w:rPr>
        <w:t xml:space="preserve"> discussion of anonymity in non-directed donation). </w:t>
      </w:r>
    </w:p>
    <w:p w14:paraId="203A5EC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Generally, a health provider can only disclose a person’s health information to other people in the following circumstances:</w:t>
      </w:r>
    </w:p>
    <w:p w14:paraId="7A526A0E" w14:textId="77777777" w:rsidR="006C6EBA" w:rsidRPr="006720E4" w:rsidRDefault="006C6EBA" w:rsidP="00EA22AE">
      <w:pPr>
        <w:pStyle w:val="ListParagraph"/>
        <w:numPr>
          <w:ilvl w:val="0"/>
          <w:numId w:val="9"/>
        </w:numPr>
        <w:spacing w:after="120"/>
        <w:ind w:left="360"/>
        <w:contextualSpacing w:val="0"/>
        <w:rPr>
          <w:rFonts w:cs="Calibri"/>
          <w:szCs w:val="22"/>
        </w:rPr>
      </w:pPr>
      <w:r w:rsidRPr="006720E4">
        <w:rPr>
          <w:rFonts w:cs="Calibri"/>
          <w:szCs w:val="22"/>
        </w:rPr>
        <w:t xml:space="preserve">To fulfil the purpose they collected it for, or if it is directly related to a purpose that the person would reasonably expect – e.g., shared with another health professional in the treating team to provide the person with treatment they have consented to. </w:t>
      </w:r>
    </w:p>
    <w:p w14:paraId="46BB87A8" w14:textId="77777777" w:rsidR="006C6EBA" w:rsidRPr="006720E4" w:rsidRDefault="006C6EBA" w:rsidP="00EA22AE">
      <w:pPr>
        <w:pStyle w:val="ListParagraph"/>
        <w:numPr>
          <w:ilvl w:val="0"/>
          <w:numId w:val="9"/>
        </w:numPr>
        <w:spacing w:after="120"/>
        <w:ind w:left="360"/>
        <w:contextualSpacing w:val="0"/>
        <w:rPr>
          <w:rFonts w:cs="Calibri"/>
          <w:szCs w:val="22"/>
        </w:rPr>
      </w:pPr>
      <w:r w:rsidRPr="006720E4">
        <w:rPr>
          <w:rFonts w:cs="Calibri"/>
          <w:szCs w:val="22"/>
        </w:rPr>
        <w:t>The person agrees to the disclosure.</w:t>
      </w:r>
    </w:p>
    <w:p w14:paraId="23501984" w14:textId="45D1702A" w:rsidR="006C6EBA" w:rsidRPr="001F7E00" w:rsidRDefault="006C6EBA" w:rsidP="00EA22AE">
      <w:pPr>
        <w:pStyle w:val="ListParagraph"/>
        <w:numPr>
          <w:ilvl w:val="0"/>
          <w:numId w:val="9"/>
        </w:numPr>
        <w:spacing w:after="120"/>
        <w:ind w:left="360"/>
        <w:contextualSpacing w:val="0"/>
        <w:rPr>
          <w:rFonts w:cs="Calibri"/>
          <w:szCs w:val="22"/>
        </w:rPr>
      </w:pPr>
      <w:r w:rsidRPr="006720E4">
        <w:rPr>
          <w:rFonts w:cs="Calibri"/>
          <w:szCs w:val="22"/>
        </w:rPr>
        <w:t>It is required by law (see, for example</w:t>
      </w:r>
      <w:r w:rsidRPr="001F7E00">
        <w:rPr>
          <w:rFonts w:cs="Calibri"/>
          <w:szCs w:val="22"/>
        </w:rPr>
        <w:t xml:space="preserve">, </w:t>
      </w:r>
      <w:hyperlink w:anchor="_Lawful_disclosure_of" w:history="1">
        <w:r w:rsidRPr="001F7E00">
          <w:rPr>
            <w:rStyle w:val="Hyperlink"/>
            <w:rFonts w:cs="Calibri"/>
            <w:szCs w:val="22"/>
          </w:rPr>
          <w:t xml:space="preserve">Chapter </w:t>
        </w:r>
        <w:r w:rsidR="001F7E00" w:rsidRPr="001F7E00">
          <w:rPr>
            <w:rStyle w:val="Hyperlink"/>
            <w:rFonts w:cs="Calibri"/>
            <w:szCs w:val="22"/>
          </w:rPr>
          <w:t>7</w:t>
        </w:r>
        <w:r w:rsidRPr="001F7E00">
          <w:rPr>
            <w:rStyle w:val="Hyperlink"/>
            <w:rFonts w:cs="Calibri"/>
            <w:szCs w:val="22"/>
          </w:rPr>
          <w:t>.1.1.3</w:t>
        </w:r>
      </w:hyperlink>
      <w:r w:rsidRPr="001F7E00">
        <w:rPr>
          <w:rFonts w:cs="Calibri"/>
          <w:szCs w:val="22"/>
        </w:rPr>
        <w:t>).</w:t>
      </w:r>
    </w:p>
    <w:p w14:paraId="52EF9C7E" w14:textId="5C855B99" w:rsidR="006C6EBA" w:rsidRPr="001F7E00" w:rsidRDefault="006C6EBA" w:rsidP="00EA22AE">
      <w:pPr>
        <w:pStyle w:val="ListParagraph"/>
        <w:numPr>
          <w:ilvl w:val="0"/>
          <w:numId w:val="9"/>
        </w:numPr>
        <w:spacing w:after="120"/>
        <w:ind w:left="360"/>
        <w:contextualSpacing w:val="0"/>
        <w:rPr>
          <w:rFonts w:cs="Calibri"/>
          <w:szCs w:val="22"/>
        </w:rPr>
      </w:pPr>
      <w:r w:rsidRPr="001F7E00">
        <w:rPr>
          <w:rFonts w:cs="Calibri"/>
          <w:szCs w:val="22"/>
        </w:rPr>
        <w:t xml:space="preserve">It is necessary to prevent a serious threat to life, health or safety and it is not practical to get the person’s consent (see, for example, </w:t>
      </w:r>
      <w:hyperlink w:anchor="_Lawful_disclosure_of_1" w:history="1">
        <w:r w:rsidRPr="001F7E00">
          <w:rPr>
            <w:rStyle w:val="Hyperlink"/>
            <w:rFonts w:cs="Calibri"/>
            <w:szCs w:val="22"/>
          </w:rPr>
          <w:t xml:space="preserve">Chapter </w:t>
        </w:r>
        <w:r w:rsidR="001F7E00" w:rsidRPr="001F7E00">
          <w:rPr>
            <w:rStyle w:val="Hyperlink"/>
            <w:rFonts w:cs="Calibri"/>
            <w:szCs w:val="22"/>
          </w:rPr>
          <w:t>7</w:t>
        </w:r>
        <w:r w:rsidRPr="001F7E00">
          <w:rPr>
            <w:rStyle w:val="Hyperlink"/>
            <w:rFonts w:cs="Calibri"/>
            <w:szCs w:val="22"/>
          </w:rPr>
          <w:t>.1.1.2</w:t>
        </w:r>
      </w:hyperlink>
      <w:r w:rsidRPr="001F7E00">
        <w:rPr>
          <w:rFonts w:cs="Calibri"/>
          <w:szCs w:val="22"/>
        </w:rPr>
        <w:t xml:space="preserve">). </w:t>
      </w:r>
    </w:p>
    <w:p w14:paraId="4D5368D0" w14:textId="482899D4" w:rsidR="006C6EBA" w:rsidRDefault="006C6EBA" w:rsidP="00EA22AE">
      <w:pPr>
        <w:spacing w:after="120"/>
        <w:rPr>
          <w:rFonts w:ascii="Calibri" w:hAnsi="Calibri" w:cs="Calibri"/>
          <w:sz w:val="22"/>
          <w:szCs w:val="22"/>
        </w:rPr>
      </w:pPr>
      <w:r w:rsidRPr="001F7E00">
        <w:rPr>
          <w:rFonts w:ascii="Calibri" w:hAnsi="Calibri" w:cs="Calibri"/>
          <w:sz w:val="22"/>
          <w:szCs w:val="22"/>
        </w:rPr>
        <w:t xml:space="preserve">Additional legal obligations arise in relation to the identity of donors and recipients in the </w:t>
      </w:r>
      <w:r w:rsidRPr="001F7E00">
        <w:rPr>
          <w:rFonts w:ascii="Calibri" w:hAnsi="Calibri" w:cs="Calibri"/>
          <w:i/>
          <w:iCs/>
          <w:sz w:val="22"/>
          <w:szCs w:val="22"/>
        </w:rPr>
        <w:t>human tissue legislation</w:t>
      </w:r>
      <w:r w:rsidRPr="001F7E00">
        <w:rPr>
          <w:rFonts w:ascii="Calibri" w:hAnsi="Calibri" w:cs="Calibri"/>
          <w:sz w:val="22"/>
          <w:szCs w:val="22"/>
        </w:rPr>
        <w:t xml:space="preserve"> (see </w:t>
      </w:r>
      <w:hyperlink w:anchor="_Legal_considerations_in" w:history="1">
        <w:r w:rsidRPr="001F7E00">
          <w:rPr>
            <w:rStyle w:val="Hyperlink"/>
            <w:rFonts w:ascii="Calibri" w:hAnsi="Calibri" w:cs="Calibri"/>
            <w:sz w:val="22"/>
            <w:szCs w:val="22"/>
          </w:rPr>
          <w:t xml:space="preserve">Chapter </w:t>
        </w:r>
        <w:r w:rsidR="001F7E00" w:rsidRPr="001F7E00">
          <w:rPr>
            <w:rStyle w:val="Hyperlink"/>
            <w:rFonts w:ascii="Calibri" w:hAnsi="Calibri" w:cs="Calibri"/>
            <w:sz w:val="22"/>
            <w:szCs w:val="22"/>
          </w:rPr>
          <w:t>7</w:t>
        </w:r>
        <w:r w:rsidRPr="001F7E00">
          <w:rPr>
            <w:rStyle w:val="Hyperlink"/>
            <w:rFonts w:ascii="Calibri" w:hAnsi="Calibri" w:cs="Calibri"/>
            <w:sz w:val="22"/>
            <w:szCs w:val="22"/>
          </w:rPr>
          <w:t>.1.1.1</w:t>
        </w:r>
      </w:hyperlink>
      <w:r w:rsidRPr="001F7E00">
        <w:rPr>
          <w:rFonts w:ascii="Calibri" w:hAnsi="Calibri" w:cs="Calibri"/>
          <w:sz w:val="22"/>
          <w:szCs w:val="22"/>
        </w:rPr>
        <w:t>)</w:t>
      </w:r>
      <w:r w:rsidRPr="006720E4">
        <w:rPr>
          <w:rFonts w:ascii="Calibri" w:hAnsi="Calibri" w:cs="Calibri"/>
          <w:sz w:val="22"/>
          <w:szCs w:val="22"/>
        </w:rPr>
        <w:t xml:space="preserve"> </w:t>
      </w:r>
    </w:p>
    <w:p w14:paraId="4EA4970E" w14:textId="77777777" w:rsidR="00520A86" w:rsidRPr="006720E4" w:rsidRDefault="00520A86" w:rsidP="00EA22AE">
      <w:pPr>
        <w:spacing w:after="120"/>
        <w:rPr>
          <w:rFonts w:ascii="Calibri" w:hAnsi="Calibri" w:cs="Calibri"/>
          <w:sz w:val="22"/>
          <w:szCs w:val="22"/>
        </w:rPr>
      </w:pPr>
    </w:p>
    <w:tbl>
      <w:tblPr>
        <w:tblW w:w="0" w:type="auto"/>
        <w:jc w:val="center"/>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2743"/>
        <w:gridCol w:w="6223"/>
      </w:tblGrid>
      <w:tr w:rsidR="00520A86" w:rsidRPr="007E1B57" w14:paraId="14C403A9" w14:textId="77777777">
        <w:trPr>
          <w:jc w:val="center"/>
        </w:trPr>
        <w:tc>
          <w:tcPr>
            <w:tcW w:w="8966" w:type="dxa"/>
            <w:gridSpan w:val="2"/>
            <w:tcBorders>
              <w:top w:val="single" w:sz="4" w:space="0" w:color="auto"/>
              <w:bottom w:val="single" w:sz="4" w:space="0" w:color="auto"/>
            </w:tcBorders>
            <w:shd w:val="clear" w:color="auto" w:fill="E7E6E6"/>
            <w:tcMar>
              <w:top w:w="100" w:type="nil"/>
              <w:right w:w="100" w:type="nil"/>
            </w:tcMar>
          </w:tcPr>
          <w:p w14:paraId="1C4817C1" w14:textId="221C23AA" w:rsidR="00520A86" w:rsidRPr="00457B3B" w:rsidRDefault="00520A86" w:rsidP="00EA22AE">
            <w:pPr>
              <w:pStyle w:val="Guidelinesnormalparagraph"/>
              <w:rPr>
                <w:rFonts w:ascii="Calibri" w:hAnsi="Calibri" w:cs="Calibri"/>
                <w:b/>
                <w:bCs/>
                <w:kern w:val="0"/>
                <w:szCs w:val="22"/>
                <w:u w:color="0000FF"/>
                <w:lang w:val="en-GB"/>
              </w:rPr>
            </w:pPr>
            <w:r w:rsidRPr="00457B3B">
              <w:rPr>
                <w:rFonts w:ascii="Calibri" w:hAnsi="Calibri" w:cs="Calibri"/>
                <w:b/>
                <w:bCs/>
                <w:kern w:val="0"/>
                <w:szCs w:val="22"/>
                <w:u w:color="0000FF"/>
                <w:lang w:val="en-GB"/>
              </w:rPr>
              <w:t xml:space="preserve">Table </w:t>
            </w:r>
            <w:r>
              <w:rPr>
                <w:rFonts w:ascii="Calibri" w:hAnsi="Calibri" w:cs="Calibri"/>
                <w:b/>
                <w:bCs/>
                <w:kern w:val="0"/>
                <w:szCs w:val="22"/>
                <w:u w:color="0000FF"/>
                <w:lang w:val="en-GB"/>
              </w:rPr>
              <w:t>7</w:t>
            </w:r>
            <w:r w:rsidRPr="00457B3B">
              <w:rPr>
                <w:rFonts w:ascii="Calibri" w:hAnsi="Calibri" w:cs="Calibri"/>
                <w:b/>
                <w:bCs/>
                <w:kern w:val="0"/>
                <w:szCs w:val="22"/>
                <w:u w:color="0000FF"/>
                <w:lang w:val="en-GB"/>
              </w:rPr>
              <w:t>.1 - Privacy Legislation</w:t>
            </w:r>
          </w:p>
        </w:tc>
      </w:tr>
      <w:tr w:rsidR="00520A86" w:rsidRPr="007E1B57" w14:paraId="074E0116" w14:textId="77777777">
        <w:tblPrEx>
          <w:tblBorders>
            <w:top w:val="none" w:sz="0" w:space="0" w:color="auto"/>
          </w:tblBorders>
        </w:tblPrEx>
        <w:trPr>
          <w:jc w:val="center"/>
        </w:trPr>
        <w:tc>
          <w:tcPr>
            <w:tcW w:w="2743" w:type="dxa"/>
            <w:tcBorders>
              <w:top w:val="single" w:sz="4" w:space="0" w:color="auto"/>
              <w:bottom w:val="single" w:sz="4" w:space="0" w:color="auto"/>
              <w:right w:val="single" w:sz="4" w:space="0" w:color="auto"/>
            </w:tcBorders>
            <w:tcMar>
              <w:top w:w="100" w:type="nil"/>
              <w:right w:w="100" w:type="nil"/>
            </w:tcMar>
          </w:tcPr>
          <w:p w14:paraId="3ECD14E1"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CTH Privacy Act 1988</w:t>
            </w:r>
          </w:p>
        </w:tc>
        <w:tc>
          <w:tcPr>
            <w:tcW w:w="6223" w:type="dxa"/>
            <w:tcBorders>
              <w:top w:val="single" w:sz="4" w:space="0" w:color="auto"/>
              <w:left w:val="single" w:sz="4" w:space="0" w:color="auto"/>
              <w:bottom w:val="single" w:sz="4" w:space="0" w:color="auto"/>
            </w:tcBorders>
            <w:tcMar>
              <w:top w:w="100" w:type="nil"/>
              <w:right w:w="100" w:type="nil"/>
            </w:tcMar>
          </w:tcPr>
          <w:p w14:paraId="5CA6D534" w14:textId="77777777" w:rsidR="00520A86" w:rsidRPr="007E1B57" w:rsidRDefault="00520A86" w:rsidP="00EA22AE">
            <w:pPr>
              <w:pStyle w:val="Guidelinesnormalparagraph"/>
              <w:rPr>
                <w:rFonts w:ascii="Calibri" w:hAnsi="Calibri" w:cs="Calibri"/>
                <w:kern w:val="0"/>
                <w:szCs w:val="22"/>
                <w:u w:color="0000FF"/>
                <w:lang w:val="en-GB"/>
              </w:rPr>
            </w:pPr>
            <w:r w:rsidRPr="00656AAF">
              <w:rPr>
                <w:rFonts w:ascii="Calibri" w:hAnsi="Calibri" w:cs="Calibri"/>
                <w:color w:val="0000FF"/>
                <w:kern w:val="0"/>
                <w:szCs w:val="22"/>
                <w:u w:val="single" w:color="0000FF"/>
                <w:lang w:val="en-GB"/>
              </w:rPr>
              <w:t>https://www.legislation.gov.au/Details/C2022C00361</w:t>
            </w:r>
            <w:r>
              <w:rPr>
                <w:rFonts w:ascii="Calibri" w:hAnsi="Calibri" w:cs="Calibri"/>
                <w:color w:val="0000FF"/>
                <w:kern w:val="0"/>
                <w:szCs w:val="22"/>
                <w:u w:val="single" w:color="0000FF"/>
                <w:lang w:val="en-GB"/>
              </w:rPr>
              <w:t xml:space="preserve"> </w:t>
            </w:r>
          </w:p>
        </w:tc>
      </w:tr>
      <w:tr w:rsidR="00520A86" w:rsidRPr="007E1B57" w14:paraId="1FD303AF" w14:textId="77777777">
        <w:tblPrEx>
          <w:tblBorders>
            <w:top w:val="none" w:sz="0" w:space="0" w:color="auto"/>
          </w:tblBorders>
        </w:tblPrEx>
        <w:trPr>
          <w:jc w:val="center"/>
        </w:trPr>
        <w:tc>
          <w:tcPr>
            <w:tcW w:w="2743" w:type="dxa"/>
            <w:tcBorders>
              <w:top w:val="single" w:sz="4" w:space="0" w:color="auto"/>
              <w:bottom w:val="single" w:sz="4" w:space="0" w:color="auto"/>
              <w:right w:val="single" w:sz="4" w:space="0" w:color="auto"/>
            </w:tcBorders>
            <w:tcMar>
              <w:top w:w="100" w:type="nil"/>
              <w:right w:w="100" w:type="nil"/>
            </w:tcMar>
          </w:tcPr>
          <w:p w14:paraId="568C709F"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ACT Health Records (Privacy and Access) Act 1997</w:t>
            </w:r>
          </w:p>
        </w:tc>
        <w:tc>
          <w:tcPr>
            <w:tcW w:w="6223" w:type="dxa"/>
            <w:tcBorders>
              <w:top w:val="single" w:sz="4" w:space="0" w:color="auto"/>
              <w:left w:val="single" w:sz="4" w:space="0" w:color="auto"/>
              <w:bottom w:val="single" w:sz="4" w:space="0" w:color="auto"/>
            </w:tcBorders>
            <w:tcMar>
              <w:top w:w="100" w:type="nil"/>
              <w:right w:w="100" w:type="nil"/>
            </w:tcMar>
          </w:tcPr>
          <w:p w14:paraId="64C9767A" w14:textId="77777777" w:rsidR="00520A86" w:rsidRPr="007E1B57" w:rsidRDefault="00000000" w:rsidP="00EA22AE">
            <w:pPr>
              <w:pStyle w:val="Guidelinesnormalparagraph"/>
              <w:rPr>
                <w:rFonts w:ascii="Calibri" w:hAnsi="Calibri" w:cs="Calibri"/>
                <w:kern w:val="0"/>
                <w:szCs w:val="22"/>
                <w:u w:color="0000FF"/>
                <w:lang w:val="en-GB"/>
              </w:rPr>
            </w:pPr>
            <w:hyperlink r:id="rId92" w:history="1">
              <w:r w:rsidR="00520A86" w:rsidRPr="007E1B57">
                <w:rPr>
                  <w:rFonts w:ascii="Calibri" w:hAnsi="Calibri" w:cs="Calibri"/>
                  <w:color w:val="0000FF"/>
                  <w:kern w:val="0"/>
                  <w:szCs w:val="22"/>
                  <w:u w:val="single" w:color="0000FF"/>
                  <w:lang w:val="en-GB"/>
                </w:rPr>
                <w:t>https://www.legislation.act.gov.au/a/1997-125/</w:t>
              </w:r>
            </w:hyperlink>
          </w:p>
        </w:tc>
      </w:tr>
      <w:tr w:rsidR="00520A86" w:rsidRPr="007E1B57" w14:paraId="17757FB8" w14:textId="77777777">
        <w:tblPrEx>
          <w:tblBorders>
            <w:top w:val="none" w:sz="0" w:space="0" w:color="auto"/>
          </w:tblBorders>
        </w:tblPrEx>
        <w:trPr>
          <w:jc w:val="center"/>
        </w:trPr>
        <w:tc>
          <w:tcPr>
            <w:tcW w:w="2743" w:type="dxa"/>
            <w:tcBorders>
              <w:top w:val="single" w:sz="4" w:space="0" w:color="auto"/>
              <w:bottom w:val="single" w:sz="4" w:space="0" w:color="auto"/>
              <w:right w:val="single" w:sz="4" w:space="0" w:color="auto"/>
            </w:tcBorders>
            <w:tcMar>
              <w:top w:w="100" w:type="nil"/>
              <w:right w:w="100" w:type="nil"/>
            </w:tcMar>
          </w:tcPr>
          <w:p w14:paraId="7D41107C"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NSW Privacy and Personal Information Protection Act 1998</w:t>
            </w:r>
          </w:p>
          <w:p w14:paraId="442262ED"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lastRenderedPageBreak/>
              <w:t>NSW Health Records and Information Privacy Act 2002</w:t>
            </w:r>
          </w:p>
        </w:tc>
        <w:tc>
          <w:tcPr>
            <w:tcW w:w="6223" w:type="dxa"/>
            <w:tcBorders>
              <w:top w:val="single" w:sz="4" w:space="0" w:color="auto"/>
              <w:left w:val="single" w:sz="4" w:space="0" w:color="auto"/>
              <w:bottom w:val="single" w:sz="4" w:space="0" w:color="auto"/>
            </w:tcBorders>
            <w:tcMar>
              <w:top w:w="100" w:type="nil"/>
              <w:right w:w="100" w:type="nil"/>
            </w:tcMar>
          </w:tcPr>
          <w:p w14:paraId="7639FDEE" w14:textId="77777777" w:rsidR="00520A86" w:rsidRPr="007E1B57" w:rsidRDefault="00000000" w:rsidP="00EA22AE">
            <w:pPr>
              <w:pStyle w:val="Guidelinesnormalparagraph"/>
              <w:rPr>
                <w:rFonts w:ascii="Calibri" w:hAnsi="Calibri" w:cs="Calibri"/>
                <w:kern w:val="0"/>
                <w:szCs w:val="22"/>
                <w:u w:color="0000FF"/>
                <w:lang w:val="en-GB"/>
              </w:rPr>
            </w:pPr>
            <w:hyperlink r:id="rId93" w:history="1">
              <w:r w:rsidR="00520A86" w:rsidRPr="007E1B57">
                <w:rPr>
                  <w:rFonts w:ascii="Calibri" w:hAnsi="Calibri" w:cs="Calibri"/>
                  <w:color w:val="0000FF"/>
                  <w:kern w:val="0"/>
                  <w:szCs w:val="22"/>
                  <w:u w:val="single" w:color="0000FF"/>
                  <w:lang w:val="en-GB"/>
                </w:rPr>
                <w:t>https://legislation.nsw.gov.au/view/html/inforce/current/act-</w:t>
              </w:r>
            </w:hyperlink>
            <w:r w:rsidR="00520A86" w:rsidRPr="007E1B57">
              <w:rPr>
                <w:rFonts w:ascii="Calibri" w:hAnsi="Calibri" w:cs="Calibri"/>
                <w:kern w:val="0"/>
                <w:szCs w:val="22"/>
                <w:u w:color="0000FF"/>
                <w:lang w:val="en-GB"/>
              </w:rPr>
              <w:t xml:space="preserve"> </w:t>
            </w:r>
            <w:hyperlink r:id="rId94" w:history="1">
              <w:r w:rsidR="00520A86" w:rsidRPr="007E1B57">
                <w:rPr>
                  <w:rFonts w:ascii="Calibri" w:hAnsi="Calibri" w:cs="Calibri"/>
                  <w:color w:val="0000FF"/>
                  <w:kern w:val="0"/>
                  <w:szCs w:val="22"/>
                  <w:u w:val="single" w:color="0000FF"/>
                  <w:lang w:val="en-GB"/>
                </w:rPr>
                <w:t>1998-133</w:t>
              </w:r>
            </w:hyperlink>
          </w:p>
          <w:p w14:paraId="29CF7984" w14:textId="77777777" w:rsidR="00520A86" w:rsidRPr="007E1B57" w:rsidRDefault="00000000" w:rsidP="00EA22AE">
            <w:pPr>
              <w:pStyle w:val="Guidelinesnormalparagraph"/>
              <w:rPr>
                <w:rFonts w:ascii="Calibri" w:hAnsi="Calibri" w:cs="Calibri"/>
                <w:kern w:val="0"/>
                <w:szCs w:val="22"/>
                <w:u w:color="0000FF"/>
                <w:lang w:val="en-GB"/>
              </w:rPr>
            </w:pPr>
            <w:hyperlink r:id="rId95" w:history="1">
              <w:r w:rsidR="00520A86" w:rsidRPr="007E1B57">
                <w:rPr>
                  <w:rFonts w:ascii="Calibri" w:hAnsi="Calibri" w:cs="Calibri"/>
                  <w:color w:val="0000FF"/>
                  <w:kern w:val="0"/>
                  <w:szCs w:val="22"/>
                  <w:u w:val="single" w:color="0000FF"/>
                  <w:lang w:val="en-GB"/>
                </w:rPr>
                <w:t>https://legislation.nsw.gov.au/view/html/inforce/current/act-</w:t>
              </w:r>
            </w:hyperlink>
            <w:r w:rsidR="00520A86" w:rsidRPr="007E1B57">
              <w:rPr>
                <w:rFonts w:ascii="Calibri" w:hAnsi="Calibri" w:cs="Calibri"/>
                <w:kern w:val="0"/>
                <w:szCs w:val="22"/>
                <w:u w:color="0000FF"/>
                <w:lang w:val="en-GB"/>
              </w:rPr>
              <w:t xml:space="preserve"> </w:t>
            </w:r>
            <w:hyperlink r:id="rId96" w:history="1">
              <w:r w:rsidR="00520A86" w:rsidRPr="007E1B57">
                <w:rPr>
                  <w:rFonts w:ascii="Calibri" w:hAnsi="Calibri" w:cs="Calibri"/>
                  <w:color w:val="0000FF"/>
                  <w:kern w:val="0"/>
                  <w:szCs w:val="22"/>
                  <w:u w:val="single" w:color="0000FF"/>
                  <w:lang w:val="en-GB"/>
                </w:rPr>
                <w:t>2002-071</w:t>
              </w:r>
            </w:hyperlink>
          </w:p>
        </w:tc>
      </w:tr>
      <w:tr w:rsidR="00520A86" w:rsidRPr="007E1B57" w14:paraId="7EC8471C" w14:textId="77777777">
        <w:tblPrEx>
          <w:tblBorders>
            <w:top w:val="none" w:sz="0" w:space="0" w:color="auto"/>
          </w:tblBorders>
        </w:tblPrEx>
        <w:trPr>
          <w:jc w:val="center"/>
        </w:trPr>
        <w:tc>
          <w:tcPr>
            <w:tcW w:w="2743" w:type="dxa"/>
            <w:tcBorders>
              <w:top w:val="single" w:sz="4" w:space="0" w:color="auto"/>
              <w:bottom w:val="single" w:sz="4" w:space="0" w:color="auto"/>
              <w:right w:val="single" w:sz="4" w:space="0" w:color="auto"/>
            </w:tcBorders>
            <w:tcMar>
              <w:top w:w="100" w:type="nil"/>
              <w:right w:w="100" w:type="nil"/>
            </w:tcMar>
          </w:tcPr>
          <w:p w14:paraId="11B16341"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NT Information Act 2002</w:t>
            </w:r>
          </w:p>
        </w:tc>
        <w:tc>
          <w:tcPr>
            <w:tcW w:w="6223" w:type="dxa"/>
            <w:tcBorders>
              <w:top w:val="single" w:sz="4" w:space="0" w:color="auto"/>
              <w:left w:val="single" w:sz="4" w:space="0" w:color="auto"/>
              <w:bottom w:val="single" w:sz="4" w:space="0" w:color="auto"/>
            </w:tcBorders>
            <w:tcMar>
              <w:top w:w="100" w:type="nil"/>
              <w:right w:w="100" w:type="nil"/>
            </w:tcMar>
          </w:tcPr>
          <w:p w14:paraId="5D396AEF" w14:textId="77777777" w:rsidR="00520A86" w:rsidRPr="007E1B57" w:rsidRDefault="00000000" w:rsidP="00EA22AE">
            <w:pPr>
              <w:pStyle w:val="Guidelinesnormalparagraph"/>
              <w:rPr>
                <w:rFonts w:ascii="Calibri" w:hAnsi="Calibri" w:cs="Calibri"/>
                <w:kern w:val="0"/>
                <w:szCs w:val="22"/>
                <w:u w:color="0000FF"/>
                <w:lang w:val="en-GB"/>
              </w:rPr>
            </w:pPr>
            <w:hyperlink r:id="rId97" w:history="1">
              <w:r w:rsidR="00520A86" w:rsidRPr="007E1B57">
                <w:rPr>
                  <w:rFonts w:ascii="Calibri" w:hAnsi="Calibri" w:cs="Calibri"/>
                  <w:color w:val="0000FF"/>
                  <w:kern w:val="0"/>
                  <w:szCs w:val="22"/>
                  <w:u w:val="single" w:color="0000FF"/>
                  <w:lang w:val="en-GB"/>
                </w:rPr>
                <w:t>https://legislation.nt.gov.au/Legislation/INFORMATION-ACT-2002</w:t>
              </w:r>
            </w:hyperlink>
          </w:p>
        </w:tc>
      </w:tr>
      <w:tr w:rsidR="00520A86" w:rsidRPr="007E1B57" w14:paraId="1B54B891" w14:textId="77777777">
        <w:tblPrEx>
          <w:tblBorders>
            <w:top w:val="none" w:sz="0" w:space="0" w:color="auto"/>
          </w:tblBorders>
        </w:tblPrEx>
        <w:trPr>
          <w:jc w:val="center"/>
        </w:trPr>
        <w:tc>
          <w:tcPr>
            <w:tcW w:w="2743" w:type="dxa"/>
            <w:tcBorders>
              <w:top w:val="single" w:sz="4" w:space="0" w:color="auto"/>
              <w:bottom w:val="single" w:sz="4" w:space="0" w:color="auto"/>
              <w:right w:val="single" w:sz="4" w:space="0" w:color="auto"/>
            </w:tcBorders>
            <w:tcMar>
              <w:top w:w="100" w:type="nil"/>
              <w:right w:w="100" w:type="nil"/>
            </w:tcMar>
          </w:tcPr>
          <w:p w14:paraId="645CF9C7"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QLD Information Privacy Act 2009</w:t>
            </w:r>
          </w:p>
          <w:p w14:paraId="5DE723D4"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QLD Right to Information Act 2009</w:t>
            </w:r>
          </w:p>
        </w:tc>
        <w:tc>
          <w:tcPr>
            <w:tcW w:w="6223" w:type="dxa"/>
            <w:tcBorders>
              <w:top w:val="single" w:sz="4" w:space="0" w:color="auto"/>
              <w:left w:val="single" w:sz="4" w:space="0" w:color="auto"/>
              <w:bottom w:val="single" w:sz="4" w:space="0" w:color="auto"/>
            </w:tcBorders>
            <w:tcMar>
              <w:top w:w="100" w:type="nil"/>
              <w:right w:w="100" w:type="nil"/>
            </w:tcMar>
          </w:tcPr>
          <w:p w14:paraId="0756625F" w14:textId="77777777" w:rsidR="00520A86" w:rsidRPr="007E1B57" w:rsidRDefault="00000000" w:rsidP="00EA22AE">
            <w:pPr>
              <w:pStyle w:val="Guidelinesnormalparagraph"/>
              <w:rPr>
                <w:rFonts w:ascii="Calibri" w:hAnsi="Calibri" w:cs="Calibri"/>
                <w:kern w:val="0"/>
                <w:szCs w:val="22"/>
                <w:u w:color="0000FF"/>
                <w:lang w:val="en-GB"/>
              </w:rPr>
            </w:pPr>
            <w:hyperlink r:id="rId98" w:history="1">
              <w:r w:rsidR="00520A86" w:rsidRPr="007E1B57">
                <w:rPr>
                  <w:rFonts w:ascii="Calibri" w:hAnsi="Calibri" w:cs="Calibri"/>
                  <w:color w:val="0000FF"/>
                  <w:kern w:val="0"/>
                  <w:szCs w:val="22"/>
                  <w:u w:val="single" w:color="0000FF"/>
                  <w:lang w:val="en-GB"/>
                </w:rPr>
                <w:t>https://www.legislation.qld.gov.au/view/html/inforce/current/act-</w:t>
              </w:r>
            </w:hyperlink>
            <w:r w:rsidR="00520A86" w:rsidRPr="007E1B57">
              <w:rPr>
                <w:rFonts w:ascii="Calibri" w:hAnsi="Calibri" w:cs="Calibri"/>
                <w:kern w:val="0"/>
                <w:szCs w:val="22"/>
                <w:u w:color="0000FF"/>
                <w:lang w:val="en-GB"/>
              </w:rPr>
              <w:t xml:space="preserve"> </w:t>
            </w:r>
            <w:hyperlink r:id="rId99" w:history="1">
              <w:r w:rsidR="00520A86" w:rsidRPr="007E1B57">
                <w:rPr>
                  <w:rFonts w:ascii="Calibri" w:hAnsi="Calibri" w:cs="Calibri"/>
                  <w:color w:val="0000FF"/>
                  <w:kern w:val="0"/>
                  <w:szCs w:val="22"/>
                  <w:u w:val="single" w:color="0000FF"/>
                  <w:lang w:val="en-GB"/>
                </w:rPr>
                <w:t>2009-014</w:t>
              </w:r>
            </w:hyperlink>
          </w:p>
          <w:p w14:paraId="18088EA3" w14:textId="77777777" w:rsidR="00520A86" w:rsidRPr="007E1B57" w:rsidRDefault="00000000" w:rsidP="00EA22AE">
            <w:pPr>
              <w:pStyle w:val="Guidelinesnormalparagraph"/>
              <w:rPr>
                <w:rFonts w:ascii="Calibri" w:hAnsi="Calibri" w:cs="Calibri"/>
                <w:kern w:val="0"/>
                <w:szCs w:val="22"/>
                <w:u w:color="0000FF"/>
                <w:lang w:val="en-GB"/>
              </w:rPr>
            </w:pPr>
            <w:hyperlink r:id="rId100" w:history="1">
              <w:r w:rsidR="00520A86" w:rsidRPr="007E1B57">
                <w:rPr>
                  <w:rFonts w:ascii="Calibri" w:hAnsi="Calibri" w:cs="Calibri"/>
                  <w:color w:val="0000FF"/>
                  <w:kern w:val="0"/>
                  <w:szCs w:val="22"/>
                  <w:u w:val="single" w:color="0000FF"/>
                  <w:lang w:val="en-GB"/>
                </w:rPr>
                <w:t>https://www.legislation.qld.gov.au/view/html/inforce/current/act-</w:t>
              </w:r>
            </w:hyperlink>
            <w:r w:rsidR="00520A86" w:rsidRPr="007E1B57">
              <w:rPr>
                <w:rFonts w:ascii="Calibri" w:hAnsi="Calibri" w:cs="Calibri"/>
                <w:kern w:val="0"/>
                <w:szCs w:val="22"/>
                <w:u w:color="0000FF"/>
                <w:lang w:val="en-GB"/>
              </w:rPr>
              <w:t xml:space="preserve"> </w:t>
            </w:r>
            <w:hyperlink r:id="rId101" w:history="1">
              <w:r w:rsidR="00520A86" w:rsidRPr="007E1B57">
                <w:rPr>
                  <w:rFonts w:ascii="Calibri" w:hAnsi="Calibri" w:cs="Calibri"/>
                  <w:color w:val="0000FF"/>
                  <w:kern w:val="0"/>
                  <w:szCs w:val="22"/>
                  <w:u w:val="single" w:color="0000FF"/>
                  <w:lang w:val="en-GB"/>
                </w:rPr>
                <w:t>2009-013</w:t>
              </w:r>
            </w:hyperlink>
          </w:p>
        </w:tc>
      </w:tr>
      <w:tr w:rsidR="00520A86" w:rsidRPr="007E1B57" w14:paraId="3FE5EA20" w14:textId="77777777">
        <w:tblPrEx>
          <w:tblBorders>
            <w:top w:val="none" w:sz="0" w:space="0" w:color="auto"/>
          </w:tblBorders>
        </w:tblPrEx>
        <w:trPr>
          <w:jc w:val="center"/>
        </w:trPr>
        <w:tc>
          <w:tcPr>
            <w:tcW w:w="2743" w:type="dxa"/>
            <w:tcBorders>
              <w:top w:val="single" w:sz="4" w:space="0" w:color="auto"/>
              <w:bottom w:val="single" w:sz="4" w:space="0" w:color="auto"/>
              <w:right w:val="single" w:sz="4" w:space="0" w:color="auto"/>
            </w:tcBorders>
            <w:tcMar>
              <w:top w:w="100" w:type="nil"/>
              <w:right w:w="100" w:type="nil"/>
            </w:tcMar>
          </w:tcPr>
          <w:p w14:paraId="1C3952BE"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TAS Personal Information and Protection Act 2004</w:t>
            </w:r>
          </w:p>
        </w:tc>
        <w:tc>
          <w:tcPr>
            <w:tcW w:w="6223" w:type="dxa"/>
            <w:tcBorders>
              <w:top w:val="single" w:sz="4" w:space="0" w:color="auto"/>
              <w:left w:val="single" w:sz="4" w:space="0" w:color="auto"/>
              <w:bottom w:val="single" w:sz="4" w:space="0" w:color="auto"/>
            </w:tcBorders>
            <w:tcMar>
              <w:top w:w="100" w:type="nil"/>
              <w:right w:w="100" w:type="nil"/>
            </w:tcMar>
          </w:tcPr>
          <w:p w14:paraId="5E28021D" w14:textId="77777777" w:rsidR="00520A86" w:rsidRPr="007E1B57" w:rsidRDefault="00000000" w:rsidP="00EA22AE">
            <w:pPr>
              <w:pStyle w:val="Guidelinesnormalparagraph"/>
              <w:rPr>
                <w:rFonts w:ascii="Calibri" w:hAnsi="Calibri" w:cs="Calibri"/>
                <w:kern w:val="0"/>
                <w:szCs w:val="22"/>
                <w:u w:color="0000FF"/>
                <w:lang w:val="en-GB"/>
              </w:rPr>
            </w:pPr>
            <w:hyperlink r:id="rId102" w:history="1">
              <w:r w:rsidR="00520A86" w:rsidRPr="007E1B57">
                <w:rPr>
                  <w:rFonts w:ascii="Calibri" w:hAnsi="Calibri" w:cs="Calibri"/>
                  <w:color w:val="0000FF"/>
                  <w:kern w:val="0"/>
                  <w:szCs w:val="22"/>
                  <w:u w:val="single" w:color="0000FF"/>
                  <w:lang w:val="en-GB"/>
                </w:rPr>
                <w:t>https://www.legislation.tas.gov.au/view/html/inforce/current/act-</w:t>
              </w:r>
            </w:hyperlink>
            <w:r w:rsidR="00520A86" w:rsidRPr="007E1B57">
              <w:rPr>
                <w:rFonts w:ascii="Calibri" w:hAnsi="Calibri" w:cs="Calibri"/>
                <w:kern w:val="0"/>
                <w:szCs w:val="22"/>
                <w:u w:color="0000FF"/>
                <w:lang w:val="en-GB"/>
              </w:rPr>
              <w:t xml:space="preserve"> </w:t>
            </w:r>
            <w:hyperlink r:id="rId103" w:history="1">
              <w:r w:rsidR="00520A86" w:rsidRPr="007E1B57">
                <w:rPr>
                  <w:rFonts w:ascii="Calibri" w:hAnsi="Calibri" w:cs="Calibri"/>
                  <w:color w:val="0000FF"/>
                  <w:kern w:val="0"/>
                  <w:szCs w:val="22"/>
                  <w:u w:val="single" w:color="0000FF"/>
                  <w:lang w:val="en-GB"/>
                </w:rPr>
                <w:t>2004-046</w:t>
              </w:r>
            </w:hyperlink>
          </w:p>
        </w:tc>
      </w:tr>
      <w:tr w:rsidR="00520A86" w:rsidRPr="007E1B57" w14:paraId="5A58DC93" w14:textId="77777777">
        <w:tblPrEx>
          <w:tblBorders>
            <w:top w:val="none" w:sz="0" w:space="0" w:color="auto"/>
          </w:tblBorders>
        </w:tblPrEx>
        <w:trPr>
          <w:jc w:val="center"/>
        </w:trPr>
        <w:tc>
          <w:tcPr>
            <w:tcW w:w="2743" w:type="dxa"/>
            <w:tcBorders>
              <w:top w:val="single" w:sz="4" w:space="0" w:color="auto"/>
              <w:bottom w:val="single" w:sz="4" w:space="0" w:color="auto"/>
              <w:right w:val="single" w:sz="4" w:space="0" w:color="auto"/>
            </w:tcBorders>
            <w:tcMar>
              <w:top w:w="100" w:type="nil"/>
              <w:right w:w="100" w:type="nil"/>
            </w:tcMar>
          </w:tcPr>
          <w:p w14:paraId="7253B46D"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VIC Privacy and Data Protection Act 2014</w:t>
            </w:r>
          </w:p>
          <w:p w14:paraId="103D9B88" w14:textId="77777777" w:rsidR="00520A86" w:rsidRPr="007E1B57" w:rsidRDefault="00520A86" w:rsidP="00EA22AE">
            <w:pPr>
              <w:pStyle w:val="Guidelinesnormalparagraph"/>
              <w:rPr>
                <w:rFonts w:ascii="Calibri" w:hAnsi="Calibri" w:cs="Calibri"/>
                <w:kern w:val="0"/>
                <w:szCs w:val="22"/>
                <w:u w:color="0000FF"/>
                <w:lang w:val="en-GB"/>
              </w:rPr>
            </w:pPr>
            <w:r w:rsidRPr="007E1B57">
              <w:rPr>
                <w:rFonts w:ascii="Calibri" w:hAnsi="Calibri" w:cs="Calibri"/>
                <w:kern w:val="0"/>
                <w:szCs w:val="22"/>
                <w:u w:color="0000FF"/>
                <w:lang w:val="en-GB"/>
              </w:rPr>
              <w:t>VIC Health Records Act 2001</w:t>
            </w:r>
          </w:p>
        </w:tc>
        <w:tc>
          <w:tcPr>
            <w:tcW w:w="6223" w:type="dxa"/>
            <w:tcBorders>
              <w:top w:val="single" w:sz="4" w:space="0" w:color="auto"/>
              <w:left w:val="single" w:sz="4" w:space="0" w:color="auto"/>
              <w:bottom w:val="single" w:sz="4" w:space="0" w:color="auto"/>
            </w:tcBorders>
            <w:tcMar>
              <w:top w:w="100" w:type="nil"/>
              <w:right w:w="100" w:type="nil"/>
            </w:tcMar>
          </w:tcPr>
          <w:p w14:paraId="26847378" w14:textId="77777777" w:rsidR="00520A86" w:rsidRPr="007E1B57" w:rsidRDefault="00000000" w:rsidP="00EA22AE">
            <w:pPr>
              <w:pStyle w:val="Guidelinesnormalparagraph"/>
              <w:rPr>
                <w:rFonts w:ascii="Calibri" w:hAnsi="Calibri" w:cs="Calibri"/>
                <w:kern w:val="0"/>
                <w:szCs w:val="22"/>
                <w:u w:color="0000FF"/>
                <w:lang w:val="en-GB"/>
              </w:rPr>
            </w:pPr>
            <w:hyperlink r:id="rId104" w:history="1">
              <w:r w:rsidR="00520A86" w:rsidRPr="007E1B57">
                <w:rPr>
                  <w:rFonts w:ascii="Calibri" w:hAnsi="Calibri" w:cs="Calibri"/>
                  <w:color w:val="0000FF"/>
                  <w:kern w:val="0"/>
                  <w:szCs w:val="22"/>
                  <w:u w:val="single" w:color="0000FF"/>
                  <w:lang w:val="en-GB"/>
                </w:rPr>
                <w:t>https://www.legislation.vic.gov.au/in-force/acts/privacy-and-data-</w:t>
              </w:r>
            </w:hyperlink>
            <w:r w:rsidR="00520A86" w:rsidRPr="007E1B57">
              <w:rPr>
                <w:rFonts w:ascii="Calibri" w:hAnsi="Calibri" w:cs="Calibri"/>
                <w:kern w:val="0"/>
                <w:szCs w:val="22"/>
                <w:u w:color="0000FF"/>
                <w:lang w:val="en-GB"/>
              </w:rPr>
              <w:t xml:space="preserve"> </w:t>
            </w:r>
            <w:hyperlink r:id="rId105" w:history="1">
              <w:r w:rsidR="00520A86" w:rsidRPr="007E1B57">
                <w:rPr>
                  <w:rFonts w:ascii="Calibri" w:hAnsi="Calibri" w:cs="Calibri"/>
                  <w:color w:val="0000FF"/>
                  <w:kern w:val="0"/>
                  <w:szCs w:val="22"/>
                  <w:u w:val="single" w:color="0000FF"/>
                  <w:lang w:val="en-GB"/>
                </w:rPr>
                <w:t>protection-act-2014/027</w:t>
              </w:r>
            </w:hyperlink>
          </w:p>
          <w:p w14:paraId="424E8BE0" w14:textId="77777777" w:rsidR="00520A86" w:rsidRPr="007E1B57" w:rsidRDefault="00000000" w:rsidP="00EA22AE">
            <w:pPr>
              <w:pStyle w:val="Guidelinesnormalparagraph"/>
              <w:rPr>
                <w:rFonts w:ascii="Calibri" w:hAnsi="Calibri" w:cs="Calibri"/>
                <w:kern w:val="0"/>
                <w:szCs w:val="22"/>
                <w:u w:color="0000FF"/>
                <w:lang w:val="en-GB"/>
              </w:rPr>
            </w:pPr>
            <w:hyperlink r:id="rId106" w:history="1">
              <w:r w:rsidR="00520A86" w:rsidRPr="007E1B57">
                <w:rPr>
                  <w:rFonts w:ascii="Calibri" w:hAnsi="Calibri" w:cs="Calibri"/>
                  <w:color w:val="0000FF"/>
                  <w:kern w:val="0"/>
                  <w:szCs w:val="22"/>
                  <w:u w:val="single" w:color="0000FF"/>
                  <w:lang w:val="en-GB"/>
                </w:rPr>
                <w:t>https://www.legislation.vic.gov.au/in-force/acts/health-records-</w:t>
              </w:r>
            </w:hyperlink>
            <w:r w:rsidR="00520A86" w:rsidRPr="007E1B57">
              <w:rPr>
                <w:rFonts w:ascii="Calibri" w:hAnsi="Calibri" w:cs="Calibri"/>
                <w:kern w:val="0"/>
                <w:szCs w:val="22"/>
                <w:u w:color="0000FF"/>
                <w:lang w:val="en-GB"/>
              </w:rPr>
              <w:t xml:space="preserve"> </w:t>
            </w:r>
            <w:hyperlink r:id="rId107" w:history="1">
              <w:r w:rsidR="00520A86" w:rsidRPr="007E1B57">
                <w:rPr>
                  <w:rFonts w:ascii="Calibri" w:hAnsi="Calibri" w:cs="Calibri"/>
                  <w:color w:val="0000FF"/>
                  <w:kern w:val="0"/>
                  <w:szCs w:val="22"/>
                  <w:u w:val="single" w:color="0000FF"/>
                  <w:lang w:val="en-GB"/>
                </w:rPr>
                <w:t>act-2001/046</w:t>
              </w:r>
            </w:hyperlink>
          </w:p>
        </w:tc>
      </w:tr>
      <w:tr w:rsidR="00520A86" w:rsidRPr="007E1B57" w14:paraId="5688C4F5" w14:textId="77777777">
        <w:tblPrEx>
          <w:tblBorders>
            <w:top w:val="none" w:sz="0" w:space="0" w:color="auto"/>
            <w:bottom w:val="single" w:sz="4" w:space="0" w:color="auto"/>
          </w:tblBorders>
        </w:tblPrEx>
        <w:trPr>
          <w:jc w:val="center"/>
        </w:trPr>
        <w:tc>
          <w:tcPr>
            <w:tcW w:w="8966" w:type="dxa"/>
            <w:gridSpan w:val="2"/>
            <w:tcBorders>
              <w:top w:val="single" w:sz="4" w:space="0" w:color="auto"/>
              <w:bottom w:val="single" w:sz="4" w:space="0" w:color="auto"/>
            </w:tcBorders>
            <w:tcMar>
              <w:top w:w="100" w:type="nil"/>
              <w:right w:w="100" w:type="nil"/>
            </w:tcMar>
          </w:tcPr>
          <w:p w14:paraId="1E12E931" w14:textId="77777777" w:rsidR="00520A86" w:rsidRPr="007E1B57" w:rsidRDefault="00520A86" w:rsidP="00EA22AE">
            <w:pPr>
              <w:pStyle w:val="Guidelinesnormalparagraph"/>
              <w:rPr>
                <w:rFonts w:ascii="Calibri" w:hAnsi="Calibri" w:cs="Calibri"/>
                <w:kern w:val="0"/>
                <w:szCs w:val="22"/>
                <w:u w:color="0000FF"/>
                <w:lang w:val="en-GB"/>
              </w:rPr>
            </w:pPr>
            <w:r w:rsidRPr="008F191D">
              <w:rPr>
                <w:rFonts w:ascii="Calibri" w:hAnsi="Calibri" w:cs="Calibri"/>
                <w:kern w:val="0"/>
                <w:szCs w:val="22"/>
                <w:u w:color="0000FF"/>
                <w:lang w:val="en-GB"/>
              </w:rPr>
              <w:t>Note that there is currently no dedicated privacy legislation in SA. In Western Australia the government has indicated that it will be introducing legislation to govern privacy and responsible information sharing.</w:t>
            </w:r>
          </w:p>
        </w:tc>
      </w:tr>
      <w:tr w:rsidR="00520A86" w:rsidRPr="007E1B57" w14:paraId="7D2E8971" w14:textId="77777777">
        <w:tblPrEx>
          <w:tblBorders>
            <w:top w:val="none" w:sz="0" w:space="0" w:color="auto"/>
            <w:bottom w:val="single" w:sz="4" w:space="0" w:color="auto"/>
          </w:tblBorders>
        </w:tblPrEx>
        <w:trPr>
          <w:jc w:val="center"/>
        </w:trPr>
        <w:tc>
          <w:tcPr>
            <w:tcW w:w="8966" w:type="dxa"/>
            <w:gridSpan w:val="2"/>
            <w:tcBorders>
              <w:top w:val="single" w:sz="4" w:space="0" w:color="auto"/>
              <w:bottom w:val="single" w:sz="4" w:space="0" w:color="auto"/>
            </w:tcBorders>
            <w:tcMar>
              <w:top w:w="100" w:type="nil"/>
              <w:right w:w="100" w:type="nil"/>
            </w:tcMar>
          </w:tcPr>
          <w:p w14:paraId="57F8C1C5" w14:textId="77777777" w:rsidR="00520A86" w:rsidRPr="008F191D" w:rsidRDefault="00520A86" w:rsidP="00EA22AE">
            <w:pPr>
              <w:pStyle w:val="Guidelinesnormalparagraph"/>
              <w:rPr>
                <w:rFonts w:ascii="Calibri" w:hAnsi="Calibri" w:cs="Calibri"/>
                <w:kern w:val="0"/>
                <w:szCs w:val="22"/>
                <w:highlight w:val="yellow"/>
                <w:u w:color="0000FF"/>
                <w:lang w:val="en-GB"/>
              </w:rPr>
            </w:pPr>
            <w:r w:rsidRPr="001272A4">
              <w:rPr>
                <w:i/>
                <w:iCs/>
                <w:sz w:val="21"/>
                <w:szCs w:val="22"/>
              </w:rPr>
              <w:t>Please note that the above links are current at the time of writing but may lead to out-of-date versions of legislation in future. As legislation is regularly amended, please check that you are viewing the most current version which should usually be accessible via the website to which these links will direct.</w:t>
            </w:r>
          </w:p>
        </w:tc>
      </w:tr>
    </w:tbl>
    <w:p w14:paraId="6BD5D1F0" w14:textId="77777777" w:rsidR="006C6EBA" w:rsidRPr="006720E4" w:rsidRDefault="006C6EBA" w:rsidP="00EA22AE">
      <w:pPr>
        <w:spacing w:after="120"/>
        <w:rPr>
          <w:rFonts w:ascii="Calibri" w:hAnsi="Calibri" w:cs="Calibri"/>
          <w:sz w:val="22"/>
          <w:szCs w:val="22"/>
          <w:lang w:eastAsia="en-AU"/>
        </w:rPr>
      </w:pPr>
    </w:p>
    <w:p w14:paraId="04E3DF86" w14:textId="77777777" w:rsidR="006C6EBA" w:rsidRPr="006720E4" w:rsidRDefault="006C6EBA" w:rsidP="00EA22AE">
      <w:pPr>
        <w:pStyle w:val="Heading4"/>
        <w:spacing w:after="120"/>
      </w:pPr>
      <w:bookmarkStart w:id="2844" w:name="_Legal_considerations_in"/>
      <w:bookmarkStart w:id="2845" w:name="_Toc82773617"/>
      <w:bookmarkStart w:id="2846" w:name="_Toc82773970"/>
      <w:bookmarkStart w:id="2847" w:name="_Toc63683435"/>
      <w:bookmarkStart w:id="2848" w:name="_Toc70241780"/>
      <w:bookmarkStart w:id="2849" w:name="_Toc70243415"/>
      <w:bookmarkStart w:id="2850" w:name="_Toc70414887"/>
      <w:bookmarkStart w:id="2851" w:name="_Toc70844207"/>
      <w:bookmarkStart w:id="2852" w:name="_Toc72615140"/>
      <w:bookmarkStart w:id="2853" w:name="_Toc73129862"/>
      <w:bookmarkStart w:id="2854" w:name="_Toc73301731"/>
      <w:bookmarkStart w:id="2855" w:name="_Toc73302237"/>
      <w:bookmarkStart w:id="2856" w:name="_Toc73303370"/>
      <w:bookmarkStart w:id="2857" w:name="_Toc73303604"/>
      <w:bookmarkStart w:id="2858" w:name="_Toc74080721"/>
      <w:bookmarkStart w:id="2859" w:name="_Toc74081029"/>
      <w:bookmarkStart w:id="2860" w:name="_Toc74081259"/>
      <w:bookmarkStart w:id="2861" w:name="_Toc74081515"/>
      <w:bookmarkStart w:id="2862" w:name="_Toc74171090"/>
      <w:bookmarkStart w:id="2863" w:name="_Toc74172292"/>
      <w:bookmarkStart w:id="2864" w:name="_Toc74172828"/>
      <w:bookmarkStart w:id="2865" w:name="_Toc74238764"/>
      <w:bookmarkEnd w:id="2844"/>
      <w:r w:rsidRPr="006720E4">
        <w:t>Legal considerations in disclosure of identity of donors and recipients</w:t>
      </w:r>
      <w:bookmarkEnd w:id="2845"/>
      <w:bookmarkEnd w:id="2846"/>
      <w:r w:rsidRPr="006720E4">
        <w:t xml:space="preserve"> </w:t>
      </w:r>
    </w:p>
    <w:p w14:paraId="3502CA8F" w14:textId="0A3C679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w:t>
      </w:r>
      <w:r w:rsidRPr="006720E4">
        <w:rPr>
          <w:rFonts w:ascii="Calibri" w:hAnsi="Calibri" w:cs="Calibri"/>
          <w:i/>
          <w:iCs/>
          <w:sz w:val="22"/>
          <w:szCs w:val="22"/>
        </w:rPr>
        <w:t xml:space="preserve">human tissue </w:t>
      </w:r>
      <w:r w:rsidRPr="00520A86">
        <w:rPr>
          <w:rFonts w:ascii="Calibri" w:hAnsi="Calibri" w:cs="Calibri"/>
          <w:i/>
          <w:iCs/>
          <w:sz w:val="22"/>
          <w:szCs w:val="22"/>
        </w:rPr>
        <w:t>legislation</w:t>
      </w:r>
      <w:r w:rsidRPr="00520A86">
        <w:rPr>
          <w:rFonts w:ascii="Calibri" w:hAnsi="Calibri" w:cs="Calibri"/>
          <w:sz w:val="22"/>
          <w:szCs w:val="22"/>
        </w:rPr>
        <w:t xml:space="preserve"> (see </w:t>
      </w:r>
      <w:hyperlink w:anchor="_Human_tissue_legislation" w:history="1">
        <w:r w:rsidRPr="00520A86">
          <w:rPr>
            <w:rStyle w:val="Hyperlink"/>
            <w:rFonts w:ascii="Calibri" w:hAnsi="Calibri" w:cs="Calibri"/>
            <w:sz w:val="22"/>
            <w:szCs w:val="22"/>
          </w:rPr>
          <w:t xml:space="preserve">Chapter </w:t>
        </w:r>
        <w:r w:rsidR="00520A86" w:rsidRPr="00520A86">
          <w:rPr>
            <w:rStyle w:val="Hyperlink"/>
            <w:rFonts w:ascii="Calibri" w:hAnsi="Calibri" w:cs="Calibri"/>
            <w:sz w:val="22"/>
            <w:szCs w:val="22"/>
          </w:rPr>
          <w:t>3</w:t>
        </w:r>
        <w:r w:rsidRPr="00520A86">
          <w:rPr>
            <w:rStyle w:val="Hyperlink"/>
            <w:rFonts w:ascii="Calibri" w:hAnsi="Calibri" w:cs="Calibri"/>
            <w:sz w:val="22"/>
            <w:szCs w:val="22"/>
          </w:rPr>
          <w:t>.</w:t>
        </w:r>
        <w:r w:rsidR="00520A86" w:rsidRPr="00520A86">
          <w:rPr>
            <w:rStyle w:val="Hyperlink"/>
            <w:rFonts w:ascii="Calibri" w:hAnsi="Calibri" w:cs="Calibri"/>
            <w:sz w:val="22"/>
            <w:szCs w:val="22"/>
          </w:rPr>
          <w:t>5</w:t>
        </w:r>
        <w:r w:rsidRPr="00520A86">
          <w:rPr>
            <w:rStyle w:val="Hyperlink"/>
            <w:rFonts w:ascii="Calibri" w:hAnsi="Calibri" w:cs="Calibri"/>
            <w:sz w:val="22"/>
            <w:szCs w:val="22"/>
          </w:rPr>
          <w:t>.1</w:t>
        </w:r>
      </w:hyperlink>
      <w:r w:rsidRPr="00520A86">
        <w:rPr>
          <w:rFonts w:ascii="Calibri" w:hAnsi="Calibri" w:cs="Calibri"/>
          <w:sz w:val="22"/>
          <w:szCs w:val="22"/>
        </w:rPr>
        <w:t>), offences exist in some States and Territories applicable to health</w:t>
      </w:r>
      <w:r w:rsidRPr="006720E4">
        <w:rPr>
          <w:rFonts w:ascii="Calibri" w:hAnsi="Calibri" w:cs="Calibri"/>
          <w:sz w:val="22"/>
          <w:szCs w:val="22"/>
        </w:rPr>
        <w:t xml:space="preserve"> professionals involved in donation or transplantation who disclose ‘to the public’ the identity, or identifying information about, donors or transplant recipients. Exceptions do exist where consent to disclosure has been provided by the donor or recipient. However, uncertainty exists regarding who, if anyone, can lawfully provide such consent in relation to children and deceased donors. </w:t>
      </w:r>
    </w:p>
    <w:p w14:paraId="4721903D" w14:textId="77777777" w:rsidR="006C6EBA" w:rsidRPr="006720E4" w:rsidRDefault="006C6EBA" w:rsidP="00EA22AE">
      <w:pPr>
        <w:pStyle w:val="Heading4"/>
        <w:spacing w:after="120"/>
      </w:pPr>
      <w:bookmarkStart w:id="2866" w:name="_Lawful_disclosure_of_1"/>
      <w:bookmarkStart w:id="2867" w:name="_Toc82773618"/>
      <w:bookmarkStart w:id="2868" w:name="_Toc82773971"/>
      <w:bookmarkEnd w:id="2866"/>
      <w:r w:rsidRPr="006720E4">
        <w:t>Lawful disclosure of genetic information in the private health sector</w:t>
      </w:r>
      <w:bookmarkEnd w:id="2867"/>
      <w:bookmarkEnd w:id="2868"/>
      <w:r w:rsidRPr="006720E4">
        <w:t xml:space="preserve"> </w:t>
      </w:r>
    </w:p>
    <w:p w14:paraId="6DA74827" w14:textId="00A07427" w:rsidR="006C6EBA" w:rsidRPr="006720E4" w:rsidRDefault="006C6EBA" w:rsidP="00EA22AE">
      <w:pPr>
        <w:pStyle w:val="CommentText"/>
        <w:spacing w:after="120"/>
        <w:rPr>
          <w:rFonts w:cs="Calibri"/>
          <w:sz w:val="22"/>
          <w:szCs w:val="22"/>
        </w:rPr>
      </w:pPr>
      <w:r w:rsidRPr="006720E4">
        <w:rPr>
          <w:rFonts w:cs="Calibri"/>
          <w:sz w:val="22"/>
          <w:szCs w:val="22"/>
        </w:rPr>
        <w:t>Health practitioners in the private sector may lawfully use or disclose patients’ genetic information, whether or not they give consent, in circumstances where there is reasonable belief that doing so is necessary to lessen or prevent a serious threat to the life, health or safety of their genetic relatives.</w:t>
      </w:r>
      <w:r w:rsidRPr="006720E4">
        <w:rPr>
          <w:rFonts w:cs="Calibri"/>
          <w:sz w:val="22"/>
          <w:szCs w:val="22"/>
        </w:rPr>
        <w:fldChar w:fldCharType="begin" w:fldLock="1"/>
      </w:r>
      <w:r w:rsidR="00EB088B">
        <w:rPr>
          <w:rFonts w:cs="Calibri"/>
          <w:sz w:val="22"/>
          <w:szCs w:val="22"/>
        </w:rPr>
        <w:instrText>ADDIN CSL_CITATION {"citationItems":[{"id":"ITEM-1","itemData":{"id":"ITEM-1","issued":{"date-parts":[["0"]]},"title":"s 95AA Privacy Act and associated guidelines","type":"legislation"},"uris":["http://www.mendeley.com/documents/?uuid=ebb92930-32e4-4e72-aecb-36b3ecc8a74b"]}],"mendeley":{"formattedCitation":"(104)","plainTextFormattedCitation":"(104)","previouslyFormattedCitation":"(104)"},"properties":{"noteIndex":0},"schema":"https://github.com/citation-style-language/schema/raw/master/csl-citation.json"}</w:instrText>
      </w:r>
      <w:r w:rsidRPr="006720E4">
        <w:rPr>
          <w:rFonts w:cs="Calibri"/>
          <w:sz w:val="22"/>
          <w:szCs w:val="22"/>
        </w:rPr>
        <w:fldChar w:fldCharType="separate"/>
      </w:r>
      <w:r w:rsidR="00BA3D76" w:rsidRPr="00BA3D76">
        <w:rPr>
          <w:rFonts w:cs="Calibri"/>
          <w:noProof/>
          <w:sz w:val="22"/>
          <w:szCs w:val="22"/>
        </w:rPr>
        <w:t>(104)</w:t>
      </w:r>
      <w:r w:rsidRPr="006720E4">
        <w:rPr>
          <w:rFonts w:cs="Calibri"/>
          <w:sz w:val="22"/>
          <w:szCs w:val="22"/>
        </w:rPr>
        <w:fldChar w:fldCharType="end"/>
      </w:r>
      <w:r w:rsidRPr="006720E4">
        <w:rPr>
          <w:rFonts w:cs="Calibri"/>
          <w:sz w:val="22"/>
          <w:szCs w:val="22"/>
        </w:rPr>
        <w:t xml:space="preserve"> </w:t>
      </w:r>
    </w:p>
    <w:p w14:paraId="4587F1C2" w14:textId="2114581C" w:rsidR="006C6EBA" w:rsidRPr="006720E4" w:rsidRDefault="006C6EBA" w:rsidP="00EA22AE">
      <w:pPr>
        <w:pStyle w:val="Heading4"/>
        <w:spacing w:after="120"/>
      </w:pPr>
      <w:bookmarkStart w:id="2869" w:name="_Lawful_disclosure_of"/>
      <w:bookmarkStart w:id="2870" w:name="_Toc82773619"/>
      <w:bookmarkStart w:id="2871" w:name="_Toc82773972"/>
      <w:bookmarkEnd w:id="2869"/>
      <w:r w:rsidRPr="006720E4">
        <w:t>Lawful disclosure of personal health information under public health legislation</w:t>
      </w:r>
      <w:bookmarkEnd w:id="2870"/>
      <w:bookmarkEnd w:id="2871"/>
      <w:r w:rsidRPr="006720E4">
        <w:t xml:space="preserve"> </w:t>
      </w:r>
    </w:p>
    <w:p w14:paraId="0B528768" w14:textId="1504A3C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State and Territory public health legislation legally requires health practitioners to notify health authorities when individuals are diagnosed with specific communicable (infectious) diseases.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{"citationItems":[{"id":"ITEM-1","itemData":{"URL":"https://www1.health.gov.au/internet/main/publishing.nsf/Content/cda-state-legislation-links.htm","id":"ITEM-1","issued":{"date-parts":[["0"]]},"title":"Links to State and Territory Public Health Legislation, the Biosecurity Act, and the National Health Security Act 2007","type":"webpage"},"uris":["http://www.mendeley.com/documents/?uuid=cabc40a9-8790-41f6-83d8-4399ea439c8f"]}],"mendeley":{"formattedCitation":"(105)","plainTextFormattedCitation":"(105)","previouslyFormattedCitation":"(105)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(105)</w:t>
      </w:r>
      <w:r w:rsidRPr="006720E4">
        <w:rPr>
          <w:rFonts w:ascii="Calibri" w:hAnsi="Calibri" w:cs="Calibri"/>
          <w:sz w:val="22"/>
          <w:szCs w:val="22"/>
        </w:rPr>
        <w:fldChar w:fldCharType="end"/>
      </w:r>
      <w:r w:rsidRPr="006720E4">
        <w:rPr>
          <w:rFonts w:ascii="Calibri" w:hAnsi="Calibri" w:cs="Calibri"/>
          <w:sz w:val="22"/>
          <w:szCs w:val="22"/>
        </w:rPr>
        <w:t xml:space="preserve"> Diseases are deemed “notifiable” if mandatory reporting is considered necessary to protect public health. When a person is diagnosed with a notifiable disease, for example, when being evaluated as a potential living donor, the healthcare practitioner must report the diagnosis to health authorities whether or not the person gives consent to this disclosure. </w:t>
      </w:r>
    </w:p>
    <w:p w14:paraId="782151C8" w14:textId="63B8DFDA" w:rsidR="006C6EBA" w:rsidRPr="006720E4" w:rsidRDefault="006C6EBA" w:rsidP="00EA22AE">
      <w:pPr>
        <w:pStyle w:val="Heading3"/>
        <w:spacing w:after="120"/>
      </w:pPr>
      <w:bookmarkStart w:id="2872" w:name="_Limitations_on_rights"/>
      <w:bookmarkStart w:id="2873" w:name="_Toc79406403"/>
      <w:bookmarkStart w:id="2874" w:name="_Toc82773620"/>
      <w:bookmarkStart w:id="2875" w:name="_Toc82773973"/>
      <w:bookmarkEnd w:id="2872"/>
      <w:r w:rsidRPr="006720E4">
        <w:t>Limitations on rights to privacy and confidentialit</w:t>
      </w:r>
      <w:bookmarkEnd w:id="2847"/>
      <w:r w:rsidRPr="006720E4">
        <w:t>y</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73"/>
      <w:bookmarkEnd w:id="2874"/>
      <w:bookmarkEnd w:id="2875"/>
      <w:r w:rsidRPr="006720E4">
        <w:t xml:space="preserve"> </w:t>
      </w:r>
    </w:p>
    <w:p w14:paraId="314B5DEB" w14:textId="61478EC1" w:rsidR="006C6EBA" w:rsidRPr="001F7E00"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 xml:space="preserve">Although respect for privacy and confidentiality are considered core ethical, professional, and legal obligations in healthcare practice, there are some limits to rights to privacy. In some situations, </w:t>
      </w:r>
      <w:r w:rsidRPr="006720E4">
        <w:rPr>
          <w:rFonts w:ascii="Calibri" w:hAnsi="Calibri" w:cs="Calibri"/>
          <w:sz w:val="22"/>
          <w:szCs w:val="22"/>
          <w:lang w:eastAsia="en-AU"/>
        </w:rPr>
        <w:lastRenderedPageBreak/>
        <w:t xml:space="preserve">health professionals may not be required to respect these obligations or may even be required to breach them for specific </w:t>
      </w:r>
      <w:r w:rsidRPr="001F7E00">
        <w:rPr>
          <w:rFonts w:ascii="Calibri" w:hAnsi="Calibri" w:cs="Calibri"/>
          <w:sz w:val="22"/>
          <w:szCs w:val="22"/>
          <w:lang w:eastAsia="en-AU"/>
        </w:rPr>
        <w:t xml:space="preserve">purposes (see </w:t>
      </w:r>
      <w:hyperlink w:anchor="_Lawful_disclosure_of" w:history="1">
        <w:r w:rsidRPr="001F7E00">
          <w:rPr>
            <w:rStyle w:val="Hyperlink"/>
            <w:rFonts w:ascii="Calibri" w:hAnsi="Calibri" w:cs="Calibri"/>
            <w:sz w:val="22"/>
            <w:szCs w:val="22"/>
          </w:rPr>
          <w:t xml:space="preserve">Chapter </w:t>
        </w:r>
        <w:r w:rsidR="001F7E00" w:rsidRPr="001F7E00">
          <w:rPr>
            <w:rStyle w:val="Hyperlink"/>
            <w:rFonts w:ascii="Calibri" w:hAnsi="Calibri" w:cs="Calibri"/>
            <w:sz w:val="22"/>
            <w:szCs w:val="22"/>
          </w:rPr>
          <w:t>7</w:t>
        </w:r>
        <w:r w:rsidRPr="001F7E00">
          <w:rPr>
            <w:rStyle w:val="Hyperlink"/>
            <w:rFonts w:ascii="Calibri" w:hAnsi="Calibri" w:cs="Calibri"/>
            <w:sz w:val="22"/>
            <w:szCs w:val="22"/>
          </w:rPr>
          <w:t>.1.1.3</w:t>
        </w:r>
      </w:hyperlink>
      <w:r w:rsidRPr="001F7E00">
        <w:rPr>
          <w:rFonts w:ascii="Calibri" w:hAnsi="Calibri" w:cs="Calibri"/>
          <w:sz w:val="22"/>
          <w:szCs w:val="22"/>
          <w:lang w:eastAsia="en-AU"/>
        </w:rPr>
        <w:t xml:space="preserve">). </w:t>
      </w:r>
    </w:p>
    <w:p w14:paraId="335EC861" w14:textId="57ED5FC8" w:rsidR="006C6EBA" w:rsidRPr="006720E4" w:rsidRDefault="006C6EBA" w:rsidP="00EA22AE">
      <w:pPr>
        <w:spacing w:after="120"/>
        <w:rPr>
          <w:rFonts w:ascii="Calibri" w:hAnsi="Calibri" w:cs="Calibri"/>
          <w:sz w:val="22"/>
          <w:szCs w:val="22"/>
          <w:lang w:eastAsia="en-AU"/>
        </w:rPr>
      </w:pPr>
      <w:r w:rsidRPr="001F7E00">
        <w:rPr>
          <w:rFonts w:ascii="Calibri" w:hAnsi="Calibri" w:cs="Calibri"/>
          <w:sz w:val="22"/>
          <w:szCs w:val="22"/>
          <w:lang w:eastAsia="en-AU"/>
        </w:rPr>
        <w:t xml:space="preserve">Usually, limitations to the duty of respect for privacy and confidentiality relate to obligations to prevent serious harm to other people, as discussed from a legal perspective in </w:t>
      </w:r>
      <w:hyperlink w:anchor="_Lawful_disclosure_of_1" w:history="1">
        <w:r w:rsidRPr="001F7E00">
          <w:rPr>
            <w:rStyle w:val="Hyperlink"/>
            <w:rFonts w:ascii="Calibri" w:hAnsi="Calibri" w:cs="Calibri"/>
            <w:sz w:val="22"/>
            <w:szCs w:val="22"/>
          </w:rPr>
          <w:t xml:space="preserve">Chapter </w:t>
        </w:r>
        <w:r w:rsidR="001F7E00" w:rsidRPr="001F7E00">
          <w:rPr>
            <w:rStyle w:val="Hyperlink"/>
            <w:rFonts w:ascii="Calibri" w:hAnsi="Calibri" w:cs="Calibri"/>
            <w:sz w:val="22"/>
            <w:szCs w:val="22"/>
          </w:rPr>
          <w:t>7</w:t>
        </w:r>
        <w:r w:rsidRPr="001F7E00">
          <w:rPr>
            <w:rStyle w:val="Hyperlink"/>
            <w:rFonts w:ascii="Calibri" w:hAnsi="Calibri" w:cs="Calibri"/>
            <w:sz w:val="22"/>
            <w:szCs w:val="22"/>
          </w:rPr>
          <w:t>.1.1.2</w:t>
        </w:r>
      </w:hyperlink>
      <w:r w:rsidRPr="001F7E00">
        <w:rPr>
          <w:rFonts w:ascii="Calibri" w:hAnsi="Calibri" w:cs="Calibri"/>
          <w:sz w:val="22"/>
          <w:szCs w:val="22"/>
          <w:lang w:eastAsia="en-AU"/>
        </w:rPr>
        <w:t>. That is, if it is necessary to breach the duty of confidentiality to one person in order to prevent serious</w:t>
      </w:r>
      <w:r w:rsidRPr="006720E4">
        <w:rPr>
          <w:rFonts w:ascii="Calibri" w:hAnsi="Calibri" w:cs="Calibri"/>
          <w:sz w:val="22"/>
          <w:szCs w:val="22"/>
          <w:lang w:eastAsia="en-AU"/>
        </w:rPr>
        <w:t xml:space="preserve"> harm occurring to another person, this may be considered ethically justifiable, if not ethically obligatory. </w:t>
      </w:r>
    </w:p>
    <w:p w14:paraId="5639FA11" w14:textId="7EA3C6B6"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 xml:space="preserve">Nevertheless, breaches to confidentiality and privacy are considered ethically justifiable – and lawful - only in exceptional circumstances. This means that in situations where there may be tensions between respecting one person’s right to privacy and another person’s need to obtain private information from that person, care is needed to balance these competing interests and ensure that individual rights are respected. </w:t>
      </w:r>
    </w:p>
    <w:p w14:paraId="093B4D4C" w14:textId="77777777" w:rsidR="006C6EBA" w:rsidRPr="006720E4" w:rsidRDefault="006C6EBA" w:rsidP="00EA22AE">
      <w:pPr>
        <w:pStyle w:val="Heading3"/>
        <w:spacing w:after="120"/>
      </w:pPr>
      <w:bookmarkStart w:id="2876" w:name="_Privacy_of_health"/>
      <w:bookmarkStart w:id="2877" w:name="_Toc63683436"/>
      <w:bookmarkStart w:id="2878" w:name="_Toc70241781"/>
      <w:bookmarkStart w:id="2879" w:name="_Toc70243416"/>
      <w:bookmarkStart w:id="2880" w:name="_Toc70414888"/>
      <w:bookmarkStart w:id="2881" w:name="_Toc70844208"/>
      <w:bookmarkStart w:id="2882" w:name="_Toc72615141"/>
      <w:bookmarkStart w:id="2883" w:name="_Toc73129863"/>
      <w:bookmarkStart w:id="2884" w:name="_Toc73301732"/>
      <w:bookmarkStart w:id="2885" w:name="_Toc73302238"/>
      <w:bookmarkStart w:id="2886" w:name="_Toc73303371"/>
      <w:bookmarkStart w:id="2887" w:name="_Toc73303605"/>
      <w:bookmarkStart w:id="2888" w:name="_Toc74080722"/>
      <w:bookmarkStart w:id="2889" w:name="_Toc74081030"/>
      <w:bookmarkStart w:id="2890" w:name="_Toc74081260"/>
      <w:bookmarkStart w:id="2891" w:name="_Toc74081516"/>
      <w:bookmarkStart w:id="2892" w:name="_Toc74171091"/>
      <w:bookmarkStart w:id="2893" w:name="_Toc74172293"/>
      <w:bookmarkStart w:id="2894" w:name="_Toc74172829"/>
      <w:bookmarkStart w:id="2895" w:name="_Toc74238765"/>
      <w:bookmarkStart w:id="2896" w:name="_Toc79406404"/>
      <w:bookmarkStart w:id="2897" w:name="_Toc82773621"/>
      <w:bookmarkStart w:id="2898" w:name="_Toc82773974"/>
      <w:bookmarkEnd w:id="2876"/>
      <w:r w:rsidRPr="006720E4">
        <w:t>Privacy of health information in the context of relationships</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p>
    <w:p w14:paraId="43111E66" w14:textId="6F3D8670" w:rsidR="006C6EBA" w:rsidRPr="006720E4" w:rsidRDefault="006C6EBA" w:rsidP="00EA22AE">
      <w:pPr>
        <w:spacing w:after="120"/>
        <w:rPr>
          <w:rFonts w:ascii="Calibri" w:hAnsi="Calibri" w:cs="Calibri"/>
          <w:sz w:val="22"/>
          <w:szCs w:val="22"/>
          <w:lang w:eastAsia="en-AU"/>
        </w:rPr>
      </w:pPr>
      <w:r w:rsidRPr="0028232A">
        <w:rPr>
          <w:rFonts w:ascii="Calibri" w:hAnsi="Calibri" w:cs="Calibri"/>
          <w:sz w:val="22"/>
          <w:szCs w:val="22"/>
          <w:lang w:eastAsia="en-AU"/>
        </w:rPr>
        <w:t xml:space="preserve">As noted in </w:t>
      </w:r>
      <w:hyperlink w:anchor="_Respect_for_autonomy" w:history="1">
        <w:r w:rsidR="0028232A" w:rsidRPr="0028232A">
          <w:rPr>
            <w:rStyle w:val="Hyperlink"/>
            <w:rFonts w:ascii="Calibri" w:hAnsi="Calibri" w:cs="Calibri"/>
            <w:sz w:val="22"/>
            <w:szCs w:val="22"/>
          </w:rPr>
          <w:t>Chapter 3.2.1.2</w:t>
        </w:r>
      </w:hyperlink>
      <w:r w:rsidR="0028232A" w:rsidRPr="0028232A">
        <w:rPr>
          <w:rFonts w:ascii="Calibri" w:hAnsi="Calibri" w:cs="Calibri"/>
          <w:sz w:val="22"/>
          <w:szCs w:val="22"/>
        </w:rPr>
        <w:t>,</w:t>
      </w:r>
      <w:r w:rsidRPr="0028232A">
        <w:rPr>
          <w:rFonts w:ascii="Calibri" w:hAnsi="Calibri" w:cs="Calibri"/>
          <w:sz w:val="22"/>
          <w:szCs w:val="22"/>
          <w:lang w:eastAsia="en-AU"/>
        </w:rPr>
        <w:t xml:space="preserve"> autonomy</w:t>
      </w:r>
      <w:r w:rsidRPr="006720E4">
        <w:rPr>
          <w:rFonts w:ascii="Calibri" w:hAnsi="Calibri" w:cs="Calibri"/>
          <w:sz w:val="22"/>
          <w:szCs w:val="22"/>
          <w:lang w:eastAsia="en-AU"/>
        </w:rPr>
        <w:t xml:space="preserve"> may be thought of as an individual but also a relational concept, in the sense that while people make decisions about and participate in their own lives as individuals, they general do so in the context of rich networks of relationships with other individuals with whom they share interests and values and goals, and with whom they may make decisions. The relationally complex nature of human lives also has implications for privacy and confidentiality. Personal information about individuals may have significant value for other individuals by virtue of the social, biological, or genetic relationships they share, and individuals may have private information in common, which means that disclosure of information about one individual may also impact others. </w:t>
      </w:r>
    </w:p>
    <w:p w14:paraId="02C7F4F8" w14:textId="77777777" w:rsidR="006C6EBA" w:rsidRPr="006720E4" w:rsidRDefault="006C6EBA" w:rsidP="00EA22AE">
      <w:pPr>
        <w:spacing w:after="120"/>
        <w:rPr>
          <w:rFonts w:ascii="Calibri" w:hAnsi="Calibri" w:cs="Calibri"/>
          <w:sz w:val="22"/>
          <w:szCs w:val="22"/>
          <w:lang w:eastAsia="en-AU"/>
        </w:rPr>
      </w:pPr>
      <w:bookmarkStart w:id="2899" w:name="_Toc70414889"/>
      <w:r w:rsidRPr="006720E4">
        <w:rPr>
          <w:rFonts w:ascii="Calibri" w:hAnsi="Calibri" w:cs="Calibri"/>
          <w:sz w:val="22"/>
          <w:szCs w:val="22"/>
          <w:lang w:eastAsia="en-AU"/>
        </w:rPr>
        <w:t>Legislation may not always provide clear guidance for dealing with situations in which one person’s wish to control disclosure or use of their personal information may conflict with the wishes of another person regarding the same information. In the context of donation and transplantation, this means that health professionals should strive to anticipate situations in which such conflicts may arise so that decision-makers may consider these in advance and be better supported in managing conflicts if these do arise.</w:t>
      </w:r>
      <w:bookmarkEnd w:id="2899"/>
      <w:r w:rsidRPr="006720E4">
        <w:rPr>
          <w:rFonts w:ascii="Calibri" w:hAnsi="Calibri" w:cs="Calibri"/>
          <w:sz w:val="22"/>
          <w:szCs w:val="22"/>
          <w:lang w:eastAsia="en-AU"/>
        </w:rPr>
        <w:t xml:space="preserve"> </w:t>
      </w:r>
    </w:p>
    <w:p w14:paraId="4C0D6D43" w14:textId="67CA9D10" w:rsidR="006C6EBA" w:rsidRPr="006720E4" w:rsidRDefault="006C6EBA" w:rsidP="00EA22AE">
      <w:pPr>
        <w:spacing w:after="120"/>
        <w:rPr>
          <w:rFonts w:ascii="Calibri" w:hAnsi="Calibri" w:cs="Calibri"/>
          <w:sz w:val="22"/>
          <w:szCs w:val="22"/>
          <w:lang w:eastAsia="en-AU"/>
        </w:rPr>
      </w:pPr>
      <w:bookmarkStart w:id="2900" w:name="_Toc70414890"/>
      <w:r w:rsidRPr="006720E4">
        <w:rPr>
          <w:rFonts w:ascii="Calibri" w:hAnsi="Calibri" w:cs="Calibri"/>
          <w:sz w:val="22"/>
          <w:szCs w:val="22"/>
          <w:lang w:eastAsia="en-AU"/>
        </w:rPr>
        <w:t>Issues are perhaps most likely to arise when specific information is disclosed or revealed in the course of evaluation of prospective living directed donors and transplant recipients, but it is not always possible to anticipate what information may be discovered or how donors, recipients or their relatives may react to particular information. In the following sections, specific situations in which ethical concerns may arise regarding respect for privacy and confidentiality in the context of donation and transplantation are explored.</w:t>
      </w:r>
      <w:bookmarkEnd w:id="2900"/>
      <w:r w:rsidRPr="006720E4">
        <w:rPr>
          <w:rFonts w:ascii="Calibri" w:hAnsi="Calibri" w:cs="Calibri"/>
          <w:sz w:val="22"/>
          <w:szCs w:val="22"/>
          <w:lang w:eastAsia="en-AU"/>
        </w:rPr>
        <w:t xml:space="preserve"> </w:t>
      </w:r>
    </w:p>
    <w:p w14:paraId="3A2592C3" w14:textId="77777777" w:rsidR="006C6EBA" w:rsidRPr="006720E4" w:rsidRDefault="006C6EBA" w:rsidP="00EA22AE">
      <w:pPr>
        <w:pStyle w:val="Heading4"/>
        <w:spacing w:after="120"/>
      </w:pPr>
      <w:bookmarkStart w:id="2901" w:name="_Information_of_familial"/>
      <w:bookmarkStart w:id="2902" w:name="_Toc63683442"/>
      <w:bookmarkStart w:id="2903" w:name="_Toc70241787"/>
      <w:bookmarkStart w:id="2904" w:name="_Toc70243422"/>
      <w:bookmarkStart w:id="2905" w:name="_Toc70414891"/>
      <w:bookmarkStart w:id="2906" w:name="_Toc70844209"/>
      <w:bookmarkStart w:id="2907" w:name="_Toc72615142"/>
      <w:bookmarkStart w:id="2908" w:name="_Toc73129864"/>
      <w:bookmarkStart w:id="2909" w:name="_Toc73301733"/>
      <w:bookmarkStart w:id="2910" w:name="_Toc73302239"/>
      <w:bookmarkStart w:id="2911" w:name="_Toc73303372"/>
      <w:bookmarkStart w:id="2912" w:name="_Toc74081517"/>
      <w:bookmarkStart w:id="2913" w:name="_Toc74172294"/>
      <w:bookmarkStart w:id="2914" w:name="_Toc74172830"/>
      <w:bookmarkStart w:id="2915" w:name="_Toc82773622"/>
      <w:bookmarkStart w:id="2916" w:name="_Toc82773975"/>
      <w:bookmarkEnd w:id="2901"/>
      <w:r w:rsidRPr="006720E4">
        <w:t>Information of familial relevance</w:t>
      </w:r>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r w:rsidRPr="006720E4">
        <w:t xml:space="preserve"> </w:t>
      </w:r>
    </w:p>
    <w:p w14:paraId="4E7C1124" w14:textId="6BCF425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Information collected in the course of evaluating a potential donor or transplant recipient, like any information gathered during a clinical consultation, may have implications for other family members. With the exception of information relating to </w:t>
      </w:r>
      <w:r w:rsidRPr="001F7E00">
        <w:rPr>
          <w:rFonts w:ascii="Calibri" w:hAnsi="Calibri" w:cs="Calibri"/>
          <w:sz w:val="22"/>
          <w:szCs w:val="22"/>
        </w:rPr>
        <w:t xml:space="preserve">notifiable diseases (see </w:t>
      </w:r>
      <w:hyperlink w:anchor="_Lawful_disclosure_of" w:history="1">
        <w:r w:rsidRPr="001F7E00">
          <w:rPr>
            <w:rStyle w:val="Hyperlink"/>
            <w:rFonts w:ascii="Calibri" w:hAnsi="Calibri" w:cs="Calibri"/>
            <w:sz w:val="22"/>
            <w:szCs w:val="22"/>
          </w:rPr>
          <w:t xml:space="preserve">Chapter </w:t>
        </w:r>
        <w:r w:rsidR="001F7E00" w:rsidRPr="001F7E00">
          <w:rPr>
            <w:rStyle w:val="Hyperlink"/>
            <w:rFonts w:ascii="Calibri" w:hAnsi="Calibri" w:cs="Calibri"/>
            <w:sz w:val="22"/>
            <w:szCs w:val="22"/>
          </w:rPr>
          <w:t>7</w:t>
        </w:r>
        <w:r w:rsidRPr="001F7E00">
          <w:rPr>
            <w:rStyle w:val="Hyperlink"/>
            <w:rFonts w:ascii="Calibri" w:hAnsi="Calibri" w:cs="Calibri"/>
            <w:sz w:val="22"/>
            <w:szCs w:val="22"/>
          </w:rPr>
          <w:t>.1.1.3</w:t>
        </w:r>
      </w:hyperlink>
      <w:r w:rsidRPr="001F7E00">
        <w:rPr>
          <w:rFonts w:ascii="Calibri" w:hAnsi="Calibri" w:cs="Calibri"/>
          <w:sz w:val="22"/>
          <w:szCs w:val="22"/>
        </w:rPr>
        <w:t xml:space="preserve">) or, in some cases, genetic conditions that pose an immediate and serious risk to others (see </w:t>
      </w:r>
      <w:hyperlink w:anchor="_Lawful_disclosure_of_1" w:history="1">
        <w:r w:rsidRPr="001F7E00">
          <w:rPr>
            <w:rStyle w:val="Hyperlink"/>
            <w:rFonts w:ascii="Calibri" w:hAnsi="Calibri" w:cs="Calibri"/>
            <w:sz w:val="22"/>
            <w:szCs w:val="22"/>
          </w:rPr>
          <w:t xml:space="preserve">Chapter </w:t>
        </w:r>
        <w:r w:rsidR="001F7E00" w:rsidRPr="001F7E00">
          <w:rPr>
            <w:rStyle w:val="Hyperlink"/>
            <w:rFonts w:ascii="Calibri" w:hAnsi="Calibri" w:cs="Calibri"/>
            <w:sz w:val="22"/>
            <w:szCs w:val="22"/>
          </w:rPr>
          <w:t>7</w:t>
        </w:r>
        <w:r w:rsidRPr="001F7E00">
          <w:rPr>
            <w:rStyle w:val="Hyperlink"/>
            <w:rFonts w:ascii="Calibri" w:hAnsi="Calibri" w:cs="Calibri"/>
            <w:sz w:val="22"/>
            <w:szCs w:val="22"/>
          </w:rPr>
          <w:t>.1.1.2</w:t>
        </w:r>
      </w:hyperlink>
      <w:r w:rsidRPr="001F7E00">
        <w:rPr>
          <w:rFonts w:ascii="Calibri" w:hAnsi="Calibri" w:cs="Calibri"/>
          <w:sz w:val="22"/>
          <w:szCs w:val="22"/>
        </w:rPr>
        <w:t>),</w:t>
      </w:r>
      <w:r w:rsidRPr="001F7E00">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{"citationItems":[{"id":"ITEM-1","itemData":{"DOI":"10.1186/s12910-020-0451-1","ISSN":"14726939","PMID":"32019532","abstract":"Background: When a genetic mutation is identified in a family member (proband), internationally, it is usually the proband's or another responsible family member's role to disclose the information to at-risk relatives. However, both active and passive non-disclosure in families occurs: choosing not to communicate the information or failing to communicate the information despite intention to do so, respectively. The ethical obligations to prevent harm to at-risk relatives and promote the duty of care by genetic health professionals (GHPs) is in conflict with Privacy laws and professional regulations that prohibits disclosure of information to a third party without the consent of the proband (duty of confidentiality). In New South Wales (NSW), Australia, amendments to Privacy legislation permits such disclosure to living genetic relatives with the process defined under guidelines although there is no legal duty to warn. This study assessed NSW GHP's awareness and experience of the legislation and guidelines. Methods: An online survey collected demographics; theoretical knowledge; clinical scenarios to assess application knowledge; attitudes; confidence; experience with active non-disclosure. A link to correct answers was provided after completion. Knowledge scores above the median for non-parametric data or above the mean for parametric data were classified as 'good' or 'poor'. Chi square tests assessed associations between confidence and knowledge scores. Results: While many of the 37 participants reported reading the guidelines, there was limited awareness of their scope and clinical application; that there is no legal duty to warn; and that the threat does not need to be imminent to warrant disclosure. No association between confidence and 'good' theoretical or applied clinical knowledge was identified. Uncertainty of their professional responsibility was identified and in the several case examples of active non-disclosure that were reported this uncertainty reflected the need for further understanding of the guidelines in regard to the processes required before disclosure was initiated. Conclusions: There is a need for further education and training about the guidelines associated with the legislation that would be relevant to support disclosure. The findings may inform future strategies to support introduction of policy changes in other jurisdictions where similar regulatory regimes are introduced.","author":[{"dropping-particle":"","family":"Meggiolaro","given":"Natalia","non-dropping-particle":"","parse-names":false,"suffix":""},{"dropping-particle":"","family":"Barlow-Stewart","given":"Kristine","non-dropping-particle":"","parse-names":false,"suffix":""},{"dropping-particle":"","family":"Dunlop","given":"Kate","non-dropping-particle":"","parse-names":false,"suffix":""},{"dropping-particle":"","family":"Newson","given":"Ainsley J.","non-dropping-particle":"","parse-names":false,"suffix":""},{"dropping-particle":"","family":"Fleming","given":"Jane","non-dropping-particle":"","parse-names":false,"suffix":""}],"container-title":"BMC Medical Ethics","id":"ITEM-1","issue":"1","issued":{"date-parts":[["2020"]]},"page":"1-10","publisher":"BMC Medical Ethics","title":"Disclosure to genetic relatives without consent - Australian genetic professionals' awareness of the health privacy law","type":"article-journal","volume":"21"},"uris":["http://www.mendeley.com/documents/?uuid=da2166d8-42f0-4d34-b26c-f4f93f810a7a"]}],"mendeley":{"formattedCitation":"(106)","plainTextFormattedCitation":"(106)","previouslyFormattedCitation":"(106)"},"properties":{"noteIndex":0},"schema":"https://github.com/citation-style-language/schema/raw/master/csl-citation.json"}</w:instrText>
      </w:r>
      <w:r w:rsidRPr="001F7E00">
        <w:rPr>
          <w:rFonts w:ascii="Calibri" w:hAnsi="Calibri" w:cs="Calibri"/>
          <w:sz w:val="22"/>
          <w:szCs w:val="22"/>
        </w:rPr>
        <w:fldChar w:fldCharType="separate"/>
      </w:r>
      <w:r w:rsidR="00BA3D76" w:rsidRPr="00BA3D76">
        <w:rPr>
          <w:rFonts w:ascii="Calibri" w:hAnsi="Calibri" w:cs="Calibri"/>
          <w:noProof/>
          <w:sz w:val="22"/>
          <w:szCs w:val="22"/>
        </w:rPr>
        <w:t>(106)</w:t>
      </w:r>
      <w:r w:rsidRPr="001F7E00">
        <w:rPr>
          <w:rFonts w:ascii="Calibri" w:hAnsi="Calibri" w:cs="Calibri"/>
          <w:sz w:val="22"/>
          <w:szCs w:val="22"/>
        </w:rPr>
        <w:fldChar w:fldCharType="end"/>
      </w:r>
      <w:r w:rsidRPr="001F7E00">
        <w:rPr>
          <w:rFonts w:ascii="Calibri" w:hAnsi="Calibri" w:cs="Calibri"/>
          <w:sz w:val="22"/>
          <w:szCs w:val="22"/>
        </w:rPr>
        <w:t xml:space="preserve"> such clinical information must be treated in conf</w:t>
      </w:r>
      <w:r w:rsidRPr="006720E4">
        <w:rPr>
          <w:rFonts w:ascii="Calibri" w:hAnsi="Calibri" w:cs="Calibri"/>
          <w:sz w:val="22"/>
          <w:szCs w:val="22"/>
        </w:rPr>
        <w:t>idence regardless of whether family members may have an interest in accessing this. Health professionals may counsel and encourage individuals to disclose relevant information to other family members, but they may not breach privacy and confidentiality obligations without consent.</w:t>
      </w:r>
    </w:p>
    <w:p w14:paraId="36E742B6" w14:textId="6C14F816" w:rsidR="003A43AE" w:rsidRPr="006720E4" w:rsidRDefault="006C6EBA" w:rsidP="00EA22AE">
      <w:pPr>
        <w:pStyle w:val="NormalWeb"/>
        <w:spacing w:before="0" w:beforeAutospacing="0" w:after="120" w:afterAutospacing="0"/>
        <w:rPr>
          <w:rFonts w:cs="Calibri"/>
          <w:color w:val="000000" w:themeColor="text1"/>
          <w:szCs w:val="22"/>
        </w:rPr>
      </w:pPr>
      <w:r w:rsidRPr="006720E4">
        <w:rPr>
          <w:rFonts w:cs="Calibri"/>
          <w:color w:val="000000" w:themeColor="text1"/>
          <w:szCs w:val="22"/>
        </w:rPr>
        <w:t xml:space="preserve">In some cases, e.g., living directed donor transplantation or deceased donation, prospective transplant recipients or family members may be closely involved in the process of potential donor evaluation and decision-making about donation. This may complicate efforts to manage information </w:t>
      </w:r>
      <w:r w:rsidRPr="006720E4">
        <w:rPr>
          <w:rFonts w:cs="Calibri"/>
          <w:color w:val="000000" w:themeColor="text1"/>
          <w:szCs w:val="22"/>
        </w:rPr>
        <w:lastRenderedPageBreak/>
        <w:t xml:space="preserve">disclosure and protect confidentiality if the person to whom a duty of confidentiality is owed wishes to withhold some but not all information </w:t>
      </w:r>
      <w:r w:rsidRPr="001F7E00">
        <w:rPr>
          <w:rFonts w:cs="Calibri"/>
          <w:color w:val="000000" w:themeColor="text1"/>
          <w:szCs w:val="22"/>
        </w:rPr>
        <w:t xml:space="preserve">from others (see </w:t>
      </w:r>
      <w:hyperlink w:anchor="_Management_of_private" w:history="1">
        <w:r w:rsidRPr="001F7E00">
          <w:rPr>
            <w:rStyle w:val="Hyperlink"/>
            <w:rFonts w:cs="Calibri"/>
            <w:szCs w:val="22"/>
          </w:rPr>
          <w:t xml:space="preserve">Chapter </w:t>
        </w:r>
        <w:r w:rsidR="001F7E00" w:rsidRPr="001F7E00">
          <w:rPr>
            <w:rStyle w:val="Hyperlink"/>
            <w:rFonts w:cs="Calibri"/>
            <w:szCs w:val="22"/>
          </w:rPr>
          <w:t>7</w:t>
        </w:r>
        <w:r w:rsidRPr="001F7E00">
          <w:rPr>
            <w:rStyle w:val="Hyperlink"/>
            <w:rFonts w:cs="Calibri"/>
            <w:szCs w:val="22"/>
          </w:rPr>
          <w:t>.2</w:t>
        </w:r>
      </w:hyperlink>
      <w:r w:rsidRPr="001F7E00">
        <w:rPr>
          <w:rFonts w:cs="Calibri"/>
          <w:color w:val="000000" w:themeColor="text1"/>
          <w:szCs w:val="22"/>
        </w:rPr>
        <w:t>).</w:t>
      </w:r>
      <w:r w:rsidRPr="006720E4">
        <w:rPr>
          <w:rFonts w:cs="Calibri"/>
          <w:color w:val="000000" w:themeColor="text1"/>
          <w:szCs w:val="22"/>
        </w:rPr>
        <w:t xml:space="preserve"> </w:t>
      </w:r>
    </w:p>
    <w:p w14:paraId="0BE9D455" w14:textId="77777777" w:rsidR="006C6EBA" w:rsidRPr="006720E4" w:rsidRDefault="006C6EBA" w:rsidP="00EA22AE">
      <w:pPr>
        <w:pStyle w:val="Heading2"/>
        <w:spacing w:after="120"/>
      </w:pPr>
      <w:bookmarkStart w:id="2917" w:name="_Management_of_private"/>
      <w:bookmarkStart w:id="2918" w:name="_Toc63683437"/>
      <w:bookmarkStart w:id="2919" w:name="_Toc70241782"/>
      <w:bookmarkStart w:id="2920" w:name="_Toc70243417"/>
      <w:bookmarkStart w:id="2921" w:name="_Toc70328745"/>
      <w:bookmarkStart w:id="2922" w:name="_Toc70333975"/>
      <w:bookmarkStart w:id="2923" w:name="_Toc70414892"/>
      <w:bookmarkStart w:id="2924" w:name="_Toc70844210"/>
      <w:bookmarkStart w:id="2925" w:name="_Toc70858998"/>
      <w:bookmarkStart w:id="2926" w:name="_Toc70861099"/>
      <w:bookmarkStart w:id="2927" w:name="_Toc70876584"/>
      <w:bookmarkStart w:id="2928" w:name="_Toc72615143"/>
      <w:bookmarkStart w:id="2929" w:name="_Toc73129865"/>
      <w:bookmarkStart w:id="2930" w:name="_Toc73301734"/>
      <w:bookmarkStart w:id="2931" w:name="_Toc73302240"/>
      <w:bookmarkStart w:id="2932" w:name="_Toc73303373"/>
      <w:bookmarkStart w:id="2933" w:name="_Toc73303606"/>
      <w:bookmarkStart w:id="2934" w:name="_Toc74080723"/>
      <w:bookmarkStart w:id="2935" w:name="_Toc74081031"/>
      <w:bookmarkStart w:id="2936" w:name="_Toc74081261"/>
      <w:bookmarkStart w:id="2937" w:name="_Toc74081518"/>
      <w:bookmarkStart w:id="2938" w:name="_Toc74171092"/>
      <w:bookmarkStart w:id="2939" w:name="_Toc74172295"/>
      <w:bookmarkStart w:id="2940" w:name="_Toc74172831"/>
      <w:bookmarkStart w:id="2941" w:name="_Toc74238766"/>
      <w:bookmarkStart w:id="2942" w:name="_Toc78304773"/>
      <w:bookmarkStart w:id="2943" w:name="_Toc79330868"/>
      <w:bookmarkStart w:id="2944" w:name="_Toc79331248"/>
      <w:bookmarkStart w:id="2945" w:name="_Toc79406405"/>
      <w:bookmarkStart w:id="2946" w:name="_Toc82773623"/>
      <w:bookmarkStart w:id="2947" w:name="_Toc82773976"/>
      <w:bookmarkStart w:id="2948" w:name="_Toc128314217"/>
      <w:bookmarkStart w:id="2949" w:name="_Toc135131462"/>
      <w:bookmarkEnd w:id="2917"/>
      <w:r w:rsidRPr="006720E4">
        <w:t>Management of private and confidential information during donor and recipient evaluation and care</w:t>
      </w:r>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p>
    <w:p w14:paraId="24837BC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potential living and deceased donors and transplant recipients are evaluated, the information obtained is considered private and confidential, like all information that is obtained in the course of healthcare delivery. In contrast to routine healthcare delivery, however, there are several aspects of information management in the context of donation and transplantation that may require specific ethical considerations.</w:t>
      </w:r>
    </w:p>
    <w:p w14:paraId="63302BED" w14:textId="60C4B3A3" w:rsidR="006C6EBA" w:rsidRPr="006720E4" w:rsidRDefault="006C6EBA" w:rsidP="00EA22AE">
      <w:pPr>
        <w:pStyle w:val="CommentText"/>
        <w:spacing w:after="120"/>
        <w:rPr>
          <w:rFonts w:cs="Calibri"/>
          <w:sz w:val="22"/>
          <w:szCs w:val="22"/>
        </w:rPr>
      </w:pPr>
      <w:r w:rsidRPr="006720E4">
        <w:rPr>
          <w:rFonts w:cs="Calibri"/>
          <w:sz w:val="22"/>
          <w:szCs w:val="22"/>
        </w:rPr>
        <w:t xml:space="preserve">Specific ethical considerations regarding privacy when referring or seeking advice regarding clinical eligibility of some potential deceased donors prior to discussion of donation with the potential donor’s family are </w:t>
      </w:r>
      <w:r w:rsidRPr="00863834">
        <w:rPr>
          <w:rFonts w:cs="Calibri"/>
          <w:sz w:val="22"/>
          <w:szCs w:val="22"/>
        </w:rPr>
        <w:t xml:space="preserve">explored in </w:t>
      </w:r>
      <w:hyperlink w:anchor="_Screening_of_potential" w:history="1">
        <w:r w:rsidRPr="00863834">
          <w:rPr>
            <w:rStyle w:val="Hyperlink"/>
            <w:rFonts w:cs="Calibri"/>
            <w:sz w:val="22"/>
            <w:szCs w:val="22"/>
          </w:rPr>
          <w:t>Chapter 1</w:t>
        </w:r>
        <w:r w:rsidR="001F7E00" w:rsidRPr="00863834">
          <w:rPr>
            <w:rStyle w:val="Hyperlink"/>
            <w:rFonts w:cs="Calibri"/>
            <w:sz w:val="22"/>
            <w:szCs w:val="22"/>
          </w:rPr>
          <w:t>1</w:t>
        </w:r>
        <w:r w:rsidRPr="00863834">
          <w:rPr>
            <w:rStyle w:val="Hyperlink"/>
            <w:rFonts w:cs="Calibri"/>
            <w:sz w:val="22"/>
            <w:szCs w:val="22"/>
          </w:rPr>
          <w:t>.5.3</w:t>
        </w:r>
      </w:hyperlink>
      <w:r w:rsidRPr="00863834">
        <w:rPr>
          <w:rFonts w:cs="Calibri"/>
          <w:sz w:val="22"/>
          <w:szCs w:val="22"/>
        </w:rPr>
        <w:t>.</w:t>
      </w:r>
    </w:p>
    <w:p w14:paraId="4A120A80" w14:textId="77777777" w:rsidR="006C6EBA" w:rsidRPr="006720E4" w:rsidRDefault="006C6EBA" w:rsidP="00EA22AE">
      <w:pPr>
        <w:pStyle w:val="Heading3"/>
        <w:spacing w:after="120"/>
      </w:pPr>
      <w:bookmarkStart w:id="2950" w:name="_Disclosure_of_clinically"/>
      <w:bookmarkStart w:id="2951" w:name="_Toc63683439"/>
      <w:bookmarkStart w:id="2952" w:name="_Toc70241784"/>
      <w:bookmarkStart w:id="2953" w:name="_Toc70243419"/>
      <w:bookmarkStart w:id="2954" w:name="_Toc70414894"/>
      <w:bookmarkStart w:id="2955" w:name="_Toc70844212"/>
      <w:bookmarkStart w:id="2956" w:name="_Toc72615145"/>
      <w:bookmarkStart w:id="2957" w:name="_Toc73129867"/>
      <w:bookmarkStart w:id="2958" w:name="_Toc73301735"/>
      <w:bookmarkStart w:id="2959" w:name="_Toc73302241"/>
      <w:bookmarkStart w:id="2960" w:name="_Toc73303374"/>
      <w:bookmarkStart w:id="2961" w:name="_Toc73303607"/>
      <w:bookmarkStart w:id="2962" w:name="_Toc74080724"/>
      <w:bookmarkStart w:id="2963" w:name="_Toc74081032"/>
      <w:bookmarkStart w:id="2964" w:name="_Toc74081262"/>
      <w:bookmarkStart w:id="2965" w:name="_Toc74081519"/>
      <w:bookmarkStart w:id="2966" w:name="_Toc74171093"/>
      <w:bookmarkStart w:id="2967" w:name="_Toc74172296"/>
      <w:bookmarkStart w:id="2968" w:name="_Toc74172832"/>
      <w:bookmarkStart w:id="2969" w:name="_Toc74238767"/>
      <w:bookmarkStart w:id="2970" w:name="_Toc79406406"/>
      <w:bookmarkStart w:id="2971" w:name="_Toc82773624"/>
      <w:bookmarkStart w:id="2972" w:name="_Toc82773977"/>
      <w:bookmarkEnd w:id="2950"/>
      <w:r w:rsidRPr="006720E4">
        <w:t>Disclosure of clinically relevant information to support decision-making</w:t>
      </w:r>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p>
    <w:p w14:paraId="31299D74" w14:textId="5E8FF75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At least some of the private information obtained in the setting of donation will be disclosed as necessary to provide clinical care to people other than the person from whom it is obtained, i.e., transplant recipients. Some private information may also be disclosed in the setting of directed living donation, in which individuals may make decisions about donation and transplantation in part based on knowledge of the risks and potential benefits of these procedures for their intended donor or </w:t>
      </w:r>
      <w:r w:rsidRPr="009727F1">
        <w:rPr>
          <w:rFonts w:ascii="Calibri" w:hAnsi="Calibri" w:cs="Calibri"/>
          <w:sz w:val="22"/>
          <w:szCs w:val="22"/>
        </w:rPr>
        <w:t xml:space="preserve">recipient (see </w:t>
      </w:r>
      <w:hyperlink w:anchor="_Risks_and_benefits_1" w:history="1">
        <w:r w:rsidR="00115936" w:rsidRPr="009727F1">
          <w:rPr>
            <w:rStyle w:val="Hyperlink"/>
            <w:rFonts w:ascii="Calibri" w:hAnsi="Calibri" w:cs="Calibri"/>
            <w:sz w:val="22"/>
            <w:szCs w:val="22"/>
          </w:rPr>
          <w:t>Chapter 6</w:t>
        </w:r>
      </w:hyperlink>
      <w:r w:rsidRPr="009727F1">
        <w:rPr>
          <w:rFonts w:ascii="Calibri" w:hAnsi="Calibri" w:cs="Calibri"/>
          <w:sz w:val="22"/>
          <w:szCs w:val="22"/>
        </w:rPr>
        <w:t>).</w:t>
      </w:r>
      <w:r w:rsidRPr="006720E4">
        <w:rPr>
          <w:rFonts w:ascii="Calibri" w:hAnsi="Calibri" w:cs="Calibri"/>
          <w:sz w:val="22"/>
          <w:szCs w:val="22"/>
        </w:rPr>
        <w:t xml:space="preserve"> </w:t>
      </w:r>
    </w:p>
    <w:p w14:paraId="248A3386" w14:textId="26904DD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the relevant people involved agree on the disclosure or exchange of specific information, then information may be shared freely without breaching privacy or confidentiality. In other cases, careful communication of information may enable the exchange of necessary information without breaching the limits of what individuals may be willing to disclose. For example, clinically relevant information may be communicated without disclosure of historical or narrative details which might be considered more personally sensitive, or which may risk identification of a non-directed donor and/or their family. </w:t>
      </w:r>
    </w:p>
    <w:p w14:paraId="64E760FD" w14:textId="77777777" w:rsidR="006C6EBA" w:rsidRPr="006720E4" w:rsidRDefault="006C6EBA" w:rsidP="00EA22AE">
      <w:pPr>
        <w:pStyle w:val="Heading4"/>
        <w:spacing w:after="120"/>
      </w:pPr>
      <w:bookmarkStart w:id="2973" w:name="_Toc70414895"/>
      <w:bookmarkStart w:id="2974" w:name="_Toc70844213"/>
      <w:bookmarkStart w:id="2975" w:name="_Toc72615146"/>
      <w:bookmarkStart w:id="2976" w:name="_Toc73129868"/>
      <w:bookmarkStart w:id="2977" w:name="_Toc73301736"/>
      <w:bookmarkStart w:id="2978" w:name="_Toc73302242"/>
      <w:bookmarkStart w:id="2979" w:name="_Toc73303375"/>
      <w:bookmarkStart w:id="2980" w:name="_Toc74081520"/>
      <w:bookmarkStart w:id="2981" w:name="_Toc74172297"/>
      <w:bookmarkStart w:id="2982" w:name="_Toc74172833"/>
      <w:bookmarkStart w:id="2983" w:name="_Toc82773625"/>
      <w:bookmarkStart w:id="2984" w:name="_Toc82773978"/>
      <w:r w:rsidRPr="006720E4">
        <w:t>Disclosure of donor information to transplant recipients</w:t>
      </w:r>
      <w:bookmarkEnd w:id="2973"/>
      <w:bookmarkEnd w:id="2974"/>
      <w:bookmarkEnd w:id="2975"/>
      <w:bookmarkEnd w:id="2976"/>
      <w:bookmarkEnd w:id="2977"/>
      <w:bookmarkEnd w:id="2978"/>
      <w:bookmarkEnd w:id="2979"/>
      <w:bookmarkEnd w:id="2980"/>
      <w:bookmarkEnd w:id="2981"/>
      <w:bookmarkEnd w:id="2982"/>
      <w:bookmarkEnd w:id="2983"/>
      <w:bookmarkEnd w:id="2984"/>
    </w:p>
    <w:p w14:paraId="1B80A46D" w14:textId="54DB2303" w:rsidR="006C6EBA" w:rsidRPr="006720E4" w:rsidRDefault="006C6EBA" w:rsidP="00EA22AE">
      <w:pPr>
        <w:pStyle w:val="NormalWeb"/>
        <w:spacing w:before="0" w:beforeAutospacing="0" w:after="120" w:afterAutospacing="0"/>
        <w:rPr>
          <w:rFonts w:cs="Calibri"/>
          <w:color w:val="000000" w:themeColor="text1"/>
          <w:szCs w:val="22"/>
        </w:rPr>
      </w:pPr>
      <w:r w:rsidRPr="006720E4">
        <w:rPr>
          <w:rFonts w:cs="Calibri"/>
          <w:color w:val="000000" w:themeColor="text1"/>
          <w:szCs w:val="22"/>
        </w:rPr>
        <w:t xml:space="preserve">Most commonly, some information about the donor of cells, tissues, or organs may be disclosed to a prospective transplant recipient in order for them to make an informed decision when consenting to receive a transplant. As discussed </w:t>
      </w:r>
      <w:r w:rsidRPr="009C2EF0">
        <w:rPr>
          <w:rFonts w:cs="Calibri"/>
          <w:color w:val="000000" w:themeColor="text1"/>
          <w:szCs w:val="22"/>
        </w:rPr>
        <w:t xml:space="preserve">in </w:t>
      </w:r>
      <w:hyperlink w:anchor="_Consent_for_transplantation" w:history="1">
        <w:r w:rsidRPr="009C2EF0">
          <w:rPr>
            <w:rStyle w:val="Hyperlink"/>
            <w:rFonts w:cs="Calibri"/>
            <w:szCs w:val="22"/>
          </w:rPr>
          <w:t xml:space="preserve">Chapter </w:t>
        </w:r>
        <w:r w:rsidR="009C2EF0" w:rsidRPr="009C2EF0">
          <w:rPr>
            <w:rStyle w:val="Hyperlink"/>
            <w:rFonts w:cs="Calibri"/>
            <w:szCs w:val="22"/>
          </w:rPr>
          <w:t>4</w:t>
        </w:r>
        <w:r w:rsidRPr="009C2EF0">
          <w:rPr>
            <w:rStyle w:val="Hyperlink"/>
            <w:rFonts w:cs="Calibri"/>
            <w:szCs w:val="22"/>
          </w:rPr>
          <w:t>.2</w:t>
        </w:r>
      </w:hyperlink>
      <w:r w:rsidRPr="009C2EF0">
        <w:rPr>
          <w:rFonts w:cs="Calibri"/>
          <w:szCs w:val="22"/>
        </w:rPr>
        <w:t xml:space="preserve"> and </w:t>
      </w:r>
      <w:hyperlink w:anchor="_Evaluation_of_risks" w:history="1">
        <w:r w:rsidRPr="009C2EF0">
          <w:rPr>
            <w:rStyle w:val="Hyperlink"/>
            <w:rFonts w:cs="Calibri"/>
            <w:szCs w:val="22"/>
          </w:rPr>
          <w:t xml:space="preserve">Chapter </w:t>
        </w:r>
        <w:r w:rsidR="009C2EF0" w:rsidRPr="009C2EF0">
          <w:rPr>
            <w:rStyle w:val="Hyperlink"/>
            <w:rFonts w:cs="Calibri"/>
            <w:szCs w:val="22"/>
          </w:rPr>
          <w:t>6</w:t>
        </w:r>
        <w:r w:rsidRPr="009C2EF0">
          <w:rPr>
            <w:rStyle w:val="Hyperlink"/>
            <w:rFonts w:cs="Calibri"/>
            <w:szCs w:val="22"/>
          </w:rPr>
          <w:t>.5.2.1</w:t>
        </w:r>
      </w:hyperlink>
      <w:r w:rsidRPr="009C2EF0">
        <w:rPr>
          <w:rFonts w:cs="Calibri"/>
          <w:color w:val="000000" w:themeColor="text1"/>
          <w:szCs w:val="22"/>
        </w:rPr>
        <w:t>, it is</w:t>
      </w:r>
      <w:r w:rsidRPr="006720E4">
        <w:rPr>
          <w:rFonts w:cs="Calibri"/>
          <w:color w:val="000000" w:themeColor="text1"/>
          <w:szCs w:val="22"/>
        </w:rPr>
        <w:t xml:space="preserve"> necessary for the person providing consent to transplantation to receive clinically relevant information about the donated material that may influence the risks and potential benefits of a transplant opportunity. </w:t>
      </w:r>
    </w:p>
    <w:p w14:paraId="3130AD42" w14:textId="77777777" w:rsidR="006C6EBA" w:rsidRPr="006720E4" w:rsidRDefault="006C6EBA" w:rsidP="00EA22AE">
      <w:pPr>
        <w:pStyle w:val="NormalWeb"/>
        <w:spacing w:before="0" w:beforeAutospacing="0" w:after="120" w:afterAutospacing="0"/>
        <w:rPr>
          <w:rFonts w:cs="Calibri"/>
          <w:color w:val="000000" w:themeColor="text1"/>
          <w:szCs w:val="22"/>
        </w:rPr>
      </w:pPr>
      <w:r w:rsidRPr="006720E4">
        <w:rPr>
          <w:rFonts w:cs="Calibri"/>
          <w:color w:val="000000" w:themeColor="text1"/>
          <w:szCs w:val="22"/>
        </w:rPr>
        <w:t xml:space="preserve">Clinically relevant information may be limited, particularly in the setting of tissue transplants that have undergone significant processing. A recipient might, for example, learn only basic details about the graft they are to receive which contain no information that is specific to the individual donor. </w:t>
      </w:r>
    </w:p>
    <w:p w14:paraId="337397A4" w14:textId="0D1F73D0" w:rsidR="006C6EBA" w:rsidRPr="006720E4" w:rsidRDefault="006C6EBA" w:rsidP="00EA22AE">
      <w:pPr>
        <w:pStyle w:val="NormalWeb"/>
        <w:spacing w:before="0" w:beforeAutospacing="0" w:after="120" w:afterAutospacing="0"/>
        <w:rPr>
          <w:rFonts w:cs="Calibri"/>
          <w:color w:val="000000" w:themeColor="text1"/>
          <w:szCs w:val="22"/>
        </w:rPr>
      </w:pPr>
      <w:r w:rsidRPr="006720E4">
        <w:rPr>
          <w:rFonts w:cs="Calibri"/>
          <w:color w:val="000000" w:themeColor="text1"/>
          <w:szCs w:val="22"/>
        </w:rPr>
        <w:t xml:space="preserve">On the other hand, clinically relevant information may be extensive and highly specific to an individual donor. However, this can usually be provided without disclosure of details that might facilitate identification of the donor. For example, a person making a decision about acceptance of a deceased donor organ offer should receive information about the clinical characteristics or qualities of the organ, rather than events in the donor’s life or death that may have impacted the qualities of the organ. </w:t>
      </w:r>
    </w:p>
    <w:p w14:paraId="748D402C" w14:textId="0AAAB819" w:rsidR="006C6EBA" w:rsidRPr="006720E4" w:rsidRDefault="006C6EBA" w:rsidP="00EA22AE">
      <w:pPr>
        <w:pStyle w:val="NormalWeb"/>
        <w:spacing w:before="0" w:beforeAutospacing="0" w:after="120" w:afterAutospacing="0"/>
        <w:rPr>
          <w:rFonts w:cs="Calibri"/>
          <w:color w:val="000000" w:themeColor="text1"/>
          <w:szCs w:val="22"/>
        </w:rPr>
      </w:pPr>
      <w:r w:rsidRPr="006720E4">
        <w:rPr>
          <w:rFonts w:cs="Calibri"/>
          <w:color w:val="000000" w:themeColor="text1"/>
          <w:szCs w:val="22"/>
        </w:rPr>
        <w:t xml:space="preserve">Where there is uncertainty regarding the potential impact of some events or donor behaviours during life on the donated organs or tissue, which may influence the potential benefits and risks of accepting a transplant offer, it may be necessary to disclose some information. This should be communicated in a general way, for example by describing any pre-mortem interventions the donor </w:t>
      </w:r>
      <w:r w:rsidRPr="006720E4">
        <w:rPr>
          <w:rFonts w:cs="Calibri"/>
          <w:color w:val="000000" w:themeColor="text1"/>
          <w:szCs w:val="22"/>
        </w:rPr>
        <w:lastRenderedPageBreak/>
        <w:t>may have received that could influence the qualities of the transplant or by explaining why it may not be possible to exclude the presence of a specific infectious disease in the donor.</w:t>
      </w:r>
    </w:p>
    <w:p w14:paraId="69E3D0C4" w14:textId="52656023" w:rsidR="006C6EBA" w:rsidRPr="006720E4" w:rsidRDefault="006C6EBA" w:rsidP="00EA22AE">
      <w:pPr>
        <w:pStyle w:val="Heading3"/>
        <w:spacing w:after="120"/>
      </w:pPr>
      <w:bookmarkStart w:id="2985" w:name="_Protection_of_privacy"/>
      <w:bookmarkStart w:id="2986" w:name="_Toc63683440"/>
      <w:bookmarkStart w:id="2987" w:name="_Toc70241785"/>
      <w:bookmarkStart w:id="2988" w:name="_Toc70243420"/>
      <w:bookmarkStart w:id="2989" w:name="_Toc70414896"/>
      <w:bookmarkStart w:id="2990" w:name="_Toc70844214"/>
      <w:bookmarkStart w:id="2991" w:name="_Toc72615147"/>
      <w:bookmarkStart w:id="2992" w:name="_Toc73129869"/>
      <w:bookmarkStart w:id="2993" w:name="_Toc73301737"/>
      <w:bookmarkStart w:id="2994" w:name="_Toc73302243"/>
      <w:bookmarkStart w:id="2995" w:name="_Toc73303376"/>
      <w:bookmarkStart w:id="2996" w:name="_Toc73303608"/>
      <w:bookmarkStart w:id="2997" w:name="_Toc74080725"/>
      <w:bookmarkStart w:id="2998" w:name="_Toc74081033"/>
      <w:bookmarkStart w:id="2999" w:name="_Toc74081263"/>
      <w:bookmarkStart w:id="3000" w:name="_Toc74081521"/>
      <w:bookmarkStart w:id="3001" w:name="_Toc74171094"/>
      <w:bookmarkStart w:id="3002" w:name="_Toc74172298"/>
      <w:bookmarkStart w:id="3003" w:name="_Toc74172834"/>
      <w:bookmarkStart w:id="3004" w:name="_Toc74238768"/>
      <w:bookmarkStart w:id="3005" w:name="_Toc79406407"/>
      <w:bookmarkStart w:id="3006" w:name="_Toc82773626"/>
      <w:bookmarkStart w:id="3007" w:name="_Toc82773979"/>
      <w:bookmarkEnd w:id="2985"/>
      <w:r w:rsidRPr="006720E4">
        <w:t>Protection of privacy in the setting of directed living donation</w:t>
      </w:r>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p>
    <w:p w14:paraId="63CCE7E9" w14:textId="64C53C7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a living person plans to donate cells, tissues or an organ to someone they know, confidentiality and privacy remain important even though the potential donor and recipient are likely to share a lot of personal information with one another. It is important not to make assumptions regarding the information that prospective living donors or recipients may wish to disclose to one another, or information that they may already hold. Even within close families or spousal relationships, some elements of an individual’s social, psychological, or medical history may be highly sensitive. See, for example, the discussion of misattributed genetic relationships that may revealed through living donor </w:t>
      </w:r>
      <w:r w:rsidRPr="001F7E00">
        <w:rPr>
          <w:rFonts w:ascii="Calibri" w:hAnsi="Calibri" w:cs="Calibri"/>
          <w:sz w:val="22"/>
          <w:szCs w:val="22"/>
        </w:rPr>
        <w:t xml:space="preserve">evaluation in </w:t>
      </w:r>
      <w:hyperlink w:anchor="_Misattributed_genetic_relationships_1" w:history="1">
        <w:r w:rsidRPr="001F7E00">
          <w:rPr>
            <w:rStyle w:val="Hyperlink"/>
            <w:rFonts w:ascii="Calibri" w:hAnsi="Calibri" w:cs="Calibri"/>
            <w:sz w:val="22"/>
            <w:szCs w:val="22"/>
          </w:rPr>
          <w:t xml:space="preserve">Chapter </w:t>
        </w:r>
        <w:r w:rsidR="009B495F" w:rsidRPr="001F7E00">
          <w:rPr>
            <w:rStyle w:val="Hyperlink"/>
            <w:rFonts w:ascii="Calibri" w:hAnsi="Calibri" w:cs="Calibri"/>
            <w:sz w:val="22"/>
            <w:szCs w:val="22"/>
          </w:rPr>
          <w:t>7</w:t>
        </w:r>
        <w:r w:rsidRPr="001F7E00">
          <w:rPr>
            <w:rStyle w:val="Hyperlink"/>
            <w:rFonts w:ascii="Calibri" w:hAnsi="Calibri" w:cs="Calibri"/>
            <w:sz w:val="22"/>
            <w:szCs w:val="22"/>
          </w:rPr>
          <w:t>.2.3</w:t>
        </w:r>
      </w:hyperlink>
      <w:r w:rsidRPr="001F7E00">
        <w:rPr>
          <w:rFonts w:ascii="Calibri" w:hAnsi="Calibri" w:cs="Calibri"/>
          <w:sz w:val="22"/>
          <w:szCs w:val="22"/>
        </w:rPr>
        <w:t>.</w:t>
      </w:r>
    </w:p>
    <w:p w14:paraId="46E9C763" w14:textId="1E52467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Individuals should be supported in managing the exchange of information that may be necessary to ensure that both parties can make an informed decision about donation or transplantation. Some individuals may assume they are entitled to access or receive information about their donor or recipient, and the importance of respecting confidentiality and privacy within the donor-recipient relationship should be discussed early in the evaluation process to ensure that expectations are established and that boundaries are defined where necessary.</w:t>
      </w:r>
    </w:p>
    <w:p w14:paraId="1192F078" w14:textId="686FD263" w:rsidR="006C6EBA" w:rsidRPr="001F7E00" w:rsidRDefault="006C6EBA" w:rsidP="00EA22AE">
      <w:pPr>
        <w:spacing w:after="120"/>
        <w:rPr>
          <w:rFonts w:ascii="Calibri" w:hAnsi="Calibri" w:cs="Calibri"/>
          <w:sz w:val="22"/>
          <w:szCs w:val="22"/>
        </w:rPr>
      </w:pPr>
      <w:r w:rsidRPr="006720E4">
        <w:rPr>
          <w:rFonts w:ascii="Calibri" w:hAnsi="Calibri" w:cs="Calibri"/>
          <w:sz w:val="22"/>
          <w:szCs w:val="22"/>
        </w:rPr>
        <w:t xml:space="preserve">In some cases, it may be difficult for a potential living donor or transplant recipient to decline a request for or an offer of donation, as this might cause emotional distress or tensions within relationships. Potential coercive </w:t>
      </w:r>
      <w:r w:rsidRPr="004F318F">
        <w:rPr>
          <w:rFonts w:ascii="Calibri" w:hAnsi="Calibri" w:cs="Calibri"/>
          <w:sz w:val="22"/>
          <w:szCs w:val="22"/>
        </w:rPr>
        <w:t xml:space="preserve">influences (see </w:t>
      </w:r>
      <w:hyperlink w:anchor="_Voluntariness" w:history="1">
        <w:r w:rsidRPr="004F318F">
          <w:rPr>
            <w:rStyle w:val="Hyperlink"/>
            <w:rFonts w:ascii="Calibri" w:hAnsi="Calibri" w:cs="Calibri"/>
            <w:sz w:val="22"/>
            <w:szCs w:val="22"/>
          </w:rPr>
          <w:t xml:space="preserve">Chapter </w:t>
        </w:r>
        <w:r w:rsidR="009B495F" w:rsidRPr="004F318F">
          <w:rPr>
            <w:rStyle w:val="Hyperlink"/>
            <w:rFonts w:ascii="Calibri" w:hAnsi="Calibri" w:cs="Calibri"/>
            <w:sz w:val="22"/>
            <w:szCs w:val="22"/>
          </w:rPr>
          <w:t>4</w:t>
        </w:r>
        <w:r w:rsidRPr="004F318F">
          <w:rPr>
            <w:rStyle w:val="Hyperlink"/>
            <w:rFonts w:ascii="Calibri" w:hAnsi="Calibri" w:cs="Calibri"/>
            <w:sz w:val="22"/>
            <w:szCs w:val="22"/>
          </w:rPr>
          <w:t>.1.2</w:t>
        </w:r>
      </w:hyperlink>
      <w:r w:rsidRPr="004F318F">
        <w:rPr>
          <w:rFonts w:ascii="Calibri" w:hAnsi="Calibri" w:cs="Calibri"/>
          <w:sz w:val="22"/>
          <w:szCs w:val="22"/>
        </w:rPr>
        <w:t xml:space="preserve"> and </w:t>
      </w:r>
      <w:hyperlink w:anchor="_Voluntariness_of_consent" w:history="1">
        <w:r w:rsidRPr="004F318F">
          <w:rPr>
            <w:rStyle w:val="Hyperlink"/>
            <w:rFonts w:ascii="Calibri" w:hAnsi="Calibri" w:cs="Calibri"/>
            <w:sz w:val="22"/>
            <w:szCs w:val="22"/>
          </w:rPr>
          <w:t xml:space="preserve">Chapter </w:t>
        </w:r>
        <w:r w:rsidR="009B495F" w:rsidRPr="004F318F">
          <w:rPr>
            <w:rStyle w:val="Hyperlink"/>
            <w:rFonts w:ascii="Calibri" w:hAnsi="Calibri" w:cs="Calibri"/>
            <w:sz w:val="22"/>
            <w:szCs w:val="22"/>
          </w:rPr>
          <w:t>4</w:t>
        </w:r>
        <w:r w:rsidRPr="004F318F">
          <w:rPr>
            <w:rStyle w:val="Hyperlink"/>
            <w:rFonts w:ascii="Calibri" w:hAnsi="Calibri" w:cs="Calibri"/>
            <w:sz w:val="22"/>
            <w:szCs w:val="22"/>
          </w:rPr>
          <w:t>.3.3.1</w:t>
        </w:r>
      </w:hyperlink>
      <w:r w:rsidRPr="004F318F">
        <w:rPr>
          <w:rFonts w:ascii="Calibri" w:hAnsi="Calibri" w:cs="Calibri"/>
          <w:sz w:val="22"/>
          <w:szCs w:val="22"/>
        </w:rPr>
        <w:t>) may</w:t>
      </w:r>
      <w:r w:rsidRPr="006720E4">
        <w:rPr>
          <w:rFonts w:ascii="Calibri" w:hAnsi="Calibri" w:cs="Calibri"/>
          <w:sz w:val="22"/>
          <w:szCs w:val="22"/>
        </w:rPr>
        <w:t xml:space="preserve"> also create difficulties in declining donation or transplantation opportunities within the context of familial or social relationships. Individuals should be given opportunities to privately discuss any concerns they may have regarding donation or transplantation, and they should be supported in communicating their decisions or declining donation or </w:t>
      </w:r>
      <w:r w:rsidRPr="001F7E00">
        <w:rPr>
          <w:rFonts w:ascii="Calibri" w:hAnsi="Calibri" w:cs="Calibri"/>
          <w:sz w:val="22"/>
          <w:szCs w:val="22"/>
        </w:rPr>
        <w:t xml:space="preserve">transplantation opportunities while avoiding conflict within relationships (see </w:t>
      </w:r>
      <w:hyperlink w:anchor="_Strategies_to_support" w:history="1">
        <w:r w:rsidRPr="001F7E00">
          <w:rPr>
            <w:rStyle w:val="Hyperlink"/>
            <w:rFonts w:ascii="Calibri" w:hAnsi="Calibri" w:cs="Calibri"/>
            <w:sz w:val="22"/>
            <w:szCs w:val="22"/>
          </w:rPr>
          <w:t xml:space="preserve">Chapter </w:t>
        </w:r>
        <w:r w:rsidR="009B495F" w:rsidRPr="001F7E00">
          <w:rPr>
            <w:rStyle w:val="Hyperlink"/>
            <w:rFonts w:ascii="Calibri" w:hAnsi="Calibri" w:cs="Calibri"/>
            <w:sz w:val="22"/>
            <w:szCs w:val="22"/>
          </w:rPr>
          <w:t>7</w:t>
        </w:r>
        <w:r w:rsidRPr="001F7E00">
          <w:rPr>
            <w:rStyle w:val="Hyperlink"/>
            <w:rFonts w:ascii="Calibri" w:hAnsi="Calibri" w:cs="Calibri"/>
            <w:sz w:val="22"/>
            <w:szCs w:val="22"/>
          </w:rPr>
          <w:t>.2.2.1</w:t>
        </w:r>
      </w:hyperlink>
      <w:r w:rsidRPr="001F7E00">
        <w:rPr>
          <w:rFonts w:ascii="Calibri" w:hAnsi="Calibri" w:cs="Calibri"/>
          <w:sz w:val="22"/>
          <w:szCs w:val="22"/>
        </w:rPr>
        <w:t xml:space="preserve">). </w:t>
      </w:r>
    </w:p>
    <w:p w14:paraId="4D1FD45B" w14:textId="5564F540" w:rsidR="006C6EBA" w:rsidRPr="006720E4" w:rsidRDefault="006C6EBA" w:rsidP="00EA22AE">
      <w:pPr>
        <w:pStyle w:val="Heading4"/>
        <w:spacing w:after="120"/>
      </w:pPr>
      <w:bookmarkStart w:id="3008" w:name="_Strategies_to_support"/>
      <w:bookmarkStart w:id="3009" w:name="_Toc82773627"/>
      <w:bookmarkStart w:id="3010" w:name="_Toc82773980"/>
      <w:bookmarkEnd w:id="3008"/>
      <w:r w:rsidRPr="001F7E00">
        <w:t>St</w:t>
      </w:r>
      <w:r w:rsidRPr="006720E4">
        <w:t>rategies to support privacy in directed living donation</w:t>
      </w:r>
      <w:bookmarkEnd w:id="3009"/>
      <w:bookmarkEnd w:id="3010"/>
    </w:p>
    <w:p w14:paraId="592279B4" w14:textId="4E959394"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Potential living directed donors and transplant recipients may need help to protect their personal information, for example, in situations where family members or others may pressure them to disclose information. Provision of counselling may help individuals to manage difficult disclosures of sensitive information where necessary. Professional mediation of group discussions may be helpful in ensuring that information disclosures and discussions are respectful of the privacy of individuals. </w:t>
      </w:r>
    </w:p>
    <w:p w14:paraId="1AA3D5A5" w14:textId="5B4B7E1D" w:rsidR="006C6EBA" w:rsidRPr="006720E4" w:rsidRDefault="006C6EBA" w:rsidP="00EA22AE">
      <w:pPr>
        <w:spacing w:after="120"/>
        <w:rPr>
          <w:rFonts w:ascii="Calibri" w:hAnsi="Calibri" w:cs="Calibri"/>
          <w:sz w:val="22"/>
          <w:szCs w:val="22"/>
        </w:rPr>
      </w:pPr>
      <w:r w:rsidRPr="006720E4">
        <w:rPr>
          <w:rFonts w:ascii="Calibri" w:hAnsi="Calibri" w:cs="Calibri"/>
          <w:color w:val="000000" w:themeColor="text1"/>
          <w:sz w:val="22"/>
          <w:szCs w:val="22"/>
        </w:rPr>
        <w:t xml:space="preserve">When prospective living directed donors do not wish to proceed with donation but are reluctant to disclose this to the intended transplant recipient or family members, </w:t>
      </w:r>
      <w:r w:rsidRPr="006720E4">
        <w:rPr>
          <w:rFonts w:ascii="Calibri" w:hAnsi="Calibri" w:cs="Calibri"/>
          <w:sz w:val="22"/>
          <w:szCs w:val="22"/>
        </w:rPr>
        <w:t xml:space="preserve">consideration may be given to use of an “alibi”. The term “medical alibi” has been used to describe the occasional practice of health professionals providing potential living directed donors – usually kidney donors - with a statement or justification for the relevant transplant centre to decline the donor, so that the potential donor may avoid disclosing their unwillingness to donate to the potential recipient or their family. </w:t>
      </w:r>
    </w:p>
    <w:p w14:paraId="1A47D9F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such cases, transplant centres are correct in describing the potential donor as </w:t>
      </w:r>
      <w:r w:rsidRPr="006720E4">
        <w:rPr>
          <w:rFonts w:ascii="Calibri" w:hAnsi="Calibri" w:cs="Calibri"/>
          <w:i/>
          <w:iCs/>
          <w:sz w:val="22"/>
          <w:szCs w:val="22"/>
        </w:rPr>
        <w:t>ineligible</w:t>
      </w:r>
      <w:r w:rsidRPr="006720E4">
        <w:rPr>
          <w:rFonts w:ascii="Calibri" w:hAnsi="Calibri" w:cs="Calibri"/>
          <w:sz w:val="22"/>
          <w:szCs w:val="22"/>
        </w:rPr>
        <w:t xml:space="preserve"> to donate because they do not meet the essential criterion for donation of voluntariness. However, an alibi does not communicate this reasoning, and is generally considered or used to imply that the potential donor is not clinically suitable or is medically ineligible to donate. </w:t>
      </w:r>
    </w:p>
    <w:p w14:paraId="51815CA0" w14:textId="7A32073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Potential risks and ethical concerns regarding use of a donor alibi include the following:</w:t>
      </w:r>
    </w:p>
    <w:p w14:paraId="6ACB510C" w14:textId="77777777" w:rsidR="006C6EBA" w:rsidRPr="006720E4" w:rsidRDefault="006C6EBA" w:rsidP="00C3783C">
      <w:pPr>
        <w:pStyle w:val="ListParagraph"/>
        <w:numPr>
          <w:ilvl w:val="0"/>
          <w:numId w:val="104"/>
        </w:numPr>
        <w:spacing w:after="120"/>
        <w:contextualSpacing w:val="0"/>
        <w:rPr>
          <w:rFonts w:cs="Calibri"/>
          <w:szCs w:val="22"/>
        </w:rPr>
      </w:pPr>
      <w:r w:rsidRPr="006720E4">
        <w:rPr>
          <w:rFonts w:cs="Calibri"/>
          <w:szCs w:val="22"/>
        </w:rPr>
        <w:t xml:space="preserve">may involve withholding information from or providing misleading or even dishonest information to a potential transplant recipient. </w:t>
      </w:r>
    </w:p>
    <w:p w14:paraId="14F11AEB" w14:textId="77777777" w:rsidR="006C6EBA" w:rsidRPr="006720E4" w:rsidRDefault="006C6EBA" w:rsidP="00C3783C">
      <w:pPr>
        <w:pStyle w:val="ListParagraph"/>
        <w:numPr>
          <w:ilvl w:val="0"/>
          <w:numId w:val="104"/>
        </w:numPr>
        <w:spacing w:after="120"/>
        <w:contextualSpacing w:val="0"/>
        <w:rPr>
          <w:rFonts w:cs="Calibri"/>
          <w:szCs w:val="22"/>
        </w:rPr>
      </w:pPr>
      <w:r w:rsidRPr="006720E4">
        <w:rPr>
          <w:rFonts w:cs="Calibri"/>
          <w:szCs w:val="22"/>
        </w:rPr>
        <w:lastRenderedPageBreak/>
        <w:t xml:space="preserve">providing a plausible “alibi” may be difficult depending on the clinical characteristics of the potential donor and recipient, on the communication skills of the health professional providing the alibi, and on whether the prospective recipient or their family are likely to probe the information provided. </w:t>
      </w:r>
    </w:p>
    <w:p w14:paraId="00A27008" w14:textId="77777777" w:rsidR="006C6EBA" w:rsidRPr="006720E4" w:rsidRDefault="006C6EBA" w:rsidP="00C3783C">
      <w:pPr>
        <w:pStyle w:val="ListParagraph"/>
        <w:numPr>
          <w:ilvl w:val="0"/>
          <w:numId w:val="104"/>
        </w:numPr>
        <w:spacing w:after="120"/>
        <w:contextualSpacing w:val="0"/>
        <w:rPr>
          <w:rFonts w:cs="Calibri"/>
          <w:szCs w:val="22"/>
        </w:rPr>
      </w:pPr>
      <w:r w:rsidRPr="006720E4">
        <w:rPr>
          <w:rFonts w:cs="Calibri"/>
          <w:szCs w:val="22"/>
        </w:rPr>
        <w:t xml:space="preserve">if it is suspected or inadvertently revealed that an attempt has been made to deceive, use of a medical alibi may undermine trust on the part of the prospective transplant recipient, especially if there has not been a clear separation between the healthcare staff involved in evaluation of the potential donor and care of the prospective transplant recipient. </w:t>
      </w:r>
    </w:p>
    <w:p w14:paraId="72B0A165" w14:textId="77777777" w:rsidR="006C6EBA" w:rsidRPr="006720E4" w:rsidRDefault="006C6EBA" w:rsidP="00C3783C">
      <w:pPr>
        <w:pStyle w:val="ListParagraph"/>
        <w:numPr>
          <w:ilvl w:val="0"/>
          <w:numId w:val="104"/>
        </w:numPr>
        <w:spacing w:after="120"/>
        <w:contextualSpacing w:val="0"/>
        <w:rPr>
          <w:rFonts w:cs="Calibri"/>
          <w:szCs w:val="22"/>
        </w:rPr>
      </w:pPr>
      <w:r w:rsidRPr="006720E4">
        <w:rPr>
          <w:rFonts w:cs="Calibri"/>
          <w:color w:val="000000" w:themeColor="text1"/>
          <w:szCs w:val="22"/>
        </w:rPr>
        <w:t>alibis may not fully address the issues faced by the potential donor, for example if they are at risk of physical, emotional or financial abuse by family members despite providing an external reason to justify the decision not to proceed with donation.</w:t>
      </w:r>
    </w:p>
    <w:p w14:paraId="7D2C8C43" w14:textId="6C4B72F0"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Potential benefits of offering a donor alibi:</w:t>
      </w:r>
    </w:p>
    <w:p w14:paraId="310DD35D" w14:textId="77777777" w:rsidR="006C6EBA" w:rsidRPr="006720E4" w:rsidRDefault="006C6EBA" w:rsidP="00C3783C">
      <w:pPr>
        <w:pStyle w:val="ListParagraph"/>
        <w:numPr>
          <w:ilvl w:val="0"/>
          <w:numId w:val="105"/>
        </w:numPr>
        <w:spacing w:after="120"/>
        <w:contextualSpacing w:val="0"/>
        <w:rPr>
          <w:rFonts w:cs="Calibri"/>
          <w:szCs w:val="22"/>
        </w:rPr>
      </w:pPr>
      <w:r w:rsidRPr="006720E4">
        <w:rPr>
          <w:rFonts w:cs="Calibri"/>
          <w:color w:val="000000" w:themeColor="text1"/>
          <w:szCs w:val="22"/>
        </w:rPr>
        <w:t xml:space="preserve">in some circumstances provision of an alibi may be a necessary protection for a potential living donor who is experiencing significant pressure to donate. </w:t>
      </w:r>
    </w:p>
    <w:p w14:paraId="7A725559" w14:textId="4C47F1D2" w:rsidR="006C6EBA" w:rsidRPr="006720E4" w:rsidRDefault="006C6EBA" w:rsidP="00C3783C">
      <w:pPr>
        <w:pStyle w:val="ListParagraph"/>
        <w:numPr>
          <w:ilvl w:val="0"/>
          <w:numId w:val="105"/>
        </w:numPr>
        <w:spacing w:after="120"/>
        <w:contextualSpacing w:val="0"/>
        <w:rPr>
          <w:rFonts w:cs="Calibri"/>
          <w:szCs w:val="22"/>
        </w:rPr>
      </w:pPr>
      <w:r w:rsidRPr="006720E4">
        <w:rPr>
          <w:rFonts w:cs="Calibri"/>
          <w:color w:val="000000" w:themeColor="text1"/>
          <w:szCs w:val="22"/>
        </w:rPr>
        <w:t>awareness of the availability of an alibi may be helpful in ensuring that prospective donors are confident in their ability to withhold or withdraw consent safely.</w:t>
      </w:r>
      <w:r w:rsidRPr="006720E4">
        <w:rPr>
          <w:rFonts w:cs="Calibri"/>
          <w:color w:val="000000" w:themeColor="text1"/>
          <w:szCs w:val="22"/>
        </w:rPr>
        <w:fldChar w:fldCharType="begin" w:fldLock="1"/>
      </w:r>
      <w:r w:rsidR="00EB088B">
        <w:rPr>
          <w:rFonts w:cs="Calibri"/>
          <w:color w:val="000000" w:themeColor="text1"/>
          <w:szCs w:val="22"/>
        </w:rPr>
        <w:instrText>ADDIN CSL_CITATION {"citationItems":[{"id":"ITEM-1","itemData":{"DOI":"10.1136/medethics-2014-102184","ISSN":"14734257","PMID":"25368413","abstract":"Ethicists and guidelines have suggested that potential living kidney donors who withdraw from evaluation be offered an 'alibi.' We sought to determine what potential living kidney donors are told about their ability to opt out, alibi availability and postwithdrawal confidentiality. We reviewed 148 consent forms for living kidney donor evaluation from US transplant centres that performed &gt;5 living kidney transplants in 2010-2011 (response rate 87%). We found that while 98% of centres used evaluation consent forms that indicated that the donor could withdraw, only 21% of these documents offered an alibi. Another 23% of centres' consent forms indicated that the transplant team would be willing to inform the intended recipient that an individual was not a potential donor. Relatively few consent documents explicitly addressed the confidentiality of the donor's health information (31%), candidacy status (18%), decision (24%) or reasons (23%) following withdrawal. To preserve potential donors' autonomy and relationships, we advocate that all transplant centres offer general alibis in their evaluation consent forms. We conclude by offering recommendations for evaluation consent discussions of opting out, alibis and postwithdrawal confidentiality.","author":[{"dropping-particle":"","family":"Thiessen","given":"Carrie","non-dropping-particle":"","parse-names":false,"suffix":""},{"dropping-particle":"","family":"Kim","given":"Yunsoo A.","non-dropping-particle":"","parse-names":false,"suffix":""},{"dropping-particle":"","family":"Formica","given":"Richard","non-dropping-particle":"","parse-names":false,"suffix":""},{"dropping-particle":"","family":"Bia","given":"Margaret","non-dropping-particle":"","parse-names":false,"suffix":""},{"dropping-particle":"","family":"Kulkarni","given":"Sanjay","non-dropping-particle":"","parse-names":false,"suffix":""}],"container-title":"Journal of Medical Ethics","id":"ITEM-1","issue":"7","issued":{"date-parts":[["2015"]]},"page":"506-510","title":"Opting out: Confidentiality and availability of an 'alibi' for potential living kidney donors in the USA","type":"article-journal","volume":"41"},"uris":["http://www.mendeley.com/documents/?uuid=2735c28b-9338-49a9-8514-b4024da20187"]}],"mendeley":{"formattedCitation":"(53)","plainTextFormattedCitation":"(53)","previouslyFormattedCitation":"(53)"},"properties":{"noteIndex":0},"schema":"https://github.com/citation-style-language/schema/raw/master/csl-citation.json"}</w:instrText>
      </w:r>
      <w:r w:rsidRPr="006720E4">
        <w:rPr>
          <w:rFonts w:cs="Calibri"/>
          <w:color w:val="000000" w:themeColor="text1"/>
          <w:szCs w:val="22"/>
        </w:rPr>
        <w:fldChar w:fldCharType="separate"/>
      </w:r>
      <w:r w:rsidR="00BA3D76" w:rsidRPr="00BA3D76">
        <w:rPr>
          <w:rFonts w:cs="Calibri"/>
          <w:noProof/>
          <w:color w:val="000000" w:themeColor="text1"/>
          <w:szCs w:val="22"/>
        </w:rPr>
        <w:t>(53)</w:t>
      </w:r>
      <w:r w:rsidRPr="006720E4">
        <w:rPr>
          <w:rFonts w:cs="Calibri"/>
          <w:color w:val="000000" w:themeColor="text1"/>
          <w:szCs w:val="22"/>
        </w:rPr>
        <w:fldChar w:fldCharType="end"/>
      </w:r>
      <w:r w:rsidRPr="006720E4">
        <w:rPr>
          <w:rFonts w:cs="Calibri"/>
          <w:color w:val="000000" w:themeColor="text1"/>
          <w:szCs w:val="22"/>
        </w:rPr>
        <w:t xml:space="preserve"> </w:t>
      </w:r>
    </w:p>
    <w:p w14:paraId="0F412AE0" w14:textId="77777777"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Living donation programs should establish a clear policy with regards to provision of alibis and provide education and guidance to relevant staff regarding their use in order to optimise their benefits and reduce potential risks if alibis are used.</w:t>
      </w:r>
    </w:p>
    <w:p w14:paraId="52168A72" w14:textId="77777777" w:rsidR="006C6EBA" w:rsidRPr="006720E4" w:rsidRDefault="006C6EBA" w:rsidP="00EA22AE">
      <w:pPr>
        <w:pStyle w:val="Heading3"/>
        <w:spacing w:after="120"/>
      </w:pPr>
      <w:bookmarkStart w:id="3011" w:name="_Misattributed_genetic_relationships_1"/>
      <w:bookmarkStart w:id="3012" w:name="_Toc63683443"/>
      <w:bookmarkStart w:id="3013" w:name="_Toc70241788"/>
      <w:bookmarkStart w:id="3014" w:name="_Toc70243423"/>
      <w:bookmarkStart w:id="3015" w:name="_Toc70415000"/>
      <w:bookmarkStart w:id="3016" w:name="_Toc70844320"/>
      <w:bookmarkStart w:id="3017" w:name="_Toc70859041"/>
      <w:bookmarkStart w:id="3018" w:name="_Toc70861142"/>
      <w:bookmarkStart w:id="3019" w:name="_Toc70876628"/>
      <w:bookmarkStart w:id="3020" w:name="_Toc72615262"/>
      <w:bookmarkStart w:id="3021" w:name="_Toc73129986"/>
      <w:bookmarkStart w:id="3022" w:name="_Toc73301857"/>
      <w:bookmarkStart w:id="3023" w:name="_Toc73302363"/>
      <w:bookmarkStart w:id="3024" w:name="_Toc73303496"/>
      <w:bookmarkStart w:id="3025" w:name="_Toc73303705"/>
      <w:bookmarkStart w:id="3026" w:name="_Toc74080835"/>
      <w:bookmarkStart w:id="3027" w:name="_Toc74081143"/>
      <w:bookmarkStart w:id="3028" w:name="_Toc74081373"/>
      <w:bookmarkStart w:id="3029" w:name="_Toc74081654"/>
      <w:bookmarkStart w:id="3030" w:name="_Toc74171204"/>
      <w:bookmarkStart w:id="3031" w:name="_Toc74172431"/>
      <w:bookmarkStart w:id="3032" w:name="_Toc74172965"/>
      <w:bookmarkStart w:id="3033" w:name="_Toc74238878"/>
      <w:bookmarkStart w:id="3034" w:name="_Toc78304817"/>
      <w:bookmarkStart w:id="3035" w:name="_Toc79406408"/>
      <w:bookmarkStart w:id="3036" w:name="_Toc82773628"/>
      <w:bookmarkStart w:id="3037" w:name="_Toc82773981"/>
      <w:bookmarkStart w:id="3038" w:name="_Toc63683441"/>
      <w:bookmarkStart w:id="3039" w:name="_Toc70241786"/>
      <w:bookmarkStart w:id="3040" w:name="_Toc70243421"/>
      <w:bookmarkStart w:id="3041" w:name="_Toc70414897"/>
      <w:bookmarkStart w:id="3042" w:name="_Toc70844215"/>
      <w:bookmarkStart w:id="3043" w:name="_Toc72615148"/>
      <w:bookmarkStart w:id="3044" w:name="_Toc73129870"/>
      <w:bookmarkStart w:id="3045" w:name="_Toc73301738"/>
      <w:bookmarkStart w:id="3046" w:name="_Toc73302244"/>
      <w:bookmarkStart w:id="3047" w:name="_Toc73303377"/>
      <w:bookmarkStart w:id="3048" w:name="_Toc73303609"/>
      <w:bookmarkStart w:id="3049" w:name="_Toc74080726"/>
      <w:bookmarkStart w:id="3050" w:name="_Toc74081034"/>
      <w:bookmarkStart w:id="3051" w:name="_Toc74081264"/>
      <w:bookmarkStart w:id="3052" w:name="_Toc74081522"/>
      <w:bookmarkStart w:id="3053" w:name="_Toc74171095"/>
      <w:bookmarkStart w:id="3054" w:name="_Toc74172299"/>
      <w:bookmarkStart w:id="3055" w:name="_Toc74172835"/>
      <w:bookmarkStart w:id="3056" w:name="_Toc74238769"/>
      <w:bookmarkEnd w:id="3011"/>
      <w:r w:rsidRPr="006720E4">
        <w:t>Misattributed genetic relationships in evaluation of living directed donors</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p>
    <w:p w14:paraId="45CA24A9" w14:textId="16AA1CBD"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In some cases of directed living donation, the process of donor and recipient evaluation may reveal information that indicates an unexpected genetic relationship – or lack of relationship - between some individuals. For example, when evaluating potential living kidney donors and determining who is a suitable immunological match for a particular recipient, it is estimated that roughly 0.5% of living donor cases are found to involve misattributed paternity.</w:t>
      </w:r>
      <w:r w:rsidRPr="006720E4">
        <w:rPr>
          <w:rFonts w:ascii="Calibri" w:hAnsi="Calibri" w:cs="Calibri"/>
          <w:color w:val="000000" w:themeColor="text1"/>
          <w:sz w:val="22"/>
          <w:szCs w:val="22"/>
        </w:rPr>
        <w:fldChar w:fldCharType="begin" w:fldLock="1"/>
      </w:r>
      <w:r w:rsidR="00EB088B">
        <w:rPr>
          <w:rFonts w:ascii="Calibri" w:hAnsi="Calibri" w:cs="Calibri"/>
          <w:color w:val="000000" w:themeColor="text1"/>
          <w:sz w:val="22"/>
          <w:szCs w:val="22"/>
        </w:rPr>
        <w:instrText>ADDIN CSL_CITATION {"citationItems":[{"id":"ITEM-1","itemData":{"DOI":"10.1097/TP.0b013e3181a4eae5","ISSN":"00411337","PMID":"19461476","abstract":"When evaluating a living kidney donor and recipient with a father-child relationship, it may be discovered that the two are not biologically related. We analyzed data from the United Network for Organ Sharing and the Canadian Organ Replacement Registry to determine how frequently this occurs. We surveyed 102 potential donors, recipients, and transplant professionals for their opinion on whether such information should be disclosed to the donor-recipient pair. We communicated with transplant professionals from 13 Canadian centers on current practices for handling this information. In the United States and Canada, the prevalence of father-child living kidney donor-recipient pairs with less than a one-haplotype human leukocyte antigen match (i.e., misattributed paternity) is between 1% and 3%, or approximately 0.25% to 0.5% of all living kidney donations. Opinions about revealing this information were variable: 23% strongly favored disclosure; whereas, 24% were strongly opposed to it. Current practices are variable; some centers disclose this information, whereas others do not. Discovering misattributed paternity in living donation is uncommon but can occur. Opinions on how to deal with this sensitive information are variable. Discussion among transplant professionals will facilitate best practices and policies. Strategies adopted by some centers can be considered. © 2009 by Lippincott Williams &amp; Wilkins.","author":[{"dropping-particle":"","family":"Young","given":"Ann","non-dropping-particle":"","parse-names":false,"suffix":""},{"dropping-particle":"","family":"Kim","given":"Sang Joseph","non-dropping-particle":"","parse-names":false,"suffix":""},{"dropping-particle":"","family":"Gibney","given":"Eric M.","non-dropping-particle":"","parse-names":false,"suffix":""},{"dropping-particle":"","family":"Parikh","given":"Chirag R.","non-dropping-particle":"","parse-names":false,"suffix":""},{"dropping-particle":"","family":"Cuerden","given":"Meaghan S.","non-dropping-particle":"","parse-names":false,"suffix":""},{"dropping-particle":"","family":"Horvat","given":"Lucy D.","non-dropping-particle":"","parse-names":false,"suffix":""},{"dropping-particle":"","family":"Hizo-Abes","given":"Patricia","non-dropping-particle":"","parse-names":false,"suffix":""},{"dropping-particle":"","family":"Garg","given":"Amit X.","non-dropping-particle":"","parse-names":false,"suffix":""}],"container-title":"Transplantation","id":"ITEM-1","issue":"10","issued":{"date-parts":[["2009"]]},"page":"1429-1435","title":"Discovering misattributed paternity in living kidney donation: Prevalence, preference, and practice","type":"article-journal","volume":"87"},"uris":["http://www.mendeley.com/documents/?uuid=bf8e4e9d-d798-4845-916a-a639d27babcc"]}],"mendeley":{"formattedCitation":"(107)","plainTextFormattedCitation":"(107)","previouslyFormattedCitation":"(107)"},"properties":{"noteIndex":0},"schema":"https://github.com/citation-style-language/schema/raw/master/csl-citation.json"}</w:instrText>
      </w:r>
      <w:r w:rsidRPr="006720E4">
        <w:rPr>
          <w:rFonts w:ascii="Calibri" w:hAnsi="Calibri" w:cs="Calibri"/>
          <w:color w:val="000000" w:themeColor="text1"/>
          <w:sz w:val="22"/>
          <w:szCs w:val="22"/>
        </w:rPr>
        <w:fldChar w:fldCharType="separate"/>
      </w:r>
      <w:r w:rsidR="00BA3D76" w:rsidRPr="00BA3D76">
        <w:rPr>
          <w:rFonts w:ascii="Calibri" w:hAnsi="Calibri" w:cs="Calibri"/>
          <w:noProof/>
          <w:color w:val="000000" w:themeColor="text1"/>
          <w:sz w:val="22"/>
          <w:szCs w:val="22"/>
        </w:rPr>
        <w:t>(107)</w:t>
      </w:r>
      <w:r w:rsidRPr="006720E4">
        <w:rPr>
          <w:rFonts w:ascii="Calibri" w:hAnsi="Calibri" w:cs="Calibri"/>
          <w:color w:val="000000" w:themeColor="text1"/>
          <w:sz w:val="22"/>
          <w:szCs w:val="22"/>
        </w:rPr>
        <w:fldChar w:fldCharType="end"/>
      </w:r>
      <w:r w:rsidRPr="006720E4">
        <w:rPr>
          <w:rFonts w:ascii="Calibri" w:hAnsi="Calibri" w:cs="Calibri"/>
          <w:color w:val="000000" w:themeColor="text1"/>
          <w:sz w:val="22"/>
          <w:szCs w:val="22"/>
        </w:rPr>
        <w:t xml:space="preserve"> This means that a prospective living donor and recipient pair who presented their relationship as that of a genetic father and child do not in fact have such a genetic parental relationship. </w:t>
      </w:r>
    </w:p>
    <w:p w14:paraId="76ED3AC9" w14:textId="7E773DD0"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Misattributed paternity is often identified in other clinical settings, such as when individuals undergo genetic testing. In general ethical guidelines for both transplantation and other settings, </w:t>
      </w:r>
      <w:r w:rsidRPr="006720E4">
        <w:rPr>
          <w:rFonts w:ascii="Calibri" w:hAnsi="Calibri" w:cs="Calibri"/>
          <w:sz w:val="22"/>
          <w:szCs w:val="22"/>
        </w:rPr>
        <w:t xml:space="preserve">health professionals </w:t>
      </w:r>
      <w:r w:rsidRPr="006720E4">
        <w:rPr>
          <w:rFonts w:ascii="Calibri" w:hAnsi="Calibri" w:cs="Calibri"/>
          <w:color w:val="000000" w:themeColor="text1"/>
          <w:sz w:val="22"/>
          <w:szCs w:val="22"/>
        </w:rPr>
        <w:t>are sometimes advised that there is no obligation to disclose a finding of misattributed paternity to affected individuals or advised not to disclose such findings unless there is a medical reason to do so.</w:t>
      </w:r>
      <w:r w:rsidRPr="006720E4">
        <w:rPr>
          <w:rFonts w:ascii="Calibri" w:hAnsi="Calibri" w:cs="Calibri"/>
          <w:color w:val="000000" w:themeColor="text1"/>
          <w:sz w:val="22"/>
          <w:szCs w:val="22"/>
        </w:rPr>
        <w:fldChar w:fldCharType="begin" w:fldLock="1"/>
      </w:r>
      <w:r w:rsidR="00EB088B">
        <w:rPr>
          <w:rFonts w:ascii="Calibri" w:hAnsi="Calibri" w:cs="Calibri"/>
          <w:color w:val="000000" w:themeColor="text1"/>
          <w:sz w:val="22"/>
          <w:szCs w:val="22"/>
        </w:rPr>
        <w:instrText>ADDIN CSL_CITATION {"citationItems":[{"id":"ITEM-1","itemData":{"DOI":"10.1016/j.ajhg.2015.05.022","ISSN":"15376605","PMID":"26140447","abstract":"In 1995, the American Society of Human Genetics (ASHG) and American College of Medical Genetics and Genomics (ACMG) jointly published a statement on genetic testing in children and adolescents. In the past 20 years, much has changed in the field of genetics, including the development of powerful new technologies, new data from genetic research on children and adolescents, and substantial clinical experience. This statement represents current opinion by the ASHG on the ethical, legal, and social issues concerning genetic testing in children. These recommendations are relevant to families, clinicians, and investigators. After a brief review of the 1995 statement and major changes in genetic technologies in recent years, this statement offers points to consider on a broad range of test technologies and their applications in clinical medicine and research. Recommendations are also made for record and communication issues in this domain and for professional education.","author":[{"dropping-particle":"","family":"Botkin","given":"Jeffrey R.","non-dropping-particle":"","parse-names":false,"suffix":""},{"dropping-particle":"","family":"Belmont","given":"John W.","non-dropping-particle":"","parse-names":false,"suffix":""},{"dropping-particle":"","family":"Berg","given":"Jonathan S.","non-dropping-particle":"","parse-names":false,"suffix":""},{"dropping-particle":"","family":"Berkman","given":"Benjamin E.","non-dropping-particle":"","parse-names":false,"suffix":""},{"dropping-particle":"","family":"Bombard","given":"Yvonne","non-dropping-particle":"","parse-names":false,"suffix":""},{"dropping-particle":"","family":"Holm","given":"Ingrid A.","non-dropping-particle":"","parse-names":false,"suffix":""},{"dropping-particle":"","family":"Levy","given":"Howard P.","non-dropping-particle":"","parse-names":false,"suffix":""},{"dropping-particle":"","family":"Ormond","given":"Kelly E.","non-dropping-particle":"","parse-names":false,"suffix":""},{"dropping-particle":"","family":"Saal","given":"Howard M.","non-dropping-particle":"","parse-names":false,"suffix":""},{"dropping-particle":"","family":"Spinner","given":"Nancy B.","non-dropping-particle":"","parse-names":false,"suffix":""},{"dropping-particle":"","family":"Wilfond","given":"Benjamin S.","non-dropping-particle":"","parse-names":false,"suffix":""},{"dropping-particle":"","family":"McInerney","given":"Joseph D.","non-dropping-particle":"","parse-names":false,"suffix":""}],"container-title":"American Journal of Human Genetics","id":"ITEM-1","issue":"1","issued":{"date-parts":[["2015"]]},"page":"6-21","publisher":"The American Society of Human Genetics","title":"Points to Consider: Ethical, Legal, and Psychosocial Implications of Genetic Testing in Children and Adolescents","type":"article-journal","volume":"97"},"uris":["http://www.mendeley.com/documents/?uuid=2eb6f4cf-c41a-45a1-a17b-a3a9c12e064a"]},{"id":"ITEM-2","itemData":{"author":[{"dropping-particle":"","family":"Freeman","given":"Michael A.","non-dropping-particle":"","parse-names":false,"suffix":""},{"dropping-particle":"","family":"Parker","given":"Lisa S.","non-dropping-particle":"","parse-names":false,"suffix":""}],"container-title":"Ethical issues in Pediatric Organ Transplantation","id":"ITEM-2","issued":{"date-parts":[["2016"]]},"page":"43-59","publisher":"Springer","title":"Answers to Questions that Weren't Asked: The Ethical Complexities of Identifying Misattributed Paternity During the Transplant Evaluation Process","type":"chapter"},"uris":["http://www.mendeley.com/documents/?uuid=12adf0e1-45bb-4129-bd5a-bc01f6350be4"]}],"mendeley":{"formattedCitation":"(108,109)","plainTextFormattedCitation":"(108,109)","previouslyFormattedCitation":"(108,109)"},"properties":{"noteIndex":0},"schema":"https://github.com/citation-style-language/schema/raw/master/csl-citation.json"}</w:instrText>
      </w:r>
      <w:r w:rsidRPr="006720E4">
        <w:rPr>
          <w:rFonts w:ascii="Calibri" w:hAnsi="Calibri" w:cs="Calibri"/>
          <w:color w:val="000000" w:themeColor="text1"/>
          <w:sz w:val="22"/>
          <w:szCs w:val="22"/>
        </w:rPr>
        <w:fldChar w:fldCharType="separate"/>
      </w:r>
      <w:r w:rsidR="00BA3D76" w:rsidRPr="00BA3D76">
        <w:rPr>
          <w:rFonts w:ascii="Calibri" w:hAnsi="Calibri" w:cs="Calibri"/>
          <w:noProof/>
          <w:color w:val="000000" w:themeColor="text1"/>
          <w:sz w:val="22"/>
          <w:szCs w:val="22"/>
        </w:rPr>
        <w:t>(108,109)</w:t>
      </w:r>
      <w:r w:rsidRPr="006720E4">
        <w:rPr>
          <w:rFonts w:ascii="Calibri" w:hAnsi="Calibri" w:cs="Calibri"/>
          <w:color w:val="000000" w:themeColor="text1"/>
          <w:sz w:val="22"/>
          <w:szCs w:val="22"/>
        </w:rPr>
        <w:fldChar w:fldCharType="end"/>
      </w:r>
      <w:r w:rsidRPr="006720E4">
        <w:rPr>
          <w:rFonts w:ascii="Calibri" w:hAnsi="Calibri" w:cs="Calibri"/>
          <w:color w:val="000000" w:themeColor="text1"/>
          <w:sz w:val="22"/>
          <w:szCs w:val="22"/>
        </w:rPr>
        <w:t xml:space="preserve"> Other guidelines urge donation programs to ensure a policy is in place with regards to management of findings such as misattributed relationships and recommend disclosure of this possibility to prospective donors and transplant candidates so they may choose whether to be informed of such findings.</w:t>
      </w:r>
      <w:r w:rsidRPr="006720E4">
        <w:rPr>
          <w:rFonts w:ascii="Calibri" w:hAnsi="Calibri" w:cs="Calibri"/>
          <w:color w:val="000000" w:themeColor="text1"/>
          <w:sz w:val="22"/>
          <w:szCs w:val="22"/>
        </w:rPr>
        <w:fldChar w:fldCharType="begin" w:fldLock="1"/>
      </w:r>
      <w:r w:rsidR="00EB088B">
        <w:rPr>
          <w:rFonts w:ascii="Calibri" w:hAnsi="Calibri" w:cs="Calibri"/>
          <w:color w:val="000000" w:themeColor="text1"/>
          <w:sz w:val="22"/>
          <w:szCs w:val="22"/>
        </w:rPr>
        <w:instrText>ADDIN CSL_CITATION {"citationItems":[{"id":"ITEM-1","itemData":{"DOI":"10.1111/nep.13602","ISSN":"14401797","PMID":"31081203","author":[{"dropping-particle":"","family":"Wheeler","given":"David C","non-dropping-particle":"","parse-names":false,"suffix":""},{"dropping-particle":"","family":"Winkelmayer","given":"Wolfgang C","non-dropping-particle":"","parse-names":false,"suffix":""}],"container-title":"Transplantation","id":"ITEM-1","issue":"8S","issued":{"date-parts":[["2017"]]},"page":"S1","title":"KDIGO Clinical Practice Guideline on the Evaluation and Care of Living Kidney Donors","type":"article-journal","volume":"101"},"uris":["http://www.mendeley.com/documents/?uuid=746edad8-12e9-4d6f-aaeb-fe1ebb141d50"]},{"id":"ITEM-2","itemData":{"DOI":"10.1188/15.CJON.218-221","ISSN":"1538067X","PMID":"25840388","abstract":"Background: With emerging technologies and genetic advancements in the field of oncology, ethical controversies and questions on how to approach them will continue to grow. Advancements in the field of hematopoietic stem cell transplantation have led to increased testing of transplantation recipients’ children and parents as potential donors related to an increase in the use of haploidentical transplantations. This testing opens the door for an increased incidence of misattributed paternity findings. Objectives: This article attempts to address the ethical conflicts and provide potential solutions to assist in the transition from individual-focused care to family-focused care. Methods: The principlist approach was used. Findings: Healthcare providers should be educated on methods of incidental finding disclosure and how to provide adequate support for those individuals.","author":[{"dropping-particle":"","family":"Jacobson","given":"Stephanie","non-dropping-particle":"","parse-names":false,"suffix":""},{"dropping-particle":"","family":"Eggert","given":"Julie","non-dropping-particle":"","parse-names":false,"suffix":""},{"dropping-particle":"","family":"Deluca","given":"Jane","non-dropping-particle":"","parse-names":false,"suffix":""},{"dropping-particle":"","family":"Speckhart","given":"Dawn","non-dropping-particle":"","parse-names":false,"suffix":""}],"container-title":"Clinical Journal of Oncology Nursing","id":"ITEM-2","issue":"2","issued":{"date-parts":[["2015"]]},"page":"218-221","title":"Misattributed paternity in hematopoietic stem cell transplantation: The role of the healthcare provider","type":"article-journal","volume":"19"},"uris":["http://www.mendeley.com/documents/?uuid=6614a592-7b02-4afc-b408-efd5abb00259"]}],"mendeley":{"formattedCitation":"(110,111)","plainTextFormattedCitation":"(110,111)","previouslyFormattedCitation":"(110,111)"},"properties":{"noteIndex":0},"schema":"https://github.com/citation-style-language/schema/raw/master/csl-citation.json"}</w:instrText>
      </w:r>
      <w:r w:rsidRPr="006720E4">
        <w:rPr>
          <w:rFonts w:ascii="Calibri" w:hAnsi="Calibri" w:cs="Calibri"/>
          <w:color w:val="000000" w:themeColor="text1"/>
          <w:sz w:val="22"/>
          <w:szCs w:val="22"/>
        </w:rPr>
        <w:fldChar w:fldCharType="separate"/>
      </w:r>
      <w:r w:rsidR="00BA3D76" w:rsidRPr="00BA3D76">
        <w:rPr>
          <w:rFonts w:ascii="Calibri" w:hAnsi="Calibri" w:cs="Calibri"/>
          <w:noProof/>
          <w:color w:val="000000" w:themeColor="text1"/>
          <w:sz w:val="22"/>
          <w:szCs w:val="22"/>
        </w:rPr>
        <w:t>(110,111)</w:t>
      </w:r>
      <w:r w:rsidRPr="006720E4">
        <w:rPr>
          <w:rFonts w:ascii="Calibri" w:hAnsi="Calibri" w:cs="Calibri"/>
          <w:color w:val="000000" w:themeColor="text1"/>
          <w:sz w:val="22"/>
          <w:szCs w:val="22"/>
        </w:rPr>
        <w:fldChar w:fldCharType="end"/>
      </w:r>
    </w:p>
    <w:p w14:paraId="05F53798" w14:textId="611BEDD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Nondisclosure policies are usually underpinned by concerns about the potential psychosocial harm of such disclosures, uncertainty regarding whether the individuals affected would wish to receive the information, and the belief that disclosure is usually not medically necessary or beneficial. The potential clinical relevance of such a disclosure is likely to depend on the context in which the information is revealed, as well as other information about the affected individuals. The increasing value placed on genetic knowledge in the prevention and management of disease suggests that the perceived benefits of disclosure are likely to increase.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{"citationItems":[{"id":"ITEM-1","itemData":{"DOI":"10.1016/j.atg.2016.01.004","ISSN":"22120661","abstract":"Clinical genetics has wrestled with the problem of misattributed paternity for decades. While there are no clear directives on policy, surveys suggest that genetics professionals are inclined to avoid disclosure when possible. Changes associated with the increased use of genomic testing will alter the context and may limit the benefits of non-disclosure. Multi-site testing will preclude the uncertainty often associated with single-gene testing. Increased use of genetic testing in clinical and non-clinical settings will create new opportunities for the subsequent unmasking of misattributed relationships, as will the presence of test results in the electronic medical record. Family health history information will become more valuable as it is used more often and to better effect in risk assessment, diagnosis, treatment and reproductive decision-making. These changes associated with genomic testing increase the risks and decrease the benefits associated with the nondisclosure of misattributed paternity. For ethical and practical reasons, genetics professionals, and those who advise them, should consider a greater emphasis on the value of carefully planned disclosure.","author":[{"dropping-particle":"","family":"Hercher","given":"Laura","non-dropping-particle":"","parse-names":false,"suffix":""},{"dropping-particle":"","family":"Jamal","given":"Leila","non-dropping-particle":"","parse-names":false,"suffix":""}],"container-title":"Applied and Translational Genomics","id":"ITEM-1","issued":{"date-parts":[["2016"]]},"page":"36-39","publisher":"The Authors","title":"An old problem in a new age: Revisiting the clinical dilemma of misattributed paternity","type":"article-journal","volume":"8"},"uris":["http://www.mendeley.com/documents/?uuid=5c95afa8-9d1f-4ecb-9cb7-aa9b017db6f7"]}],"mendeley":{"formattedCitation":"(112)","plainTextFormattedCitation":"(112)","previouslyFormattedCitation":"(112)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(112)</w:t>
      </w:r>
      <w:r w:rsidRPr="006720E4">
        <w:rPr>
          <w:rFonts w:ascii="Calibri" w:hAnsi="Calibri" w:cs="Calibri"/>
          <w:sz w:val="22"/>
          <w:szCs w:val="22"/>
        </w:rPr>
        <w:fldChar w:fldCharType="end"/>
      </w:r>
      <w:r w:rsidRPr="006720E4">
        <w:rPr>
          <w:rFonts w:ascii="Calibri" w:hAnsi="Calibri" w:cs="Calibri"/>
          <w:sz w:val="22"/>
          <w:szCs w:val="22"/>
        </w:rPr>
        <w:t xml:space="preserve"> </w:t>
      </w:r>
    </w:p>
    <w:p w14:paraId="2B627E63" w14:textId="399D457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context of donation and transplantation, additional considerations may include the possible impact of disclosure on the willingness of potential donors to donate, and the impact of disclosure on familial relationships at a time when family members are likely to be experiencing significant stress as a result of the transplant candidate’s illness. When the transplant candidate is a child, </w:t>
      </w:r>
      <w:r w:rsidRPr="006720E4">
        <w:rPr>
          <w:rFonts w:ascii="Calibri" w:hAnsi="Calibri" w:cs="Calibri"/>
          <w:sz w:val="22"/>
          <w:szCs w:val="22"/>
        </w:rPr>
        <w:lastRenderedPageBreak/>
        <w:t>concerns relating to their ability to cope with the information and the impact on their development may complicate concerns about disclosure.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{"citationItems":[{"id":"ITEM-1","itemData":{"author":[{"dropping-particle":"","family":"Freeman","given":"Michael A.","non-dropping-particle":"","parse-names":false,"suffix":""},{"dropping-particle":"","family":"Parker","given":"Lisa S.","non-dropping-particle":"","parse-names":false,"suffix":""}],"container-title":"Ethical issues in Pediatric Organ Transplantation","id":"ITEM-1","issued":{"date-parts":[["2016"]]},"page":"43-59","publisher":"Springer","title":"Answers to Questions that Weren't Asked: The Ethical Complexities of Identifying Misattributed Paternity During the Transplant Evaluation Process","type":"chapter"},"uris":["http://www.mendeley.com/documents/?uuid=12adf0e1-45bb-4129-bd5a-bc01f6350be4"]}],"mendeley":{"formattedCitation":"(109)","plainTextFormattedCitation":"(109)","previouslyFormattedCitation":"(109)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(109)</w:t>
      </w:r>
      <w:r w:rsidRPr="006720E4">
        <w:rPr>
          <w:rFonts w:ascii="Calibri" w:hAnsi="Calibri" w:cs="Calibri"/>
          <w:sz w:val="22"/>
          <w:szCs w:val="22"/>
        </w:rPr>
        <w:fldChar w:fldCharType="end"/>
      </w:r>
    </w:p>
    <w:p w14:paraId="7C977055" w14:textId="0AA8F7C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Given the uncertainty regarding the risks and benefits of disclosure of misattributed paternity in the setting of living donor transplantation and the complexities of managing situations in which several individuals may be impacted by a disclosure in different ways, there is currently no clear guidance as to whether or how disclosure should routinely be made. It is recommended that:</w:t>
      </w:r>
    </w:p>
    <w:p w14:paraId="58BD5AF3" w14:textId="0F3561C9" w:rsidR="006C6EBA" w:rsidRPr="006720E4" w:rsidRDefault="006C6EBA" w:rsidP="00C3783C">
      <w:pPr>
        <w:pStyle w:val="ListParagraph"/>
        <w:numPr>
          <w:ilvl w:val="0"/>
          <w:numId w:val="113"/>
        </w:numPr>
        <w:spacing w:after="120"/>
        <w:contextualSpacing w:val="0"/>
        <w:rPr>
          <w:rFonts w:cs="Calibri"/>
          <w:szCs w:val="22"/>
        </w:rPr>
      </w:pPr>
      <w:r w:rsidRPr="006720E4">
        <w:rPr>
          <w:rFonts w:cs="Calibri"/>
          <w:szCs w:val="22"/>
        </w:rPr>
        <w:t xml:space="preserve">Transplant centres establish a policy to ensure consistency of practice and establish strategies to manage incidents of misattributed paternity when they occur. </w:t>
      </w:r>
    </w:p>
    <w:p w14:paraId="7356EFAB" w14:textId="0DF5181E" w:rsidR="006C6EBA" w:rsidRPr="006720E4" w:rsidRDefault="006C6EBA" w:rsidP="00C3783C">
      <w:pPr>
        <w:pStyle w:val="ListParagraph"/>
        <w:numPr>
          <w:ilvl w:val="0"/>
          <w:numId w:val="113"/>
        </w:numPr>
        <w:spacing w:after="120"/>
        <w:contextualSpacing w:val="0"/>
        <w:rPr>
          <w:rFonts w:cs="Calibri"/>
          <w:szCs w:val="22"/>
        </w:rPr>
      </w:pPr>
      <w:r w:rsidRPr="006720E4">
        <w:rPr>
          <w:rFonts w:cs="Calibri"/>
          <w:szCs w:val="22"/>
        </w:rPr>
        <w:t>Individuals presenting for evaluation as a living donor or their recipients should be routinely informed of the risk of incidental findings being discovered during testing, including the possibility of misattributed paternity, and should discuss how these should be managed.</w:t>
      </w:r>
    </w:p>
    <w:p w14:paraId="741D66EE" w14:textId="66B6B6DE" w:rsidR="003A43AE" w:rsidRPr="00863834" w:rsidRDefault="006C6EBA" w:rsidP="00C3783C">
      <w:pPr>
        <w:pStyle w:val="ListParagraph"/>
        <w:numPr>
          <w:ilvl w:val="0"/>
          <w:numId w:val="113"/>
        </w:numPr>
        <w:spacing w:after="120"/>
        <w:contextualSpacing w:val="0"/>
        <w:rPr>
          <w:rFonts w:cs="Calibri"/>
          <w:szCs w:val="22"/>
        </w:rPr>
      </w:pPr>
      <w:r w:rsidRPr="006720E4">
        <w:rPr>
          <w:rFonts w:cs="Calibri"/>
          <w:szCs w:val="22"/>
        </w:rPr>
        <w:t>Transplant centres consult with genetic counselling services to help establish plans to support individuals who may be affected by the discovery or suspicion of misattributed paternity.</w:t>
      </w:r>
    </w:p>
    <w:p w14:paraId="18A61779" w14:textId="3261FBC2" w:rsidR="003A43AE" w:rsidRPr="003A43AE" w:rsidRDefault="003A43AE" w:rsidP="00EA22AE">
      <w:pPr>
        <w:spacing w:after="120"/>
        <w:rPr>
          <w:rFonts w:cs="Calibri"/>
          <w:szCs w:val="22"/>
        </w:rPr>
      </w:pPr>
      <w:r>
        <w:rPr>
          <w:noProof/>
        </w:rPr>
        <mc:AlternateContent>
          <mc:Choice Requires="wps">
            <w:drawing>
              <wp:anchor distT="0" distB="0" distL="114300" distR="114300" simplePos="0" relativeHeight="251658245" behindDoc="0" locked="0" layoutInCell="1" allowOverlap="1" wp14:anchorId="7403FD91" wp14:editId="0DA2EC9B">
                <wp:simplePos x="0" y="0"/>
                <wp:positionH relativeFrom="column">
                  <wp:posOffset>0</wp:posOffset>
                </wp:positionH>
                <wp:positionV relativeFrom="paragraph">
                  <wp:posOffset>241300</wp:posOffset>
                </wp:positionV>
                <wp:extent cx="1828800" cy="1828800"/>
                <wp:effectExtent l="12700" t="12700" r="19050" b="15875"/>
                <wp:wrapSquare wrapText="bothSides"/>
                <wp:docPr id="780327445" name="Text Box 780327445" descr="P1909TB6#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2CD4E917" w14:textId="2ADBEE68" w:rsidR="003A43AE" w:rsidRPr="003A43AE" w:rsidRDefault="003A43AE" w:rsidP="003A43AE">
                            <w:pPr>
                              <w:spacing w:after="80"/>
                              <w:rPr>
                                <w:rFonts w:ascii="Calibri" w:hAnsi="Calibri" w:cs="Calibri"/>
                                <w:b/>
                                <w:bCs/>
                                <w:color w:val="000000" w:themeColor="text1"/>
                                <w:sz w:val="22"/>
                                <w:szCs w:val="22"/>
                              </w:rPr>
                            </w:pPr>
                            <w:r w:rsidRPr="00863834">
                              <w:rPr>
                                <w:rFonts w:ascii="Calibri" w:hAnsi="Calibri" w:cs="Calibri"/>
                                <w:b/>
                                <w:bCs/>
                                <w:color w:val="000000" w:themeColor="text1"/>
                                <w:sz w:val="22"/>
                                <w:szCs w:val="22"/>
                              </w:rPr>
                              <w:t>Box 7.</w:t>
                            </w:r>
                            <w:r w:rsidR="00863834" w:rsidRPr="00863834">
                              <w:rPr>
                                <w:rFonts w:ascii="Calibri" w:hAnsi="Calibri" w:cs="Calibri"/>
                                <w:b/>
                                <w:bCs/>
                                <w:color w:val="000000" w:themeColor="text1"/>
                                <w:sz w:val="22"/>
                                <w:szCs w:val="22"/>
                              </w:rPr>
                              <w:t>1</w:t>
                            </w:r>
                            <w:r w:rsidRPr="003A43AE">
                              <w:rPr>
                                <w:rFonts w:ascii="Calibri" w:hAnsi="Calibri" w:cs="Calibri"/>
                                <w:b/>
                                <w:bCs/>
                                <w:color w:val="000000" w:themeColor="text1"/>
                                <w:sz w:val="22"/>
                                <w:szCs w:val="22"/>
                              </w:rPr>
                              <w:t xml:space="preserve"> Summary key ethical recommendations regarding privacy in donation and transplantation</w:t>
                            </w:r>
                          </w:p>
                          <w:p w14:paraId="7EFED0D3" w14:textId="77777777" w:rsidR="003A43AE" w:rsidRPr="003A43AE" w:rsidRDefault="003A43AE" w:rsidP="00C3783C">
                            <w:pPr>
                              <w:pStyle w:val="ListParagraph"/>
                              <w:numPr>
                                <w:ilvl w:val="0"/>
                                <w:numId w:val="32"/>
                              </w:numPr>
                              <w:spacing w:after="80"/>
                              <w:contextualSpacing w:val="0"/>
                              <w:rPr>
                                <w:rFonts w:cs="Calibri"/>
                                <w:szCs w:val="22"/>
                                <w:lang w:eastAsia="en-AU"/>
                              </w:rPr>
                            </w:pPr>
                            <w:r w:rsidRPr="003A43AE">
                              <w:rPr>
                                <w:rFonts w:cs="Calibri"/>
                                <w:szCs w:val="22"/>
                              </w:rPr>
                              <w:t>The right to autonomy encompasses rights to control access to and use of personal information, however these rights may be limited in some circumstances. These include:</w:t>
                            </w:r>
                          </w:p>
                          <w:p w14:paraId="109E2BB6" w14:textId="77777777" w:rsidR="003A43AE" w:rsidRPr="003A43AE" w:rsidRDefault="003A43AE" w:rsidP="00C3783C">
                            <w:pPr>
                              <w:pStyle w:val="ListParagraph"/>
                              <w:numPr>
                                <w:ilvl w:val="1"/>
                                <w:numId w:val="32"/>
                              </w:numPr>
                              <w:spacing w:after="80"/>
                              <w:contextualSpacing w:val="0"/>
                              <w:rPr>
                                <w:rFonts w:cs="Calibri"/>
                                <w:szCs w:val="22"/>
                                <w:lang w:eastAsia="en-AU"/>
                              </w:rPr>
                            </w:pPr>
                            <w:r w:rsidRPr="003A43AE">
                              <w:rPr>
                                <w:rFonts w:cs="Calibri"/>
                                <w:szCs w:val="22"/>
                              </w:rPr>
                              <w:t>Legally mandated disclosures to health authorities, e.g., notification of specific infectious diseases</w:t>
                            </w:r>
                          </w:p>
                          <w:p w14:paraId="1EFF9EBD" w14:textId="77777777" w:rsidR="003A43AE" w:rsidRPr="003A43AE" w:rsidRDefault="003A43AE" w:rsidP="00C3783C">
                            <w:pPr>
                              <w:pStyle w:val="ListParagraph"/>
                              <w:numPr>
                                <w:ilvl w:val="1"/>
                                <w:numId w:val="32"/>
                              </w:numPr>
                              <w:spacing w:after="80"/>
                              <w:contextualSpacing w:val="0"/>
                              <w:rPr>
                                <w:rFonts w:cs="Calibri"/>
                                <w:szCs w:val="22"/>
                                <w:lang w:eastAsia="en-AU"/>
                              </w:rPr>
                            </w:pPr>
                            <w:r w:rsidRPr="003A43AE">
                              <w:rPr>
                                <w:rFonts w:cs="Calibri"/>
                                <w:szCs w:val="22"/>
                              </w:rPr>
                              <w:t>Disclosure of private information in some circumstances, where necessary to avoid causing serious harm to others.</w:t>
                            </w:r>
                          </w:p>
                          <w:p w14:paraId="4F798649" w14:textId="77777777" w:rsidR="003A43AE" w:rsidRPr="003A43AE" w:rsidRDefault="003A43AE" w:rsidP="00C3783C">
                            <w:pPr>
                              <w:pStyle w:val="ListParagraph"/>
                              <w:numPr>
                                <w:ilvl w:val="0"/>
                                <w:numId w:val="32"/>
                              </w:numPr>
                              <w:spacing w:after="80"/>
                              <w:contextualSpacing w:val="0"/>
                              <w:rPr>
                                <w:rFonts w:cs="Calibri"/>
                                <w:szCs w:val="22"/>
                                <w:lang w:eastAsia="en-AU"/>
                              </w:rPr>
                            </w:pPr>
                            <w:r w:rsidRPr="003A43AE">
                              <w:rPr>
                                <w:rFonts w:cs="Calibri"/>
                                <w:szCs w:val="22"/>
                              </w:rPr>
                              <w:t>Prospective donors, donor families and transplant recipients should be informed of potential limits on or risks to privacy or confidentiality at the time of decision-making about donation or transplantation. They should also be advised of strategies to reduce the risk of privacy breaches.</w:t>
                            </w:r>
                          </w:p>
                          <w:p w14:paraId="04217F42" w14:textId="77777777" w:rsidR="003A43AE" w:rsidRPr="003A43AE" w:rsidRDefault="003A43AE" w:rsidP="00C3783C">
                            <w:pPr>
                              <w:pStyle w:val="ListParagraph"/>
                              <w:numPr>
                                <w:ilvl w:val="0"/>
                                <w:numId w:val="32"/>
                              </w:numPr>
                              <w:spacing w:after="80"/>
                              <w:contextualSpacing w:val="0"/>
                              <w:rPr>
                                <w:rFonts w:cs="Calibri"/>
                                <w:szCs w:val="22"/>
                                <w:lang w:eastAsia="en-AU"/>
                              </w:rPr>
                            </w:pPr>
                            <w:r w:rsidRPr="003A43AE">
                              <w:rPr>
                                <w:rFonts w:cs="Calibri"/>
                                <w:szCs w:val="22"/>
                              </w:rPr>
                              <w:t>If it is necessary to disclose private or confidential personal information after donation or transplantation has taken place, in order to prevent serious harm to others, consent should be obtained when possible from the person(s) to whom the information relates. Information disclosed should be limited to that which is necessary to reduce the risk of harm.</w:t>
                            </w:r>
                          </w:p>
                          <w:p w14:paraId="141BA733" w14:textId="77777777" w:rsidR="003A43AE" w:rsidRPr="003A43AE" w:rsidRDefault="003A43AE" w:rsidP="00C3783C">
                            <w:pPr>
                              <w:pStyle w:val="ListParagraph"/>
                              <w:numPr>
                                <w:ilvl w:val="0"/>
                                <w:numId w:val="32"/>
                              </w:numPr>
                              <w:spacing w:after="80"/>
                              <w:contextualSpacing w:val="0"/>
                              <w:rPr>
                                <w:rFonts w:cs="Calibri"/>
                                <w:szCs w:val="22"/>
                                <w:lang w:eastAsia="en-AU"/>
                              </w:rPr>
                            </w:pPr>
                            <w:r w:rsidRPr="003A43AE">
                              <w:rPr>
                                <w:rFonts w:cs="Calibri"/>
                                <w:szCs w:val="22"/>
                              </w:rPr>
                              <w:t>Specific safeguards may be needed to protect privacy and manage disclosure of personal information in the context of living directed donation.</w:t>
                            </w:r>
                          </w:p>
                          <w:p w14:paraId="03EA070E" w14:textId="77777777" w:rsidR="003A43AE" w:rsidRPr="003A43AE" w:rsidRDefault="003A43AE" w:rsidP="00C3783C">
                            <w:pPr>
                              <w:pStyle w:val="ListParagraph"/>
                              <w:numPr>
                                <w:ilvl w:val="1"/>
                                <w:numId w:val="32"/>
                              </w:numPr>
                              <w:spacing w:after="80"/>
                              <w:contextualSpacing w:val="0"/>
                              <w:rPr>
                                <w:rFonts w:cs="Calibri"/>
                                <w:szCs w:val="22"/>
                                <w:lang w:eastAsia="en-AU"/>
                              </w:rPr>
                            </w:pPr>
                            <w:r w:rsidRPr="003A43AE">
                              <w:rPr>
                                <w:rFonts w:cs="Calibri"/>
                                <w:szCs w:val="22"/>
                              </w:rPr>
                              <w:t>Individuals presenting for evaluation as living directed donors and transplant recipients should be routinely informed of the risk of incidental findings being discovered during testing, and should discuss how these should be managed, including the risk of discovering misattributed genetic relationships.</w:t>
                            </w:r>
                          </w:p>
                          <w:p w14:paraId="441D480D" w14:textId="77777777" w:rsidR="003A43AE" w:rsidRPr="005431BE" w:rsidRDefault="003A43AE" w:rsidP="00C3783C">
                            <w:pPr>
                              <w:pStyle w:val="ListParagraph"/>
                              <w:numPr>
                                <w:ilvl w:val="1"/>
                                <w:numId w:val="32"/>
                              </w:numPr>
                              <w:spacing w:after="80"/>
                              <w:rPr>
                                <w:rFonts w:cs="Calibri"/>
                                <w:szCs w:val="22"/>
                              </w:rPr>
                            </w:pPr>
                            <w:r w:rsidRPr="003A43AE">
                              <w:rPr>
                                <w:rFonts w:cs="Calibri"/>
                                <w:szCs w:val="22"/>
                              </w:rPr>
                              <w:t>Centres performing living directed donor transplants should establish policies to ensure consistency of practice and strategies to manage incidents of misattributed paternity when they occur.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03FD91" id="Text Box 780327445" o:spid="_x0000_s1033" type="#_x0000_t202" alt="P1909TB6#y1" style="position:absolute;margin-left:0;margin-top:19pt;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" filled="f" strokecolor="black [3213]" strokeweight="1.5pt">
                <v:textbox style="mso-fit-shape-to-text:t">
                  <w:txbxContent>
                    <w:p w14:paraId="2CD4E917" w14:textId="2ADBEE68" w:rsidR="003A43AE" w:rsidRPr="003A43AE" w:rsidRDefault="003A43AE" w:rsidP="003A43AE">
                      <w:pPr>
                        <w:spacing w:after="80"/>
                        <w:rPr>
                          <w:rFonts w:ascii="Calibri" w:hAnsi="Calibri" w:cs="Calibri"/>
                          <w:b/>
                          <w:bCs/>
                          <w:color w:val="000000" w:themeColor="text1"/>
                          <w:sz w:val="22"/>
                          <w:szCs w:val="22"/>
                        </w:rPr>
                      </w:pPr>
                      <w:r w:rsidRPr="00863834">
                        <w:rPr>
                          <w:rFonts w:ascii="Calibri" w:hAnsi="Calibri" w:cs="Calibri"/>
                          <w:b/>
                          <w:bCs/>
                          <w:color w:val="000000" w:themeColor="text1"/>
                          <w:sz w:val="22"/>
                          <w:szCs w:val="22"/>
                        </w:rPr>
                        <w:t>Box 7.</w:t>
                      </w:r>
                      <w:r w:rsidR="00863834" w:rsidRPr="00863834">
                        <w:rPr>
                          <w:rFonts w:ascii="Calibri" w:hAnsi="Calibri" w:cs="Calibri"/>
                          <w:b/>
                          <w:bCs/>
                          <w:color w:val="000000" w:themeColor="text1"/>
                          <w:sz w:val="22"/>
                          <w:szCs w:val="22"/>
                        </w:rPr>
                        <w:t>1</w:t>
                      </w:r>
                      <w:r w:rsidRPr="003A43AE">
                        <w:rPr>
                          <w:rFonts w:ascii="Calibri" w:hAnsi="Calibri" w:cs="Calibri"/>
                          <w:b/>
                          <w:bCs/>
                          <w:color w:val="000000" w:themeColor="text1"/>
                          <w:sz w:val="22"/>
                          <w:szCs w:val="22"/>
                        </w:rPr>
                        <w:t xml:space="preserve"> Summary key ethical recommendations regarding privacy in donation and transplantation</w:t>
                      </w:r>
                    </w:p>
                    <w:p w14:paraId="7EFED0D3" w14:textId="77777777" w:rsidR="003A43AE" w:rsidRPr="003A43AE" w:rsidRDefault="003A43AE" w:rsidP="00C3783C">
                      <w:pPr>
                        <w:pStyle w:val="ListParagraph"/>
                        <w:numPr>
                          <w:ilvl w:val="0"/>
                          <w:numId w:val="32"/>
                        </w:numPr>
                        <w:spacing w:after="80"/>
                        <w:contextualSpacing w:val="0"/>
                        <w:rPr>
                          <w:rFonts w:cs="Calibri"/>
                          <w:szCs w:val="22"/>
                          <w:lang w:eastAsia="en-AU"/>
                        </w:rPr>
                      </w:pPr>
                      <w:r w:rsidRPr="003A43AE">
                        <w:rPr>
                          <w:rFonts w:cs="Calibri"/>
                          <w:szCs w:val="22"/>
                        </w:rPr>
                        <w:t>The right to autonomy encompasses rights to control access to and use of personal information, however these rights may be limited in some circumstances. These include:</w:t>
                      </w:r>
                    </w:p>
                    <w:p w14:paraId="109E2BB6" w14:textId="77777777" w:rsidR="003A43AE" w:rsidRPr="003A43AE" w:rsidRDefault="003A43AE" w:rsidP="00C3783C">
                      <w:pPr>
                        <w:pStyle w:val="ListParagraph"/>
                        <w:numPr>
                          <w:ilvl w:val="1"/>
                          <w:numId w:val="32"/>
                        </w:numPr>
                        <w:spacing w:after="80"/>
                        <w:contextualSpacing w:val="0"/>
                        <w:rPr>
                          <w:rFonts w:cs="Calibri"/>
                          <w:szCs w:val="22"/>
                          <w:lang w:eastAsia="en-AU"/>
                        </w:rPr>
                      </w:pPr>
                      <w:r w:rsidRPr="003A43AE">
                        <w:rPr>
                          <w:rFonts w:cs="Calibri"/>
                          <w:szCs w:val="22"/>
                        </w:rPr>
                        <w:t>Legally mandated disclosures to health authorities, e.g., notification of specific infectious diseases</w:t>
                      </w:r>
                    </w:p>
                    <w:p w14:paraId="1EFF9EBD" w14:textId="77777777" w:rsidR="003A43AE" w:rsidRPr="003A43AE" w:rsidRDefault="003A43AE" w:rsidP="00C3783C">
                      <w:pPr>
                        <w:pStyle w:val="ListParagraph"/>
                        <w:numPr>
                          <w:ilvl w:val="1"/>
                          <w:numId w:val="32"/>
                        </w:numPr>
                        <w:spacing w:after="80"/>
                        <w:contextualSpacing w:val="0"/>
                        <w:rPr>
                          <w:rFonts w:cs="Calibri"/>
                          <w:szCs w:val="22"/>
                          <w:lang w:eastAsia="en-AU"/>
                        </w:rPr>
                      </w:pPr>
                      <w:r w:rsidRPr="003A43AE">
                        <w:rPr>
                          <w:rFonts w:cs="Calibri"/>
                          <w:szCs w:val="22"/>
                        </w:rPr>
                        <w:t>Disclosure of private information in some circumstances, where necessary to avoid causing serious harm to others.</w:t>
                      </w:r>
                    </w:p>
                    <w:p w14:paraId="4F798649" w14:textId="77777777" w:rsidR="003A43AE" w:rsidRPr="003A43AE" w:rsidRDefault="003A43AE" w:rsidP="00C3783C">
                      <w:pPr>
                        <w:pStyle w:val="ListParagraph"/>
                        <w:numPr>
                          <w:ilvl w:val="0"/>
                          <w:numId w:val="32"/>
                        </w:numPr>
                        <w:spacing w:after="80"/>
                        <w:contextualSpacing w:val="0"/>
                        <w:rPr>
                          <w:rFonts w:cs="Calibri"/>
                          <w:szCs w:val="22"/>
                          <w:lang w:eastAsia="en-AU"/>
                        </w:rPr>
                      </w:pPr>
                      <w:r w:rsidRPr="003A43AE">
                        <w:rPr>
                          <w:rFonts w:cs="Calibri"/>
                          <w:szCs w:val="22"/>
                        </w:rPr>
                        <w:t>Prospective donors, donor families and transplant recipients should be informed of potential limits on or risks to privacy or confidentiality at the time of decision-making about donation or transplantation. They should also be advised of strategies to reduce the risk of privacy breaches.</w:t>
                      </w:r>
                    </w:p>
                    <w:p w14:paraId="04217F42" w14:textId="77777777" w:rsidR="003A43AE" w:rsidRPr="003A43AE" w:rsidRDefault="003A43AE" w:rsidP="00C3783C">
                      <w:pPr>
                        <w:pStyle w:val="ListParagraph"/>
                        <w:numPr>
                          <w:ilvl w:val="0"/>
                          <w:numId w:val="32"/>
                        </w:numPr>
                        <w:spacing w:after="80"/>
                        <w:contextualSpacing w:val="0"/>
                        <w:rPr>
                          <w:rFonts w:cs="Calibri"/>
                          <w:szCs w:val="22"/>
                          <w:lang w:eastAsia="en-AU"/>
                        </w:rPr>
                      </w:pPr>
                      <w:r w:rsidRPr="003A43AE">
                        <w:rPr>
                          <w:rFonts w:cs="Calibri"/>
                          <w:szCs w:val="22"/>
                        </w:rPr>
                        <w:t>If it is necessary to disclose private or confidential personal information after donation or transplantation has taken place, in order to prevent serious harm to others, consent should be obtained when possible from the person(s) to whom the information relates. Information disclosed should be limited to that which is necessary to reduce the risk of harm.</w:t>
                      </w:r>
                    </w:p>
                    <w:p w14:paraId="141BA733" w14:textId="77777777" w:rsidR="003A43AE" w:rsidRPr="003A43AE" w:rsidRDefault="003A43AE" w:rsidP="00C3783C">
                      <w:pPr>
                        <w:pStyle w:val="ListParagraph"/>
                        <w:numPr>
                          <w:ilvl w:val="0"/>
                          <w:numId w:val="32"/>
                        </w:numPr>
                        <w:spacing w:after="80"/>
                        <w:contextualSpacing w:val="0"/>
                        <w:rPr>
                          <w:rFonts w:cs="Calibri"/>
                          <w:szCs w:val="22"/>
                          <w:lang w:eastAsia="en-AU"/>
                        </w:rPr>
                      </w:pPr>
                      <w:r w:rsidRPr="003A43AE">
                        <w:rPr>
                          <w:rFonts w:cs="Calibri"/>
                          <w:szCs w:val="22"/>
                        </w:rPr>
                        <w:t>Specific safeguards may be needed to protect privacy and manage disclosure of personal information in the context of living directed donation.</w:t>
                      </w:r>
                    </w:p>
                    <w:p w14:paraId="03EA070E" w14:textId="77777777" w:rsidR="003A43AE" w:rsidRPr="003A43AE" w:rsidRDefault="003A43AE" w:rsidP="00C3783C">
                      <w:pPr>
                        <w:pStyle w:val="ListParagraph"/>
                        <w:numPr>
                          <w:ilvl w:val="1"/>
                          <w:numId w:val="32"/>
                        </w:numPr>
                        <w:spacing w:after="80"/>
                        <w:contextualSpacing w:val="0"/>
                        <w:rPr>
                          <w:rFonts w:cs="Calibri"/>
                          <w:szCs w:val="22"/>
                          <w:lang w:eastAsia="en-AU"/>
                        </w:rPr>
                      </w:pPr>
                      <w:r w:rsidRPr="003A43AE">
                        <w:rPr>
                          <w:rFonts w:cs="Calibri"/>
                          <w:szCs w:val="22"/>
                        </w:rPr>
                        <w:t>Individuals presenting for evaluation as living directed donors and transplant recipients should be routinely informed of the risk of incidental findings being discovered during testing, and should discuss how these should be managed, including the risk of discovering misattributed genetic relationships.</w:t>
                      </w:r>
                    </w:p>
                    <w:p w14:paraId="441D480D" w14:textId="77777777" w:rsidR="003A43AE" w:rsidRPr="005431BE" w:rsidRDefault="003A43AE" w:rsidP="00C3783C">
                      <w:pPr>
                        <w:pStyle w:val="ListParagraph"/>
                        <w:numPr>
                          <w:ilvl w:val="1"/>
                          <w:numId w:val="32"/>
                        </w:numPr>
                        <w:spacing w:after="80"/>
                        <w:rPr>
                          <w:rFonts w:cs="Calibri"/>
                          <w:szCs w:val="22"/>
                        </w:rPr>
                      </w:pPr>
                      <w:r w:rsidRPr="003A43AE">
                        <w:rPr>
                          <w:rFonts w:cs="Calibri"/>
                          <w:szCs w:val="22"/>
                        </w:rPr>
                        <w:t>Centres performing living directed donor transplants should establish policies to ensure consistency of practice and strategies to manage incidents of misattributed paternity when they occur.</w:t>
                      </w:r>
                    </w:p>
                  </w:txbxContent>
                </v:textbox>
                <w10:wrap type="square"/>
              </v:shape>
            </w:pict>
          </mc:Fallback>
        </mc:AlternateContent>
      </w:r>
    </w:p>
    <w:p w14:paraId="438A5DD5" w14:textId="4C110C04" w:rsidR="006C6EBA" w:rsidRPr="006720E4" w:rsidRDefault="006C6EBA" w:rsidP="00EA22AE">
      <w:pPr>
        <w:pStyle w:val="Heading3"/>
        <w:spacing w:after="120"/>
      </w:pPr>
      <w:bookmarkStart w:id="3057" w:name="_Protection_of_privacy_1"/>
      <w:bookmarkStart w:id="3058" w:name="_Toc79406409"/>
      <w:bookmarkStart w:id="3059" w:name="_Toc82773629"/>
      <w:bookmarkStart w:id="3060" w:name="_Toc82773982"/>
      <w:bookmarkEnd w:id="3057"/>
      <w:r w:rsidRPr="006720E4">
        <w:t xml:space="preserve">Protection of privacy </w:t>
      </w:r>
      <w:bookmarkEnd w:id="3038"/>
      <w:bookmarkEnd w:id="3039"/>
      <w:bookmarkEnd w:id="3040"/>
      <w:r w:rsidRPr="006720E4">
        <w:t>in non-directed donation</w:t>
      </w:r>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8"/>
      <w:bookmarkEnd w:id="3059"/>
      <w:bookmarkEnd w:id="3060"/>
    </w:p>
    <w:p w14:paraId="2E3E88C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exceptional nature of donation and transplantation of human cells, tissues and organs means that both donors and recipients (and their families) may have a personal interest in obtaining information about one another for non-clinical reasons, even when there is no pre-existing </w:t>
      </w:r>
      <w:r w:rsidRPr="006720E4">
        <w:rPr>
          <w:rFonts w:ascii="Calibri" w:hAnsi="Calibri" w:cs="Calibri"/>
          <w:sz w:val="22"/>
          <w:szCs w:val="22"/>
        </w:rPr>
        <w:lastRenderedPageBreak/>
        <w:t xml:space="preserve">relationship between them. For example, a deceased donor family may wish to know how many people benefited from the donation of their loved one’s organs and tissues, in order to celebrate this while grieving for their loved one. </w:t>
      </w:r>
    </w:p>
    <w:p w14:paraId="3010F575" w14:textId="4C66215E"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In the context of non-directed donation, anonymity of </w:t>
      </w:r>
      <w:r w:rsidRPr="00115936">
        <w:rPr>
          <w:rFonts w:ascii="Calibri" w:hAnsi="Calibri" w:cs="Calibri"/>
          <w:color w:val="000000" w:themeColor="text1"/>
          <w:sz w:val="22"/>
          <w:szCs w:val="22"/>
        </w:rPr>
        <w:t xml:space="preserve">donors and recipients is routine (see </w:t>
      </w:r>
      <w:hyperlink w:anchor="_Data_collection_and" w:history="1">
        <w:r w:rsidRPr="00115936">
          <w:rPr>
            <w:rStyle w:val="Hyperlink"/>
            <w:rFonts w:ascii="Calibri" w:hAnsi="Calibri" w:cs="Calibri"/>
            <w:sz w:val="22"/>
            <w:szCs w:val="22"/>
          </w:rPr>
          <w:t xml:space="preserve">Chapter </w:t>
        </w:r>
        <w:r w:rsidR="00115936" w:rsidRPr="00115936">
          <w:rPr>
            <w:rStyle w:val="Hyperlink"/>
            <w:rFonts w:ascii="Calibri" w:hAnsi="Calibri" w:cs="Calibri"/>
            <w:sz w:val="22"/>
            <w:szCs w:val="22"/>
          </w:rPr>
          <w:t>7</w:t>
        </w:r>
        <w:r w:rsidRPr="00115936">
          <w:rPr>
            <w:rStyle w:val="Hyperlink"/>
            <w:rFonts w:ascii="Calibri" w:hAnsi="Calibri" w:cs="Calibri"/>
            <w:sz w:val="22"/>
            <w:szCs w:val="22"/>
          </w:rPr>
          <w:t>.3</w:t>
        </w:r>
      </w:hyperlink>
      <w:r w:rsidRPr="00115936">
        <w:rPr>
          <w:rFonts w:ascii="Calibri" w:hAnsi="Calibri" w:cs="Calibri"/>
          <w:color w:val="000000" w:themeColor="text1"/>
          <w:sz w:val="22"/>
          <w:szCs w:val="22"/>
        </w:rPr>
        <w:t>), such that neither donors (or donor families) nor rec</w:t>
      </w:r>
      <w:r w:rsidRPr="006720E4">
        <w:rPr>
          <w:rFonts w:ascii="Calibri" w:hAnsi="Calibri" w:cs="Calibri"/>
          <w:color w:val="000000" w:themeColor="text1"/>
          <w:sz w:val="22"/>
          <w:szCs w:val="22"/>
        </w:rPr>
        <w:t xml:space="preserve">ipients are known to one another. Protecting the privacy of donors and recipients means that confidential information should not be disclosed without consent, except where disclosure of some information may be necessary to support informed decision-making as </w:t>
      </w:r>
      <w:r w:rsidRPr="009B495F">
        <w:rPr>
          <w:rFonts w:ascii="Calibri" w:hAnsi="Calibri" w:cs="Calibri"/>
          <w:color w:val="000000" w:themeColor="text1"/>
          <w:sz w:val="22"/>
          <w:szCs w:val="22"/>
        </w:rPr>
        <w:t xml:space="preserve">noted </w:t>
      </w:r>
      <w:r w:rsidRPr="009B495F">
        <w:rPr>
          <w:rFonts w:ascii="Calibri" w:hAnsi="Calibri" w:cs="Calibri"/>
          <w:sz w:val="22"/>
          <w:szCs w:val="22"/>
        </w:rPr>
        <w:t xml:space="preserve">in </w:t>
      </w:r>
      <w:hyperlink w:anchor="_Disclosure_of_clinically"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.2.1</w:t>
        </w:r>
      </w:hyperlink>
      <w:r w:rsidRPr="009B495F">
        <w:rPr>
          <w:rFonts w:ascii="Calibri" w:hAnsi="Calibri" w:cs="Calibri"/>
          <w:sz w:val="22"/>
          <w:szCs w:val="22"/>
        </w:rPr>
        <w:t>.</w:t>
      </w:r>
      <w:r w:rsidRPr="006720E4">
        <w:rPr>
          <w:rFonts w:ascii="Calibri" w:hAnsi="Calibri" w:cs="Calibri"/>
          <w:color w:val="000000" w:themeColor="text1"/>
          <w:sz w:val="22"/>
          <w:szCs w:val="22"/>
        </w:rPr>
        <w:t xml:space="preserve"> </w:t>
      </w:r>
    </w:p>
    <w:p w14:paraId="15A55CD4" w14:textId="7777777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Although</w:t>
      </w:r>
      <w:r w:rsidRPr="006720E4">
        <w:rPr>
          <w:rFonts w:ascii="Calibri" w:hAnsi="Calibri" w:cs="Calibri"/>
          <w:b/>
          <w:bCs/>
          <w:color w:val="000000" w:themeColor="text1"/>
          <w:sz w:val="22"/>
          <w:szCs w:val="22"/>
        </w:rPr>
        <w:t xml:space="preserve"> </w:t>
      </w:r>
      <w:r w:rsidRPr="006720E4">
        <w:rPr>
          <w:rFonts w:ascii="Calibri" w:hAnsi="Calibri" w:cs="Calibri"/>
          <w:color w:val="000000" w:themeColor="text1"/>
          <w:sz w:val="22"/>
          <w:szCs w:val="22"/>
        </w:rPr>
        <w:t xml:space="preserve">many people are willing to make a non-directed donation of cells, tissues or organs in order to help others without receiving any specific information about how their donation was used, many donors and donor families value receiving information about the impact of their gift. It is common for some information to be provided to donors and donor families as this provides an important acknowledgement of the value of their donation decision. It may also be psychologically beneficial to them and benefit the public because it may encourage others to donate. </w:t>
      </w:r>
    </w:p>
    <w:p w14:paraId="03E6E3E5" w14:textId="7777777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For many donors, donor families and transplant recipients, donated cells, tissues and organs may form the basis of a perceived or desired emotional or social connection between donors or donor families and recipients. Some transplant recipients and non-directed donors or donor families may wish to know more about the social or clinical details of their respective donors or transplant recipients. This may be because they wish to identify and establish a relationship with the other party or because this information is of personal interest to them as a result of the psychosocial value placed in donation and transplantation.</w:t>
      </w:r>
    </w:p>
    <w:p w14:paraId="4BC1887B" w14:textId="3870EE57"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Information that is commonly provided to deceased donor families or non-directed living HSC or organ donors includes confirmation of how donation(s) were used, e.g., how many known individuals may have received an organ or tissue transplant from a deceased donor, and basic demographic information about transplant recipients such as their gender and general age category. In order to preserve anonymity such information is provided in a manner that reduces the risk of recipients being identified. </w:t>
      </w:r>
    </w:p>
    <w:p w14:paraId="5A9DAAAD" w14:textId="714F4810"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Contact between non-directed living donors or deceased donor families and transplant recipients is permitted when mutually agreed but is restricted by default to </w:t>
      </w:r>
      <w:r w:rsidRPr="006720E4">
        <w:rPr>
          <w:rFonts w:ascii="Calibri" w:hAnsi="Calibri" w:cs="Calibri"/>
          <w:b/>
          <w:bCs/>
          <w:color w:val="000000" w:themeColor="text1"/>
          <w:sz w:val="22"/>
          <w:szCs w:val="22"/>
        </w:rPr>
        <w:t>anonymous communication</w:t>
      </w:r>
      <w:r w:rsidRPr="006720E4">
        <w:rPr>
          <w:rFonts w:ascii="Calibri" w:hAnsi="Calibri" w:cs="Calibri"/>
          <w:color w:val="000000" w:themeColor="text1"/>
          <w:sz w:val="22"/>
          <w:szCs w:val="22"/>
        </w:rPr>
        <w:t xml:space="preserve"> in which any potentially identifying details are removed by the organi</w:t>
      </w:r>
      <w:r w:rsidR="000208BF">
        <w:rPr>
          <w:rFonts w:ascii="Calibri" w:hAnsi="Calibri" w:cs="Calibri"/>
          <w:color w:val="000000" w:themeColor="text1"/>
          <w:sz w:val="22"/>
          <w:szCs w:val="22"/>
        </w:rPr>
        <w:t>s</w:t>
      </w:r>
      <w:r w:rsidRPr="006720E4">
        <w:rPr>
          <w:rFonts w:ascii="Calibri" w:hAnsi="Calibri" w:cs="Calibri"/>
          <w:color w:val="000000" w:themeColor="text1"/>
          <w:sz w:val="22"/>
          <w:szCs w:val="22"/>
        </w:rPr>
        <w:t xml:space="preserve">ation responsible for overseeing such correspondence. </w:t>
      </w:r>
    </w:p>
    <w:p w14:paraId="06B2627B" w14:textId="0AC7A230" w:rsidR="007771B2" w:rsidRPr="009F6A61" w:rsidRDefault="006C6EBA" w:rsidP="00C3783C">
      <w:pPr>
        <w:pStyle w:val="ListParagraph"/>
        <w:numPr>
          <w:ilvl w:val="0"/>
          <w:numId w:val="106"/>
        </w:numPr>
        <w:spacing w:after="120"/>
        <w:contextualSpacing w:val="0"/>
        <w:rPr>
          <w:rFonts w:cs="Calibri"/>
          <w:color w:val="000000" w:themeColor="text1"/>
          <w:szCs w:val="22"/>
        </w:rPr>
      </w:pPr>
      <w:r w:rsidRPr="006720E4">
        <w:rPr>
          <w:rFonts w:cs="Calibri"/>
          <w:color w:val="000000" w:themeColor="text1"/>
          <w:szCs w:val="22"/>
        </w:rPr>
        <w:t xml:space="preserve">For example, the ABMDR oversees correspondence between non-directed HSC donors and transplant recipients. Correspondence from donors is sent directly to the ABMDR which then forwards the correspondence to relevant transplant centres where staff are responsible for forwarding this to the relevant recipient if they have agreed to receive correspondence. Transplant recipients may write to donors by sending correspondence directly to the ABMDR or via their transplant centre. Both the ABMDR and the transplant centres take responsible for reviewing correspondence and removing any identifying information that may lead to a breach of privacy or loss of anonymity. Similar processes are in place, for example at DonateLife and eye and other tissue banks to facilitate anonymous correspondence between deceased donor families and recipients of deceased donor transplants. </w:t>
      </w:r>
    </w:p>
    <w:p w14:paraId="1F7CD09E" w14:textId="77777777" w:rsidR="006C6EBA" w:rsidRPr="00EA22AE" w:rsidRDefault="006C6EBA" w:rsidP="00EA22AE">
      <w:pPr>
        <w:pStyle w:val="Heading2"/>
        <w:spacing w:after="120"/>
      </w:pPr>
      <w:bookmarkStart w:id="3061" w:name="_Data_collection_and"/>
      <w:bookmarkStart w:id="3062" w:name="_Anonymity_in_non-directed"/>
      <w:bookmarkStart w:id="3063" w:name="_Toc63683445"/>
      <w:bookmarkStart w:id="3064" w:name="_Toc70241790"/>
      <w:bookmarkStart w:id="3065" w:name="_Toc70243425"/>
      <w:bookmarkStart w:id="3066" w:name="_Toc70328747"/>
      <w:bookmarkStart w:id="3067" w:name="_Toc70333977"/>
      <w:bookmarkStart w:id="3068" w:name="_Toc70414906"/>
      <w:bookmarkStart w:id="3069" w:name="_Toc70844224"/>
      <w:bookmarkStart w:id="3070" w:name="_Toc70859000"/>
      <w:bookmarkStart w:id="3071" w:name="_Toc70861101"/>
      <w:bookmarkStart w:id="3072" w:name="_Toc70876586"/>
      <w:bookmarkStart w:id="3073" w:name="_Toc72615157"/>
      <w:bookmarkStart w:id="3074" w:name="_Toc73129879"/>
      <w:bookmarkStart w:id="3075" w:name="_Toc73301748"/>
      <w:bookmarkStart w:id="3076" w:name="_Toc73302254"/>
      <w:bookmarkStart w:id="3077" w:name="_Toc73303387"/>
      <w:bookmarkStart w:id="3078" w:name="_Toc73303615"/>
      <w:bookmarkStart w:id="3079" w:name="_Toc74080732"/>
      <w:bookmarkStart w:id="3080" w:name="_Toc74081040"/>
      <w:bookmarkStart w:id="3081" w:name="_Toc74081270"/>
      <w:bookmarkStart w:id="3082" w:name="_Toc74081532"/>
      <w:bookmarkStart w:id="3083" w:name="_Toc74171101"/>
      <w:bookmarkStart w:id="3084" w:name="_Toc74172309"/>
      <w:bookmarkStart w:id="3085" w:name="_Toc74172845"/>
      <w:bookmarkStart w:id="3086" w:name="_Toc74238775"/>
      <w:bookmarkStart w:id="3087" w:name="_Toc78304775"/>
      <w:bookmarkStart w:id="3088" w:name="_Toc79330869"/>
      <w:bookmarkStart w:id="3089" w:name="_Toc79331249"/>
      <w:bookmarkStart w:id="3090" w:name="_Toc79406410"/>
      <w:bookmarkStart w:id="3091" w:name="_Toc82773630"/>
      <w:bookmarkStart w:id="3092" w:name="_Toc82773983"/>
      <w:bookmarkStart w:id="3093" w:name="_Toc128314218"/>
      <w:bookmarkStart w:id="3094" w:name="_Toc135131463"/>
      <w:bookmarkStart w:id="3095" w:name="_Toc63683444"/>
      <w:bookmarkStart w:id="3096" w:name="_Toc70241789"/>
      <w:bookmarkStart w:id="3097" w:name="_Toc70243424"/>
      <w:bookmarkStart w:id="3098" w:name="_Toc70328746"/>
      <w:bookmarkStart w:id="3099" w:name="_Toc70333976"/>
      <w:bookmarkStart w:id="3100" w:name="_Toc70414900"/>
      <w:bookmarkStart w:id="3101" w:name="_Toc70844218"/>
      <w:bookmarkStart w:id="3102" w:name="_Toc70858999"/>
      <w:bookmarkStart w:id="3103" w:name="_Toc70861100"/>
      <w:bookmarkStart w:id="3104" w:name="_Toc70876585"/>
      <w:bookmarkStart w:id="3105" w:name="_Toc72615151"/>
      <w:bookmarkStart w:id="3106" w:name="_Toc73129873"/>
      <w:bookmarkStart w:id="3107" w:name="_Toc73301740"/>
      <w:bookmarkStart w:id="3108" w:name="_Toc73302246"/>
      <w:bookmarkStart w:id="3109" w:name="_Toc73303379"/>
      <w:bookmarkStart w:id="3110" w:name="_Toc73303610"/>
      <w:bookmarkStart w:id="3111" w:name="_Toc74080727"/>
      <w:bookmarkStart w:id="3112" w:name="_Toc74081035"/>
      <w:bookmarkStart w:id="3113" w:name="_Toc74081265"/>
      <w:bookmarkStart w:id="3114" w:name="_Toc74081524"/>
      <w:bookmarkStart w:id="3115" w:name="_Toc74171096"/>
      <w:bookmarkStart w:id="3116" w:name="_Toc74172301"/>
      <w:bookmarkStart w:id="3117" w:name="_Toc74172837"/>
      <w:bookmarkStart w:id="3118" w:name="_Toc74238770"/>
      <w:bookmarkStart w:id="3119" w:name="_Toc78304774"/>
      <w:bookmarkEnd w:id="3061"/>
      <w:bookmarkEnd w:id="3062"/>
      <w:r w:rsidRPr="00EA22AE">
        <w:t>Anonymity in non-directed donation</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p>
    <w:p w14:paraId="125BEE7B" w14:textId="613AE142" w:rsidR="006C6EBA" w:rsidRPr="006720E4" w:rsidRDefault="006C6EBA" w:rsidP="00EA22AE">
      <w:pPr>
        <w:pStyle w:val="NormalWeb"/>
        <w:spacing w:before="0" w:beforeAutospacing="0" w:after="120" w:afterAutospacing="0"/>
        <w:rPr>
          <w:rFonts w:cs="Calibri"/>
          <w:color w:val="000000" w:themeColor="text1"/>
          <w:szCs w:val="22"/>
        </w:rPr>
      </w:pPr>
      <w:r w:rsidRPr="006720E4">
        <w:rPr>
          <w:rFonts w:cs="Calibri"/>
          <w:color w:val="000000" w:themeColor="text1"/>
          <w:szCs w:val="22"/>
        </w:rPr>
        <w:t xml:space="preserve">Most donation in Australia is anonymous, with the exception of living directed HSC or organ donation. Anonymity in donation means that when a person donates, their cells, tissues or organs are allocated and transplanted in people whose identity remains unknown to the donor (or the </w:t>
      </w:r>
      <w:r w:rsidRPr="006720E4">
        <w:rPr>
          <w:rFonts w:cs="Calibri"/>
          <w:color w:val="000000" w:themeColor="text1"/>
          <w:szCs w:val="22"/>
        </w:rPr>
        <w:lastRenderedPageBreak/>
        <w:t xml:space="preserve">donor’s family). Transplant recipients likewise are not informed of the identity of the person or persons from whom they have received a donation. </w:t>
      </w:r>
    </w:p>
    <w:p w14:paraId="6BD8972F" w14:textId="782D131C" w:rsidR="006C6EBA" w:rsidRPr="009B495F" w:rsidRDefault="006C6EBA" w:rsidP="00EA22AE">
      <w:pPr>
        <w:pStyle w:val="NormalWeb"/>
        <w:spacing w:before="0" w:beforeAutospacing="0" w:after="120" w:afterAutospacing="0"/>
        <w:rPr>
          <w:rFonts w:cs="Calibri"/>
          <w:color w:val="000000" w:themeColor="text1"/>
          <w:szCs w:val="22"/>
        </w:rPr>
      </w:pPr>
      <w:r w:rsidRPr="006720E4">
        <w:rPr>
          <w:rFonts w:cs="Calibri"/>
          <w:color w:val="000000" w:themeColor="text1"/>
          <w:szCs w:val="22"/>
        </w:rPr>
        <w:t xml:space="preserve">As </w:t>
      </w:r>
      <w:r w:rsidRPr="009B495F">
        <w:rPr>
          <w:rFonts w:cs="Calibri"/>
          <w:color w:val="000000" w:themeColor="text1"/>
          <w:szCs w:val="22"/>
        </w:rPr>
        <w:t xml:space="preserve">noted in </w:t>
      </w:r>
      <w:hyperlink w:anchor="_Legal_considerations_in" w:history="1">
        <w:r w:rsidRPr="009B495F">
          <w:rPr>
            <w:rStyle w:val="Hyperlink"/>
            <w:rFonts w:cs="Calibri"/>
            <w:szCs w:val="22"/>
          </w:rPr>
          <w:t xml:space="preserve">Chapter </w:t>
        </w:r>
        <w:r w:rsidR="009B495F" w:rsidRPr="009B495F">
          <w:rPr>
            <w:rStyle w:val="Hyperlink"/>
            <w:rFonts w:cs="Calibri"/>
            <w:szCs w:val="22"/>
          </w:rPr>
          <w:t>7</w:t>
        </w:r>
        <w:r w:rsidRPr="009B495F">
          <w:rPr>
            <w:rStyle w:val="Hyperlink"/>
            <w:rFonts w:cs="Calibri"/>
            <w:szCs w:val="22"/>
          </w:rPr>
          <w:t>.1.1.1</w:t>
        </w:r>
      </w:hyperlink>
      <w:r w:rsidRPr="009B495F">
        <w:rPr>
          <w:rFonts w:cs="Calibri"/>
          <w:color w:val="000000" w:themeColor="text1"/>
          <w:szCs w:val="22"/>
        </w:rPr>
        <w:t>, legislation in some Australian jurisdictions permits disclosure of identifying information with the consent of the person to whom the information relates, however it may be uncertain who can consent to disclosure where the information relates to a deceased donor. This means that in some circumstances it may be lawful for individuals to identify themselves and establish direct contact with donors, donor families or recipient.</w:t>
      </w:r>
    </w:p>
    <w:p w14:paraId="6F2CD03F" w14:textId="5D38249A" w:rsidR="006C6EBA" w:rsidRPr="006720E4" w:rsidRDefault="006C6EBA" w:rsidP="00EA22AE">
      <w:pPr>
        <w:spacing w:after="120"/>
        <w:rPr>
          <w:rFonts w:ascii="Calibri" w:hAnsi="Calibri" w:cs="Calibri"/>
          <w:color w:val="000000" w:themeColor="text1"/>
          <w:sz w:val="22"/>
          <w:szCs w:val="22"/>
        </w:rPr>
      </w:pPr>
      <w:r w:rsidRPr="009B495F">
        <w:rPr>
          <w:rFonts w:ascii="Calibri" w:hAnsi="Calibri" w:cs="Calibri"/>
          <w:color w:val="000000" w:themeColor="text1"/>
          <w:sz w:val="22"/>
          <w:szCs w:val="22"/>
        </w:rPr>
        <w:t xml:space="preserve">Donors, deceased donor families, and transplant recipients all have rights to privacy, and when consenting to non-directed donation or transplantation both parties should be informed of the requirement for anonymity in the donation relationship and the relevant limits of information disclosure. They should also be informed about relevant opportunities for contact and the default restriction to anonymous communication (see </w:t>
      </w:r>
      <w:hyperlink w:anchor="_Protection_of_privacy_1"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.2.4</w:t>
        </w:r>
      </w:hyperlink>
      <w:r w:rsidRPr="009B495F">
        <w:rPr>
          <w:rFonts w:ascii="Calibri" w:hAnsi="Calibri" w:cs="Calibri"/>
          <w:color w:val="000000" w:themeColor="text1"/>
          <w:sz w:val="22"/>
          <w:szCs w:val="22"/>
        </w:rPr>
        <w:t>), as well as strategies to reduce the risk of privacy breaches (</w:t>
      </w:r>
      <w:hyperlink w:anchor="_Protecting_privacy_in"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.3.3</w:t>
        </w:r>
      </w:hyperlink>
      <w:r w:rsidRPr="009B495F">
        <w:rPr>
          <w:rFonts w:ascii="Calibri" w:hAnsi="Calibri" w:cs="Calibri"/>
          <w:color w:val="000000" w:themeColor="text1"/>
          <w:sz w:val="22"/>
          <w:szCs w:val="22"/>
        </w:rPr>
        <w:t>).</w:t>
      </w:r>
    </w:p>
    <w:p w14:paraId="253DE990" w14:textId="0EB3F04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There are several ethical considerations underpinning the norm of anonymity in donation.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{"citationItems":[{"id":"ITEM-1","itemData":{"author":[{"dropping-particle":"","family":"Martin","given":"Dominique E.","non-dropping-particle":"","parse-names":false,"suffix":""}],"id":"ITEM-1","issue":"March","issued":{"date-parts":[["2017"]]},"number-of-pages":"1-38","title":"Contact between donor families and transplant recipients","type":"report"},"uris":["http://www.mendeley.com/documents/?uuid=c4000da7-64c1-4ded-bebb-33497cc1dc0f"]}],"mendeley":{"formattedCitation":"(113)","plainTextFormattedCitation":"(113)","previouslyFormattedCitation":"(113)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(113)</w:t>
      </w:r>
      <w:r w:rsidRPr="006720E4">
        <w:rPr>
          <w:rFonts w:ascii="Calibri" w:hAnsi="Calibri" w:cs="Calibri"/>
          <w:sz w:val="22"/>
          <w:szCs w:val="22"/>
        </w:rPr>
        <w:fldChar w:fldCharType="end"/>
      </w:r>
      <w:r w:rsidRPr="006720E4">
        <w:rPr>
          <w:rFonts w:ascii="Calibri" w:hAnsi="Calibri" w:cs="Calibri"/>
          <w:sz w:val="22"/>
          <w:szCs w:val="22"/>
        </w:rPr>
        <w:t xml:space="preserve"> First, anonymity is needed, at least initially, to support equity in the allocation of donated cells, tissues, or organs. If donation decision-makers were informed in advance of the identity of potential recipients, some might wish to withdraw consent or – where possible - direct donations to other transplant candidates on the basis of personal values </w:t>
      </w:r>
      <w:r w:rsidRPr="004B64BA">
        <w:rPr>
          <w:rFonts w:ascii="Calibri" w:hAnsi="Calibri" w:cs="Calibri"/>
          <w:sz w:val="22"/>
          <w:szCs w:val="22"/>
        </w:rPr>
        <w:t xml:space="preserve">and preferences (see </w:t>
      </w:r>
      <w:hyperlink w:anchor="_Directed,_restricted_or" w:history="1">
        <w:r w:rsidRPr="004B64BA">
          <w:rPr>
            <w:rStyle w:val="Hyperlink"/>
            <w:rFonts w:ascii="Calibri" w:hAnsi="Calibri" w:cs="Calibri"/>
            <w:sz w:val="22"/>
            <w:szCs w:val="22"/>
          </w:rPr>
          <w:t>Chapter 1</w:t>
        </w:r>
        <w:r w:rsidR="004B64BA" w:rsidRPr="004B64BA">
          <w:rPr>
            <w:rStyle w:val="Hyperlink"/>
            <w:rFonts w:ascii="Calibri" w:hAnsi="Calibri" w:cs="Calibri"/>
            <w:sz w:val="22"/>
            <w:szCs w:val="22"/>
          </w:rPr>
          <w:t>2</w:t>
        </w:r>
        <w:r w:rsidRPr="004B64BA">
          <w:rPr>
            <w:rStyle w:val="Hyperlink"/>
            <w:rFonts w:ascii="Calibri" w:hAnsi="Calibri" w:cs="Calibri"/>
            <w:sz w:val="22"/>
            <w:szCs w:val="22"/>
          </w:rPr>
          <w:t>.3</w:t>
        </w:r>
      </w:hyperlink>
      <w:r w:rsidRPr="004B64BA">
        <w:rPr>
          <w:rFonts w:ascii="Calibri" w:hAnsi="Calibri" w:cs="Calibri"/>
          <w:sz w:val="22"/>
          <w:szCs w:val="22"/>
        </w:rPr>
        <w:t>). Second, anonymity</w:t>
      </w:r>
      <w:r w:rsidRPr="006720E4">
        <w:rPr>
          <w:rFonts w:ascii="Calibri" w:hAnsi="Calibri" w:cs="Calibri"/>
          <w:sz w:val="22"/>
          <w:szCs w:val="22"/>
        </w:rPr>
        <w:t xml:space="preserve"> protects the rights of donors, recipients and their families to privacy. Some donors, donor families or recipients may not wish to have their identity disclosed. </w:t>
      </w:r>
    </w:p>
    <w:p w14:paraId="533609B6" w14:textId="7BB7BE0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Assuming that in some cases, both donors (or donor families) and their recipients may be willing to disclose their identity to one another, such disclosure </w:t>
      </w:r>
      <w:r w:rsidR="00165C67">
        <w:rPr>
          <w:rFonts w:ascii="Calibri" w:hAnsi="Calibri" w:cs="Calibri"/>
          <w:sz w:val="22"/>
          <w:szCs w:val="22"/>
        </w:rPr>
        <w:t>may</w:t>
      </w:r>
      <w:r w:rsidRPr="006720E4">
        <w:rPr>
          <w:rFonts w:ascii="Calibri" w:hAnsi="Calibri" w:cs="Calibri"/>
          <w:sz w:val="22"/>
          <w:szCs w:val="22"/>
        </w:rPr>
        <w:t xml:space="preserve"> no longer be a breach of privacy. However, there are concerns that disclosure and non-anonymous contact between donors and recipients who are otherwise unrelated could in some cases lead to harm. On the other hand, identity disclosure and the establishment of connections between donors and recipients can be mutually </w:t>
      </w:r>
      <w:r w:rsidRPr="009B495F">
        <w:rPr>
          <w:rFonts w:ascii="Calibri" w:hAnsi="Calibri" w:cs="Calibri"/>
          <w:sz w:val="22"/>
          <w:szCs w:val="22"/>
        </w:rPr>
        <w:t xml:space="preserve">beneficial. </w:t>
      </w:r>
      <w:hyperlink w:anchor="_Potential_benefits_and"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.3.1</w:t>
        </w:r>
      </w:hyperlink>
      <w:r w:rsidRPr="009B495F">
        <w:rPr>
          <w:rFonts w:ascii="Calibri" w:hAnsi="Calibri" w:cs="Calibri"/>
          <w:sz w:val="22"/>
          <w:szCs w:val="22"/>
        </w:rPr>
        <w:t xml:space="preserve"> summarises the potential benefits and risks of waiving anonymity in non-directed donation. In the following sections, specific considerations with regards to waiver of anonymity in deceased donation and transplantation (</w:t>
      </w:r>
      <w:hyperlink w:anchor="_Waiver_of_anonymity_1"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.3.2.1</w:t>
        </w:r>
      </w:hyperlink>
      <w:r w:rsidRPr="009B495F">
        <w:rPr>
          <w:rFonts w:ascii="Calibri" w:hAnsi="Calibri" w:cs="Calibri"/>
          <w:sz w:val="22"/>
          <w:szCs w:val="22"/>
        </w:rPr>
        <w:t>), non-directed HSC donation (</w:t>
      </w:r>
      <w:hyperlink w:anchor="_Waiver_of_anonymity"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.3.2.2</w:t>
        </w:r>
      </w:hyperlink>
      <w:r w:rsidRPr="009B495F">
        <w:rPr>
          <w:rFonts w:ascii="Calibri" w:hAnsi="Calibri" w:cs="Calibri"/>
          <w:sz w:val="22"/>
          <w:szCs w:val="22"/>
        </w:rPr>
        <w:t>), and transplantation in children (</w:t>
      </w:r>
      <w:hyperlink w:anchor="_Protecting_the_privacy"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.3.2.3</w:t>
        </w:r>
      </w:hyperlink>
      <w:r w:rsidRPr="009B495F">
        <w:rPr>
          <w:rFonts w:ascii="Calibri" w:hAnsi="Calibri" w:cs="Calibri"/>
          <w:sz w:val="22"/>
          <w:szCs w:val="22"/>
        </w:rPr>
        <w:t>) are</w:t>
      </w:r>
      <w:r w:rsidRPr="006720E4">
        <w:rPr>
          <w:rFonts w:ascii="Calibri" w:hAnsi="Calibri" w:cs="Calibri"/>
          <w:sz w:val="22"/>
          <w:szCs w:val="22"/>
        </w:rPr>
        <w:t xml:space="preserve"> explored.</w:t>
      </w:r>
    </w:p>
    <w:p w14:paraId="5B1F6122" w14:textId="1FC3948A" w:rsidR="006C6EBA" w:rsidRPr="006720E4" w:rsidRDefault="006C6EBA" w:rsidP="00EA22AE">
      <w:pPr>
        <w:pStyle w:val="Heading3"/>
        <w:spacing w:after="120"/>
      </w:pPr>
      <w:bookmarkStart w:id="3120" w:name="_Potential_benefits_and"/>
      <w:bookmarkStart w:id="3121" w:name="_Toc79406411"/>
      <w:bookmarkStart w:id="3122" w:name="_Toc82773631"/>
      <w:bookmarkStart w:id="3123" w:name="_Toc82773984"/>
      <w:bookmarkEnd w:id="3120"/>
      <w:r w:rsidRPr="006720E4">
        <w:t>Potential benefits and risks of waiving anonymity in non-directed donation</w:t>
      </w:r>
      <w:bookmarkEnd w:id="3121"/>
      <w:bookmarkEnd w:id="3122"/>
      <w:bookmarkEnd w:id="3123"/>
    </w:p>
    <w:p w14:paraId="5DDE4345" w14:textId="77777777"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Disclosure of identity when mutually agreed between donors or donor families and transplant recipients may have significant benefits. These potentially include:</w:t>
      </w:r>
    </w:p>
    <w:p w14:paraId="32C799D0" w14:textId="2A27CC92" w:rsidR="006C6EBA" w:rsidRPr="006720E4" w:rsidRDefault="006C6EBA" w:rsidP="00EA22AE">
      <w:pPr>
        <w:pStyle w:val="Bullet"/>
        <w:spacing w:after="120"/>
        <w:ind w:left="363"/>
        <w:contextualSpacing w:val="0"/>
        <w:rPr>
          <w:rFonts w:cs="Calibri"/>
          <w:szCs w:val="22"/>
        </w:rPr>
      </w:pPr>
      <w:r w:rsidRPr="006720E4">
        <w:rPr>
          <w:rFonts w:cs="Calibri"/>
          <w:szCs w:val="22"/>
        </w:rPr>
        <w:t xml:space="preserve">Providing an opportunity for transplant recipients to </w:t>
      </w:r>
      <w:r w:rsidRPr="006720E4">
        <w:rPr>
          <w:rFonts w:cs="Calibri"/>
          <w:b/>
          <w:bCs/>
          <w:szCs w:val="22"/>
        </w:rPr>
        <w:t xml:space="preserve">express their gratitude, </w:t>
      </w:r>
      <w:r w:rsidRPr="006720E4">
        <w:rPr>
          <w:rFonts w:cs="Calibri"/>
          <w:szCs w:val="22"/>
        </w:rPr>
        <w:t xml:space="preserve">which may feel more impactful when identities are disclosed and/or direct interactions and communications are possible, compared with </w:t>
      </w:r>
      <w:r w:rsidRPr="009B495F">
        <w:rPr>
          <w:rFonts w:cs="Calibri"/>
          <w:szCs w:val="22"/>
        </w:rPr>
        <w:t xml:space="preserve">anonymous communication (see </w:t>
      </w:r>
      <w:hyperlink w:anchor="_Protection_of_privacy_1" w:history="1">
        <w:r w:rsidRPr="009B495F">
          <w:rPr>
            <w:rStyle w:val="Hyperlink"/>
            <w:rFonts w:cs="Calibri"/>
            <w:szCs w:val="22"/>
          </w:rPr>
          <w:t xml:space="preserve">Chapter </w:t>
        </w:r>
        <w:r w:rsidR="009B495F" w:rsidRPr="009B495F">
          <w:rPr>
            <w:rStyle w:val="Hyperlink"/>
            <w:rFonts w:cs="Calibri"/>
            <w:szCs w:val="22"/>
          </w:rPr>
          <w:t>7</w:t>
        </w:r>
        <w:r w:rsidRPr="009B495F">
          <w:rPr>
            <w:rStyle w:val="Hyperlink"/>
            <w:rFonts w:cs="Calibri"/>
            <w:szCs w:val="22"/>
          </w:rPr>
          <w:t>.2.4</w:t>
        </w:r>
      </w:hyperlink>
      <w:r w:rsidRPr="009B495F">
        <w:rPr>
          <w:rFonts w:cs="Calibri"/>
          <w:szCs w:val="22"/>
        </w:rPr>
        <w:t>).</w:t>
      </w:r>
      <w:r w:rsidRPr="006720E4">
        <w:rPr>
          <w:rFonts w:cs="Calibri"/>
          <w:szCs w:val="22"/>
        </w:rPr>
        <w:t xml:space="preserve"> </w:t>
      </w:r>
    </w:p>
    <w:p w14:paraId="2E64A20C" w14:textId="2D2627A2" w:rsidR="006C6EBA" w:rsidRPr="006720E4" w:rsidRDefault="006C6EBA" w:rsidP="00EA22AE">
      <w:pPr>
        <w:pStyle w:val="Bullet"/>
        <w:spacing w:after="120"/>
        <w:ind w:left="363"/>
        <w:contextualSpacing w:val="0"/>
        <w:rPr>
          <w:rFonts w:cs="Calibri"/>
          <w:szCs w:val="22"/>
        </w:rPr>
      </w:pPr>
      <w:r w:rsidRPr="006720E4">
        <w:rPr>
          <w:rFonts w:cs="Calibri"/>
          <w:szCs w:val="22"/>
        </w:rPr>
        <w:t xml:space="preserve">Providing an opportunity for donor families and recipients of deceased donor transplants to emotionally process the death of a deceased donor together. </w:t>
      </w:r>
    </w:p>
    <w:p w14:paraId="65A965E6" w14:textId="77777777" w:rsidR="006C6EBA" w:rsidRPr="006720E4" w:rsidRDefault="006C6EBA" w:rsidP="00EA22AE">
      <w:pPr>
        <w:pStyle w:val="Bullet"/>
        <w:spacing w:after="120"/>
        <w:ind w:left="363"/>
        <w:contextualSpacing w:val="0"/>
        <w:rPr>
          <w:rFonts w:cs="Calibri"/>
          <w:szCs w:val="22"/>
        </w:rPr>
      </w:pPr>
      <w:r w:rsidRPr="006720E4">
        <w:rPr>
          <w:rFonts w:cs="Calibri"/>
          <w:szCs w:val="22"/>
        </w:rPr>
        <w:t xml:space="preserve">Assuaging uncertainty or anxiety of recipients, donors, and donor families regarding the identity of other parties, and personalising individuals who have played a major role in their lives as donors or recipients of donations. </w:t>
      </w:r>
    </w:p>
    <w:p w14:paraId="2EB70398" w14:textId="77777777" w:rsidR="006C6EBA" w:rsidRPr="006720E4" w:rsidRDefault="006C6EBA" w:rsidP="00EA22AE">
      <w:pPr>
        <w:pStyle w:val="Bullet"/>
        <w:spacing w:after="120"/>
        <w:ind w:left="363"/>
        <w:contextualSpacing w:val="0"/>
        <w:rPr>
          <w:rFonts w:cs="Calibri"/>
          <w:szCs w:val="22"/>
        </w:rPr>
      </w:pPr>
      <w:r w:rsidRPr="006720E4">
        <w:rPr>
          <w:rFonts w:cs="Calibri"/>
          <w:szCs w:val="22"/>
        </w:rPr>
        <w:t>Encouraging public support for donation. For example, many donor families and transplant recipients who wish to establish contact with one another are motivated by the belief that communicating the story of their meeting and/or ongoing relationship may help to encourage public support for donation.</w:t>
      </w:r>
    </w:p>
    <w:p w14:paraId="3E11AC4B" w14:textId="2BCB3FD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Waiving anonymity may also be associated with significant risks. These include:</w:t>
      </w:r>
    </w:p>
    <w:p w14:paraId="470B9D6D" w14:textId="77777777" w:rsidR="006C6EBA" w:rsidRPr="006720E4" w:rsidRDefault="006C6EBA" w:rsidP="00C3783C">
      <w:pPr>
        <w:pStyle w:val="Bullet"/>
        <w:numPr>
          <w:ilvl w:val="0"/>
          <w:numId w:val="32"/>
        </w:numPr>
        <w:spacing w:after="120"/>
        <w:ind w:left="363"/>
        <w:contextualSpacing w:val="0"/>
        <w:rPr>
          <w:rFonts w:cs="Calibri"/>
          <w:szCs w:val="22"/>
        </w:rPr>
      </w:pPr>
      <w:r w:rsidRPr="006720E4">
        <w:rPr>
          <w:rFonts w:cs="Calibri"/>
          <w:szCs w:val="22"/>
        </w:rPr>
        <w:lastRenderedPageBreak/>
        <w:t xml:space="preserve">Potentially harmful </w:t>
      </w:r>
      <w:r w:rsidRPr="006720E4">
        <w:rPr>
          <w:rFonts w:cs="Calibri"/>
          <w:b/>
          <w:bCs/>
          <w:szCs w:val="22"/>
        </w:rPr>
        <w:t>psychological impact</w:t>
      </w:r>
      <w:r w:rsidRPr="006720E4">
        <w:rPr>
          <w:rFonts w:cs="Calibri"/>
          <w:szCs w:val="22"/>
        </w:rPr>
        <w:t xml:space="preserve"> of discovering information about a donor or recipient that is personally distressing or disappointing. For example, if a donor or donor family believes the recipient is unworthy or ungrateful for the donation or if a recipient discovers that the donor has characteristics which they find personally distasteful, this may cause emotional distress.</w:t>
      </w:r>
    </w:p>
    <w:p w14:paraId="23A332D2" w14:textId="77777777" w:rsidR="006C6EBA" w:rsidRPr="006720E4" w:rsidRDefault="006C6EBA" w:rsidP="00EA22AE">
      <w:pPr>
        <w:pStyle w:val="Bullet"/>
        <w:spacing w:after="120"/>
        <w:ind w:left="363"/>
        <w:contextualSpacing w:val="0"/>
        <w:rPr>
          <w:rFonts w:cs="Calibri"/>
          <w:szCs w:val="22"/>
        </w:rPr>
      </w:pPr>
      <w:r w:rsidRPr="006720E4">
        <w:rPr>
          <w:rFonts w:cs="Calibri"/>
          <w:szCs w:val="22"/>
        </w:rPr>
        <w:t xml:space="preserve">Possibility that one party may place </w:t>
      </w:r>
      <w:r w:rsidRPr="006720E4">
        <w:rPr>
          <w:rFonts w:cs="Calibri"/>
          <w:b/>
          <w:bCs/>
          <w:szCs w:val="22"/>
        </w:rPr>
        <w:t>pressure</w:t>
      </w:r>
      <w:r w:rsidRPr="006720E4">
        <w:rPr>
          <w:rFonts w:cs="Calibri"/>
          <w:szCs w:val="22"/>
        </w:rPr>
        <w:t xml:space="preserve"> on the other to establish or maintain a social relationship which is not mutually desired.</w:t>
      </w:r>
    </w:p>
    <w:p w14:paraId="46E15C0F" w14:textId="2F5D6B68" w:rsidR="006C6EBA" w:rsidRPr="006720E4" w:rsidRDefault="006C6EBA" w:rsidP="00EA22AE">
      <w:pPr>
        <w:pStyle w:val="Bullet"/>
        <w:spacing w:after="120"/>
        <w:ind w:left="363"/>
        <w:contextualSpacing w:val="0"/>
        <w:rPr>
          <w:rFonts w:cs="Calibri"/>
          <w:szCs w:val="22"/>
        </w:rPr>
      </w:pPr>
      <w:r w:rsidRPr="006720E4">
        <w:rPr>
          <w:rFonts w:cs="Calibri"/>
          <w:szCs w:val="22"/>
        </w:rPr>
        <w:t xml:space="preserve">Potential for one party to seek to </w:t>
      </w:r>
      <w:r w:rsidRPr="006720E4">
        <w:rPr>
          <w:rFonts w:cs="Calibri"/>
          <w:b/>
          <w:bCs/>
          <w:szCs w:val="22"/>
        </w:rPr>
        <w:t>exploit</w:t>
      </w:r>
      <w:r w:rsidRPr="006720E4">
        <w:rPr>
          <w:rFonts w:cs="Calibri"/>
          <w:szCs w:val="22"/>
        </w:rPr>
        <w:t xml:space="preserve"> the other for financial or other purposes. For example, a living non-directed HSC or organ donor may place pressure on a transplant recipient to reward them for their decision to donate, or an organ transplant recipient might place pressure on a deceased donor family to provide financial support so that they can maintain their transplant.</w:t>
      </w:r>
    </w:p>
    <w:p w14:paraId="4E958703" w14:textId="2DEE4D20" w:rsidR="006C6EBA" w:rsidRPr="006720E4" w:rsidRDefault="006C6EBA" w:rsidP="00EA22AE">
      <w:pPr>
        <w:pStyle w:val="Heading3"/>
        <w:spacing w:after="120"/>
      </w:pPr>
      <w:bookmarkStart w:id="3124" w:name="_Disclosure_of_identity_3"/>
      <w:bookmarkStart w:id="3125" w:name="_Toc79406412"/>
      <w:bookmarkStart w:id="3126" w:name="_Toc82773632"/>
      <w:bookmarkStart w:id="3127" w:name="_Toc82773985"/>
      <w:bookmarkEnd w:id="3124"/>
      <w:r w:rsidRPr="006720E4">
        <w:t>Disclosure of identity and direct contact between donors, donor families and transplant recipients</w:t>
      </w:r>
      <w:bookmarkEnd w:id="3125"/>
      <w:bookmarkEnd w:id="3126"/>
      <w:bookmarkEnd w:id="3127"/>
    </w:p>
    <w:p w14:paraId="59695694" w14:textId="3832712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non-directed living donors, deceased donor family members or transplant recipients seek to disclose their identity to another party and establish direct contact, they may ask donation agencies or transplant centres to facilitate this. As discuss</w:t>
      </w:r>
      <w:r w:rsidRPr="009B495F">
        <w:rPr>
          <w:rFonts w:ascii="Calibri" w:hAnsi="Calibri" w:cs="Calibri"/>
          <w:sz w:val="22"/>
          <w:szCs w:val="22"/>
        </w:rPr>
        <w:t>ed in the following sections, specific ethical and legal considerations may apply in the context of deceased donation (</w:t>
      </w:r>
      <w:hyperlink w:anchor="_Waiver_of_anonymity_1"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.3.2.1</w:t>
        </w:r>
      </w:hyperlink>
      <w:r w:rsidRPr="009B495F">
        <w:rPr>
          <w:rFonts w:ascii="Calibri" w:hAnsi="Calibri" w:cs="Calibri"/>
          <w:sz w:val="22"/>
          <w:szCs w:val="22"/>
        </w:rPr>
        <w:t>) and non-directed HSC donation (</w:t>
      </w:r>
      <w:hyperlink w:anchor="_Waiver_of_anonymity"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.3.2.2</w:t>
        </w:r>
      </w:hyperlink>
      <w:r w:rsidRPr="009B495F">
        <w:rPr>
          <w:rFonts w:ascii="Calibri" w:hAnsi="Calibri" w:cs="Calibri"/>
          <w:sz w:val="22"/>
          <w:szCs w:val="22"/>
        </w:rPr>
        <w:t>), and when the transplant recipient is a child (</w:t>
      </w:r>
      <w:hyperlink w:anchor="_Protecting_the_privacy"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.3.2.3</w:t>
        </w:r>
      </w:hyperlink>
      <w:r w:rsidRPr="009B495F">
        <w:rPr>
          <w:rFonts w:ascii="Calibri" w:hAnsi="Calibri" w:cs="Calibri"/>
          <w:sz w:val="22"/>
          <w:szCs w:val="22"/>
        </w:rPr>
        <w:t>).</w:t>
      </w:r>
    </w:p>
    <w:p w14:paraId="392B5976" w14:textId="0853A42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Regardless of whether health professionals or agencies are able to facilitate and oversee disclosure of identities and direct contact between various parties, individuals may independently seek to identify and/or contact others with whom they share some form of donation relationship. </w:t>
      </w:r>
    </w:p>
    <w:p w14:paraId="4F13DAB5" w14:textId="4C58B92E" w:rsidR="006C6EBA" w:rsidRPr="009B495F" w:rsidRDefault="006C6EBA" w:rsidP="00EA22AE">
      <w:pPr>
        <w:spacing w:after="120"/>
        <w:rPr>
          <w:rFonts w:ascii="Calibri" w:hAnsi="Calibri" w:cs="Calibri"/>
          <w:sz w:val="22"/>
          <w:szCs w:val="22"/>
        </w:rPr>
      </w:pPr>
      <w:r w:rsidRPr="006720E4">
        <w:rPr>
          <w:rFonts w:ascii="Calibri" w:hAnsi="Calibri" w:cs="Calibri"/>
          <w:sz w:val="22"/>
          <w:szCs w:val="22"/>
        </w:rPr>
        <w:t xml:space="preserve">Presumptive identification may occur via social media or other means such as analysis of media reports of donation or transplantation cases. Factors that may increase the risk of privacy breaches and strategies to protect the privacy of donors, donor families and transplant recipients are </w:t>
      </w:r>
      <w:r w:rsidRPr="009B495F">
        <w:rPr>
          <w:rFonts w:ascii="Calibri" w:hAnsi="Calibri" w:cs="Calibri"/>
          <w:sz w:val="22"/>
          <w:szCs w:val="22"/>
        </w:rPr>
        <w:t xml:space="preserve">discussed in </w:t>
      </w:r>
      <w:hyperlink w:anchor="_Protecting_privacy_in"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.3.3</w:t>
        </w:r>
      </w:hyperlink>
      <w:r w:rsidRPr="009B495F">
        <w:rPr>
          <w:rFonts w:ascii="Calibri" w:hAnsi="Calibri" w:cs="Calibri"/>
          <w:sz w:val="22"/>
          <w:szCs w:val="22"/>
        </w:rPr>
        <w:t>.</w:t>
      </w:r>
    </w:p>
    <w:p w14:paraId="24C72389" w14:textId="4F5E6490" w:rsidR="00155F59" w:rsidRDefault="006C6EBA" w:rsidP="00EA22AE">
      <w:pPr>
        <w:spacing w:after="120"/>
        <w:rPr>
          <w:rFonts w:ascii="Calibri" w:hAnsi="Calibri" w:cs="Calibri"/>
          <w:sz w:val="22"/>
          <w:szCs w:val="22"/>
        </w:rPr>
      </w:pPr>
      <w:r w:rsidRPr="009B495F">
        <w:rPr>
          <w:rFonts w:ascii="Calibri" w:hAnsi="Calibri" w:cs="Calibri"/>
          <w:sz w:val="22"/>
          <w:szCs w:val="22"/>
        </w:rPr>
        <w:t xml:space="preserve">These efforts may be at higher risk of causing harm due to the possibility of mistaken connections, the potential burdens of unsolicited contact, and lack of support in managing contact and complications that might arise (see </w:t>
      </w:r>
      <w:hyperlink w:anchor="_Potential_benefits_and"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.3.1</w:t>
        </w:r>
      </w:hyperlink>
      <w:r w:rsidRPr="009B495F">
        <w:rPr>
          <w:rFonts w:ascii="Calibri" w:hAnsi="Calibri" w:cs="Calibri"/>
          <w:sz w:val="22"/>
          <w:szCs w:val="22"/>
        </w:rPr>
        <w:t>).</w:t>
      </w:r>
      <w:r w:rsidRPr="006720E4">
        <w:rPr>
          <w:rFonts w:ascii="Calibri" w:hAnsi="Calibri" w:cs="Calibri"/>
          <w:sz w:val="22"/>
          <w:szCs w:val="22"/>
        </w:rPr>
        <w:t xml:space="preserve"> </w:t>
      </w:r>
    </w:p>
    <w:p w14:paraId="035D2DF7" w14:textId="77777777" w:rsidR="00155F59" w:rsidRDefault="00155F59" w:rsidP="00EA22AE">
      <w:pPr>
        <w:spacing w:after="120"/>
        <w:rPr>
          <w:rFonts w:ascii="Calibri" w:hAnsi="Calibri" w:cs="Calibri"/>
          <w:sz w:val="22"/>
          <w:szCs w:val="22"/>
        </w:rPr>
      </w:pPr>
    </w:p>
    <w:p w14:paraId="28BC6382" w14:textId="338FE9D3" w:rsidR="004B4D9D" w:rsidRDefault="004B4D9D" w:rsidP="00EA22AE">
      <w:pPr>
        <w:spacing w:after="120"/>
        <w:rPr>
          <w:rFonts w:ascii="Calibri" w:eastAsiaTheme="majorEastAsia" w:hAnsi="Calibri" w:cs="Calibri"/>
          <w:b/>
          <w:color w:val="2F5496" w:themeColor="accent1" w:themeShade="BF"/>
          <w:sz w:val="26"/>
          <w:szCs w:val="26"/>
        </w:rPr>
      </w:pPr>
      <w:r>
        <w:rPr>
          <w:rFonts w:ascii="Calibri" w:eastAsiaTheme="majorEastAsia" w:hAnsi="Calibri" w:cs="Calibri"/>
          <w:b/>
          <w:color w:val="2F5496" w:themeColor="accent1" w:themeShade="BF"/>
          <w:sz w:val="26"/>
          <w:szCs w:val="26"/>
        </w:rPr>
        <w:t>Case Study</w:t>
      </w:r>
      <w:r w:rsidR="000A471B">
        <w:rPr>
          <w:rFonts w:ascii="Calibri" w:eastAsiaTheme="majorEastAsia" w:hAnsi="Calibri" w:cs="Calibri"/>
          <w:b/>
          <w:color w:val="2F5496" w:themeColor="accent1" w:themeShade="BF"/>
          <w:sz w:val="26"/>
          <w:szCs w:val="26"/>
        </w:rPr>
        <w:t xml:space="preserve"> </w:t>
      </w:r>
      <w:r>
        <w:rPr>
          <w:rFonts w:ascii="Calibri" w:eastAsiaTheme="majorEastAsia" w:hAnsi="Calibri" w:cs="Calibri"/>
          <w:b/>
          <w:color w:val="2F5496" w:themeColor="accent1" w:themeShade="BF"/>
          <w:sz w:val="26"/>
          <w:szCs w:val="26"/>
        </w:rPr>
        <w:t xml:space="preserve"> – </w:t>
      </w:r>
      <w:r w:rsidR="00655CF6">
        <w:rPr>
          <w:rFonts w:ascii="Calibri" w:eastAsiaTheme="majorEastAsia" w:hAnsi="Calibri" w:cs="Calibri"/>
          <w:b/>
          <w:color w:val="2F5496" w:themeColor="accent1" w:themeShade="BF"/>
          <w:sz w:val="26"/>
          <w:szCs w:val="26"/>
        </w:rPr>
        <w:t>Anonymity in Haematopoietic Stem Cell (HSC) non-directed donation</w:t>
      </w:r>
    </w:p>
    <w:p w14:paraId="0860FB6E" w14:textId="77777777" w:rsidR="008F1413" w:rsidRPr="008F1413" w:rsidRDefault="008F1413" w:rsidP="008F1413">
      <w:pPr>
        <w:spacing w:after="80"/>
        <w:rPr>
          <w:rFonts w:ascii="Calibri" w:eastAsiaTheme="minorHAnsi" w:hAnsi="Calibri" w:cs="Calibri"/>
          <w:i/>
          <w:iCs/>
          <w:color w:val="4472C4" w:themeColor="accent1"/>
          <w:kern w:val="2"/>
          <w:sz w:val="22"/>
          <w:szCs w:val="22"/>
          <w:lang w:eastAsia="en-US"/>
          <w14:ligatures w14:val="standardContextual"/>
        </w:rPr>
      </w:pPr>
      <w:r w:rsidRPr="008F1413">
        <w:rPr>
          <w:rFonts w:ascii="Calibri" w:eastAsiaTheme="minorHAnsi" w:hAnsi="Calibri" w:cs="Calibri"/>
          <w:i/>
          <w:iCs/>
          <w:color w:val="4472C4" w:themeColor="accent1"/>
          <w:kern w:val="2"/>
          <w:sz w:val="22"/>
          <w:szCs w:val="22"/>
          <w:lang w:eastAsia="en-US"/>
          <w14:ligatures w14:val="standardContextual"/>
        </w:rPr>
        <w:t xml:space="preserve">Genevieve is a 28-year-old woman who joined the Australian Bone Marrow Donor Registry (ABMDR) three years earlier. She is contacted by the registry staff to inform her that she is a match for an Australian patient in need of HSC transplant. After being informed of the donation procedures, including their risks and benefits, and counselled about her decision, Genevieve consents to donate. </w:t>
      </w:r>
    </w:p>
    <w:p w14:paraId="0B9A60EA" w14:textId="77777777" w:rsidR="008F1413" w:rsidRPr="008F1413" w:rsidRDefault="008F1413" w:rsidP="008F1413">
      <w:pPr>
        <w:spacing w:after="80"/>
        <w:rPr>
          <w:rFonts w:ascii="Calibri" w:eastAsiaTheme="minorHAnsi" w:hAnsi="Calibri" w:cs="Calibri"/>
          <w:i/>
          <w:iCs/>
          <w:color w:val="4472C4" w:themeColor="accent1"/>
          <w:kern w:val="2"/>
          <w:sz w:val="22"/>
          <w:szCs w:val="22"/>
          <w:lang w:eastAsia="en-US"/>
          <w14:ligatures w14:val="standardContextual"/>
        </w:rPr>
      </w:pPr>
      <w:r w:rsidRPr="008F1413">
        <w:rPr>
          <w:rFonts w:ascii="Calibri" w:eastAsiaTheme="minorHAnsi" w:hAnsi="Calibri" w:cs="Calibri"/>
          <w:i/>
          <w:iCs/>
          <w:color w:val="4472C4" w:themeColor="accent1"/>
          <w:kern w:val="2"/>
          <w:sz w:val="22"/>
          <w:szCs w:val="22"/>
          <w:lang w:eastAsia="en-US"/>
          <w14:ligatures w14:val="standardContextual"/>
        </w:rPr>
        <w:t>The day before she is scheduled to donate, Genevieve contacts the ABMDR to say that she would like to know more about the recipient of her donation. She clarifies that she is “just curious” and indicates that she is also “hopeful that maybe I can connect with the recipient one day to find out more about them and how they feel after the transplant.”</w:t>
      </w:r>
    </w:p>
    <w:p w14:paraId="3C849C18" w14:textId="77777777" w:rsidR="008F1413" w:rsidRPr="008F1413" w:rsidRDefault="008F1413" w:rsidP="008F1413">
      <w:pPr>
        <w:spacing w:after="80"/>
        <w:rPr>
          <w:rFonts w:ascii="Calibri" w:eastAsiaTheme="minorHAnsi" w:hAnsi="Calibri" w:cs="Calibri"/>
          <w:i/>
          <w:iCs/>
          <w:color w:val="4472C4" w:themeColor="accent1"/>
          <w:kern w:val="2"/>
          <w:sz w:val="22"/>
          <w:szCs w:val="22"/>
          <w:lang w:eastAsia="en-US"/>
          <w14:ligatures w14:val="standardContextual"/>
        </w:rPr>
      </w:pPr>
      <w:r w:rsidRPr="008F1413">
        <w:rPr>
          <w:rFonts w:ascii="Calibri" w:eastAsiaTheme="minorHAnsi" w:hAnsi="Calibri" w:cs="Calibri"/>
          <w:i/>
          <w:iCs/>
          <w:color w:val="4472C4" w:themeColor="accent1"/>
          <w:kern w:val="2"/>
          <w:sz w:val="22"/>
          <w:szCs w:val="22"/>
          <w:lang w:eastAsia="en-US"/>
          <w14:ligatures w14:val="standardContextual"/>
        </w:rPr>
        <w:t>The ABMDR staff explain to Genevieve that they are not able to disclose personal details about the intended transplant recipient. They advise her that she will have the opportunity to communicate with the recipient provided that the recipient also wishes to connect, but that the policy requires that communication take place at least two years after the donation and transplant. Genevieve expresses disappointment, saying, “I don’t understand why we have to wait. Why can’t you at least tell me more about them now? I want to feel like I’m doing this for a person, not just donating to some random stranger.”</w:t>
      </w:r>
    </w:p>
    <w:p w14:paraId="46650934" w14:textId="77777777" w:rsidR="008F1413" w:rsidRPr="008F1413" w:rsidRDefault="008F1413" w:rsidP="008F1413">
      <w:pPr>
        <w:spacing w:after="80"/>
        <w:rPr>
          <w:rFonts w:ascii="Calibri" w:eastAsiaTheme="minorHAnsi" w:hAnsi="Calibri" w:cs="Calibri"/>
          <w:kern w:val="2"/>
          <w:sz w:val="22"/>
          <w:szCs w:val="22"/>
          <w:lang w:eastAsia="en-US"/>
          <w14:ligatures w14:val="standardContextual"/>
        </w:rPr>
      </w:pPr>
    </w:p>
    <w:p w14:paraId="2D1EEA7B" w14:textId="77777777" w:rsidR="008F1413" w:rsidRPr="008F1413" w:rsidRDefault="008F1413" w:rsidP="008F1413">
      <w:pPr>
        <w:spacing w:after="80"/>
        <w:rPr>
          <w:rFonts w:ascii="Calibri" w:eastAsiaTheme="minorHAnsi" w:hAnsi="Calibri" w:cs="Calibri"/>
          <w:kern w:val="2"/>
          <w:sz w:val="22"/>
          <w:szCs w:val="22"/>
          <w:lang w:eastAsia="en-US"/>
          <w14:ligatures w14:val="standardContextual"/>
        </w:rPr>
      </w:pPr>
      <w:r w:rsidRPr="008F1413">
        <w:rPr>
          <w:rFonts w:ascii="Calibri" w:eastAsiaTheme="minorHAnsi" w:hAnsi="Calibri" w:cs="Calibri"/>
          <w:kern w:val="2"/>
          <w:sz w:val="22"/>
          <w:szCs w:val="22"/>
          <w:lang w:eastAsia="en-US"/>
          <w14:ligatures w14:val="standardContextual"/>
        </w:rPr>
        <w:t>Points to consider:</w:t>
      </w:r>
    </w:p>
    <w:p w14:paraId="16163B51" w14:textId="430AA6E4" w:rsidR="008F1413" w:rsidRPr="008F1413" w:rsidRDefault="008F1413" w:rsidP="008F1413">
      <w:pPr>
        <w:numPr>
          <w:ilvl w:val="0"/>
          <w:numId w:val="139"/>
        </w:numPr>
        <w:spacing w:after="80"/>
        <w:contextualSpacing/>
        <w:rPr>
          <w:rFonts w:ascii="Calibri" w:eastAsiaTheme="minorHAnsi" w:hAnsi="Calibri" w:cs="Calibri"/>
          <w:kern w:val="2"/>
          <w:sz w:val="22"/>
          <w:szCs w:val="22"/>
          <w:lang w:eastAsia="en-US"/>
          <w14:ligatures w14:val="standardContextual"/>
        </w:rPr>
      </w:pPr>
      <w:r w:rsidRPr="008F1413">
        <w:rPr>
          <w:rFonts w:ascii="Calibri" w:eastAsiaTheme="minorHAnsi" w:hAnsi="Calibri" w:cs="Calibri"/>
          <w:kern w:val="2"/>
          <w:sz w:val="22"/>
          <w:szCs w:val="22"/>
          <w:lang w:eastAsia="en-US"/>
          <w14:ligatures w14:val="standardContextual"/>
        </w:rPr>
        <w:t xml:space="preserve">This case highlights the issue of anonymity in non-directed donation. (See </w:t>
      </w:r>
      <w:r w:rsidRPr="008F1413">
        <w:rPr>
          <w:rFonts w:ascii="Calibri" w:eastAsiaTheme="minorHAnsi" w:hAnsi="Calibri" w:cs="Calibri"/>
          <w:i/>
          <w:iCs/>
          <w:kern w:val="2"/>
          <w:sz w:val="22"/>
          <w:szCs w:val="22"/>
          <w:lang w:eastAsia="en-US"/>
          <w14:ligatures w14:val="standardContextual"/>
        </w:rPr>
        <w:t xml:space="preserve"> </w:t>
      </w:r>
      <w:hyperlink w:anchor="_Data_collection_and" w:history="1">
        <w:r w:rsidRPr="005B60A9">
          <w:rPr>
            <w:rStyle w:val="Hyperlink"/>
            <w:rFonts w:ascii="Calibri" w:eastAsiaTheme="minorHAnsi" w:hAnsi="Calibri" w:cs="Calibri"/>
            <w:kern w:val="2"/>
            <w:sz w:val="22"/>
            <w:szCs w:val="22"/>
            <w:lang w:eastAsia="en-US"/>
            <w14:ligatures w14:val="standardContextual"/>
          </w:rPr>
          <w:t>Chapter 7.3</w:t>
        </w:r>
      </w:hyperlink>
      <w:r w:rsidRPr="008F1413">
        <w:rPr>
          <w:rFonts w:ascii="Calibri" w:eastAsiaTheme="minorHAnsi" w:hAnsi="Calibri" w:cs="Calibri"/>
          <w:kern w:val="2"/>
          <w:sz w:val="22"/>
          <w:szCs w:val="22"/>
          <w:lang w:eastAsia="en-US"/>
          <w14:ligatures w14:val="standardContextual"/>
        </w:rPr>
        <w:t>)</w:t>
      </w:r>
    </w:p>
    <w:p w14:paraId="6DEE429A" w14:textId="77777777" w:rsidR="008F1413" w:rsidRPr="008F1413" w:rsidRDefault="008F1413" w:rsidP="008F1413">
      <w:pPr>
        <w:numPr>
          <w:ilvl w:val="0"/>
          <w:numId w:val="139"/>
        </w:numPr>
        <w:spacing w:after="120"/>
        <w:rPr>
          <w:rFonts w:ascii="Calibri" w:eastAsiaTheme="minorHAnsi" w:hAnsi="Calibri" w:cs="Calibri"/>
          <w:sz w:val="22"/>
          <w:szCs w:val="22"/>
          <w:u w:color="0000FF"/>
          <w:lang w:val="en-GB" w:eastAsia="en-US"/>
          <w14:ligatures w14:val="standardContextual"/>
        </w:rPr>
      </w:pPr>
      <w:r w:rsidRPr="008F1413">
        <w:rPr>
          <w:rFonts w:ascii="Calibri" w:eastAsiaTheme="minorHAnsi" w:hAnsi="Calibri" w:cs="Calibri"/>
          <w:sz w:val="22"/>
          <w:szCs w:val="22"/>
          <w:u w:color="0000FF"/>
          <w:lang w:val="en-GB" w:eastAsia="en-US"/>
          <w14:ligatures w14:val="standardContextual"/>
        </w:rPr>
        <w:t>The following principle is especially relevant to this case:</w:t>
      </w:r>
    </w:p>
    <w:p w14:paraId="687E0647" w14:textId="77777777" w:rsidR="008F1413" w:rsidRPr="008F1413" w:rsidRDefault="008F1413" w:rsidP="008F1413">
      <w:pPr>
        <w:numPr>
          <w:ilvl w:val="1"/>
          <w:numId w:val="139"/>
        </w:numPr>
        <w:spacing w:after="120"/>
        <w:rPr>
          <w:rFonts w:ascii="Calibri" w:eastAsiaTheme="minorHAnsi" w:hAnsi="Calibri" w:cs="Calibri"/>
          <w:sz w:val="22"/>
          <w:szCs w:val="22"/>
          <w:u w:color="0000FF"/>
          <w:lang w:val="en-GB" w:eastAsia="en-US"/>
          <w14:ligatures w14:val="standardContextual"/>
        </w:rPr>
      </w:pPr>
      <w:r w:rsidRPr="008F1413">
        <w:rPr>
          <w:rFonts w:ascii="Calibri" w:eastAsiaTheme="minorHAnsi" w:hAnsi="Calibri" w:cs="Calibri"/>
          <w:b/>
          <w:bCs/>
          <w:sz w:val="22"/>
          <w:szCs w:val="22"/>
          <w:u w:color="0000FF"/>
          <w:lang w:val="en-GB" w:eastAsia="en-US"/>
          <w14:ligatures w14:val="standardContextual"/>
        </w:rPr>
        <w:t>Principle 6</w:t>
      </w:r>
      <w:r w:rsidRPr="008F1413">
        <w:rPr>
          <w:rFonts w:ascii="Calibri" w:eastAsiaTheme="minorHAnsi" w:hAnsi="Calibri" w:cs="Calibri"/>
          <w:sz w:val="22"/>
          <w:szCs w:val="22"/>
          <w:u w:color="0000FF"/>
          <w:lang w:val="en-GB" w:eastAsia="en-US"/>
          <w14:ligatures w14:val="standardContextual"/>
        </w:rPr>
        <w:t xml:space="preserve"> Donation and transplantation activities and associated decision-making should protect the privacy of individuals and their families, and the confidentiality of information related to donation and transplantation activities. </w:t>
      </w:r>
    </w:p>
    <w:p w14:paraId="45C3C735" w14:textId="603B64E1" w:rsidR="008F1413" w:rsidRPr="008F1413" w:rsidRDefault="008F1413" w:rsidP="008F1413">
      <w:pPr>
        <w:numPr>
          <w:ilvl w:val="0"/>
          <w:numId w:val="139"/>
        </w:numPr>
        <w:spacing w:after="80"/>
        <w:contextualSpacing/>
        <w:rPr>
          <w:rFonts w:ascii="Calibri" w:eastAsiaTheme="minorHAnsi" w:hAnsi="Calibri" w:cs="Calibri"/>
          <w:szCs w:val="22"/>
          <w:u w:color="0000FF"/>
          <w:lang w:val="en-GB" w:eastAsia="en-US"/>
          <w14:ligatures w14:val="standardContextual"/>
        </w:rPr>
      </w:pPr>
      <w:r w:rsidRPr="008F1413">
        <w:rPr>
          <w:rFonts w:ascii="Calibri" w:eastAsiaTheme="minorHAnsi" w:hAnsi="Calibri" w:cs="Calibri"/>
          <w:kern w:val="2"/>
          <w:sz w:val="22"/>
          <w:szCs w:val="22"/>
          <w:lang w:eastAsia="en-US"/>
          <w14:ligatures w14:val="standardContextual"/>
        </w:rPr>
        <w:t xml:space="preserve">Like some donors, or donor family members, Genevieve would like to connect with the recipient of her donation or at least to find out more about them as a person. Several factors may determine what information about a transplant recipient can be disclosed to a non-directed donor or deceased donor family member. In particular, there are laws that determine when, if ever, people’s private information, such as information about their health, may be disclosed to other people (see </w:t>
      </w:r>
      <w:hyperlink w:anchor="_Legal_considerations_in" w:history="1">
        <w:r w:rsidRPr="005B60A9">
          <w:rPr>
            <w:rStyle w:val="Hyperlink"/>
            <w:rFonts w:ascii="Calibri" w:eastAsiaTheme="minorHAnsi" w:hAnsi="Calibri" w:cs="Calibri"/>
            <w:kern w:val="2"/>
            <w:sz w:val="22"/>
            <w:szCs w:val="22"/>
            <w:lang w:eastAsia="en-US"/>
            <w14:ligatures w14:val="standardContextual"/>
          </w:rPr>
          <w:t>Chapter 7.1.1.1).</w:t>
        </w:r>
      </w:hyperlink>
    </w:p>
    <w:p w14:paraId="02BE07F0" w14:textId="77777777" w:rsidR="008F1413" w:rsidRPr="008F1413" w:rsidRDefault="008F1413" w:rsidP="008F1413">
      <w:pPr>
        <w:numPr>
          <w:ilvl w:val="0"/>
          <w:numId w:val="139"/>
        </w:numPr>
        <w:spacing w:after="80"/>
        <w:contextualSpacing/>
        <w:rPr>
          <w:rFonts w:ascii="Calibri" w:eastAsiaTheme="minorHAnsi" w:hAnsi="Calibri" w:cs="Calibri"/>
          <w:lang w:val="en-GB" w:eastAsia="en-US"/>
          <w14:ligatures w14:val="standardContextual"/>
        </w:rPr>
      </w:pPr>
      <w:r w:rsidRPr="008F1413">
        <w:rPr>
          <w:rFonts w:ascii="Calibri" w:eastAsiaTheme="minorHAnsi" w:hAnsi="Calibri" w:cs="Calibri"/>
          <w:kern w:val="2"/>
          <w:sz w:val="22"/>
          <w:szCs w:val="22"/>
          <w:lang w:eastAsia="en-US"/>
          <w14:ligatures w14:val="standardContextual"/>
        </w:rPr>
        <w:t xml:space="preserve">In the case of HSC donation, it may be legally possible for information to be exchanged between a non-directed donor and the transplant recipient, including information that would enable the donor and recipient to identify one another, provided that both parties consent to the release of this information. </w:t>
      </w:r>
    </w:p>
    <w:p w14:paraId="4F4320D5" w14:textId="77777777" w:rsidR="008F1413" w:rsidRPr="008F1413" w:rsidRDefault="008F1413" w:rsidP="008F1413">
      <w:pPr>
        <w:numPr>
          <w:ilvl w:val="0"/>
          <w:numId w:val="139"/>
        </w:numPr>
        <w:spacing w:after="80"/>
        <w:contextualSpacing/>
        <w:rPr>
          <w:rFonts w:ascii="Calibri" w:eastAsiaTheme="minorHAnsi" w:hAnsi="Calibri" w:cs="Calibri"/>
          <w:lang w:val="en-GB" w:eastAsia="en-US"/>
          <w14:ligatures w14:val="standardContextual"/>
        </w:rPr>
      </w:pPr>
      <w:r w:rsidRPr="008F1413">
        <w:rPr>
          <w:rFonts w:ascii="Calibri" w:eastAsiaTheme="minorHAnsi" w:hAnsi="Calibri" w:cs="Calibri"/>
          <w:kern w:val="2"/>
          <w:sz w:val="22"/>
          <w:szCs w:val="22"/>
          <w:lang w:eastAsia="en-US"/>
          <w14:ligatures w14:val="standardContextual"/>
        </w:rPr>
        <w:t>However, there are several reasons why disclosing private information about the recipient (with their first-person consent) to Genevieve may be problematic, especially at this moment when she is about to donate. Some of the most important considerations are as follows:</w:t>
      </w:r>
    </w:p>
    <w:p w14:paraId="5D4F7062" w14:textId="77777777" w:rsidR="008F1413" w:rsidRPr="008F1413" w:rsidRDefault="008F1413" w:rsidP="008F1413">
      <w:pPr>
        <w:numPr>
          <w:ilvl w:val="1"/>
          <w:numId w:val="139"/>
        </w:numPr>
        <w:spacing w:after="80"/>
        <w:contextualSpacing/>
        <w:rPr>
          <w:rFonts w:ascii="Calibri" w:eastAsiaTheme="minorHAnsi" w:hAnsi="Calibri" w:cs="Calibri"/>
          <w:sz w:val="22"/>
          <w:szCs w:val="21"/>
          <w:u w:color="0000FF"/>
          <w:lang w:val="en-GB" w:eastAsia="en-US"/>
          <w14:ligatures w14:val="standardContextual"/>
        </w:rPr>
      </w:pPr>
      <w:r w:rsidRPr="008F1413">
        <w:rPr>
          <w:rFonts w:ascii="Calibri" w:eastAsiaTheme="minorHAnsi" w:hAnsi="Calibri" w:cs="Calibri"/>
          <w:sz w:val="22"/>
          <w:szCs w:val="21"/>
          <w:u w:color="0000FF"/>
          <w:lang w:val="en-GB" w:eastAsia="en-US"/>
          <w14:ligatures w14:val="standardContextual"/>
        </w:rPr>
        <w:t>First, it is essential that any disclosure of personal information about the recipient occurs with their consent. It is possible that the recipient does not wish to connect with their donor, especially at this time when they are preparing to undergo a serious medical treatment and may be very unwell.</w:t>
      </w:r>
    </w:p>
    <w:p w14:paraId="4B974AC0" w14:textId="77777777" w:rsidR="008F1413" w:rsidRPr="008F1413" w:rsidRDefault="008F1413" w:rsidP="008F1413">
      <w:pPr>
        <w:numPr>
          <w:ilvl w:val="1"/>
          <w:numId w:val="139"/>
        </w:numPr>
        <w:spacing w:after="80"/>
        <w:contextualSpacing/>
        <w:rPr>
          <w:rFonts w:ascii="Calibri" w:eastAsiaTheme="minorHAnsi" w:hAnsi="Calibri" w:cs="Calibri"/>
          <w:sz w:val="22"/>
          <w:szCs w:val="21"/>
          <w:u w:color="0000FF"/>
          <w:lang w:val="en-GB" w:eastAsia="en-US"/>
          <w14:ligatures w14:val="standardContextual"/>
        </w:rPr>
      </w:pPr>
      <w:r w:rsidRPr="008F1413">
        <w:rPr>
          <w:rFonts w:ascii="Calibri" w:eastAsiaTheme="minorHAnsi" w:hAnsi="Calibri" w:cs="Calibri"/>
          <w:sz w:val="22"/>
          <w:szCs w:val="21"/>
          <w:u w:color="0000FF"/>
          <w:lang w:val="en-GB" w:eastAsia="en-US"/>
          <w14:ligatures w14:val="standardContextual"/>
        </w:rPr>
        <w:t>Second, if prospective donors received information that enabled them to identify and contact the recipient at the time of the donation, this may influence their decision to donate or could place the recipient at risk of exploitation. For example, a prospective donor might inform the recipient that they will only proceed with donation if the recipient rewards them in some way.</w:t>
      </w:r>
    </w:p>
    <w:p w14:paraId="061B77DA" w14:textId="77777777" w:rsidR="008F1413" w:rsidRPr="008F1413" w:rsidRDefault="008F1413" w:rsidP="008F1413">
      <w:pPr>
        <w:numPr>
          <w:ilvl w:val="1"/>
          <w:numId w:val="139"/>
        </w:numPr>
        <w:spacing w:after="80"/>
        <w:contextualSpacing/>
        <w:rPr>
          <w:rFonts w:ascii="Calibri" w:eastAsiaTheme="minorHAnsi" w:hAnsi="Calibri" w:cs="Calibri"/>
          <w:sz w:val="22"/>
          <w:szCs w:val="22"/>
          <w:lang w:val="en-GB" w:eastAsia="en-US"/>
          <w14:ligatures w14:val="standardContextual"/>
        </w:rPr>
      </w:pPr>
      <w:r w:rsidRPr="008F1413">
        <w:rPr>
          <w:rFonts w:ascii="Calibri" w:eastAsiaTheme="minorHAnsi" w:hAnsi="Calibri" w:cs="Calibri"/>
          <w:sz w:val="22"/>
          <w:szCs w:val="22"/>
          <w:lang w:val="en-GB" w:eastAsia="en-US"/>
          <w14:ligatures w14:val="standardContextual"/>
        </w:rPr>
        <w:t>Third, it is important that both non-directed donors and recipients have the chance to reflect before making an informed decision to establish contact, so that any psychosocial risks can be managed effectively.</w:t>
      </w:r>
    </w:p>
    <w:p w14:paraId="66D1A056" w14:textId="43C80AC6" w:rsidR="008F1413" w:rsidRPr="008F1413" w:rsidRDefault="008F1413" w:rsidP="008F1413">
      <w:pPr>
        <w:numPr>
          <w:ilvl w:val="0"/>
          <w:numId w:val="139"/>
        </w:numPr>
        <w:spacing w:after="80"/>
        <w:contextualSpacing/>
        <w:rPr>
          <w:rFonts w:ascii="Calibri" w:eastAsiaTheme="minorHAnsi" w:hAnsi="Calibri" w:cs="Calibri"/>
          <w:sz w:val="22"/>
          <w:szCs w:val="21"/>
          <w:u w:color="0000FF"/>
          <w:lang w:val="en-GB" w:eastAsia="en-US"/>
          <w14:ligatures w14:val="standardContextual"/>
        </w:rPr>
      </w:pPr>
      <w:r w:rsidRPr="008F1413">
        <w:rPr>
          <w:rFonts w:ascii="Calibri" w:eastAsiaTheme="minorHAnsi" w:hAnsi="Calibri" w:cs="Calibri"/>
          <w:sz w:val="22"/>
          <w:szCs w:val="21"/>
          <w:u w:color="0000FF"/>
          <w:lang w:val="en-GB" w:eastAsia="en-US"/>
          <w14:ligatures w14:val="standardContextual"/>
        </w:rPr>
        <w:t xml:space="preserve">Current policy at the ABMDR manages these risks by stipulating when and how donors and recipients may communicate with one another, and providing support for contact between donors and recipients when this is mutually desired.  Please see </w:t>
      </w:r>
      <w:hyperlink w:anchor="_Waiver_of_anonymity" w:history="1">
        <w:r w:rsidRPr="005124AF">
          <w:rPr>
            <w:rStyle w:val="Hyperlink"/>
            <w:rFonts w:ascii="Calibri" w:eastAsiaTheme="minorHAnsi" w:hAnsi="Calibri" w:cs="Calibri"/>
            <w:sz w:val="22"/>
            <w:szCs w:val="21"/>
            <w:lang w:val="en-GB" w:eastAsia="en-US"/>
            <w14:ligatures w14:val="standardContextual"/>
          </w:rPr>
          <w:t>Chapter 7.3.2.2.</w:t>
        </w:r>
      </w:hyperlink>
    </w:p>
    <w:p w14:paraId="130101A6" w14:textId="77777777" w:rsidR="008F1413" w:rsidRPr="008F1413" w:rsidRDefault="008F1413" w:rsidP="008F1413">
      <w:pPr>
        <w:spacing w:after="80"/>
        <w:ind w:left="720"/>
        <w:contextualSpacing/>
        <w:rPr>
          <w:rFonts w:ascii="Calibri" w:eastAsiaTheme="minorHAnsi" w:hAnsi="Calibri" w:cs="Calibri"/>
          <w:sz w:val="22"/>
          <w:szCs w:val="21"/>
          <w:u w:color="0000FF"/>
          <w:lang w:val="en-GB" w:eastAsia="en-US"/>
          <w14:ligatures w14:val="standardContextual"/>
        </w:rPr>
      </w:pPr>
    </w:p>
    <w:p w14:paraId="28A90131" w14:textId="26E00D1F" w:rsidR="008F1413" w:rsidRPr="008F1413" w:rsidRDefault="008F1413" w:rsidP="008F1413">
      <w:pPr>
        <w:numPr>
          <w:ilvl w:val="0"/>
          <w:numId w:val="139"/>
        </w:numPr>
        <w:spacing w:after="80"/>
        <w:contextualSpacing/>
        <w:rPr>
          <w:rFonts w:ascii="Calibri" w:eastAsiaTheme="minorHAnsi" w:hAnsi="Calibri" w:cs="Calibri"/>
          <w:sz w:val="22"/>
          <w:szCs w:val="21"/>
          <w:u w:color="0000FF"/>
          <w:lang w:val="en-GB" w:eastAsia="en-US"/>
          <w14:ligatures w14:val="standardContextual"/>
        </w:rPr>
      </w:pPr>
      <w:r w:rsidRPr="008F1413">
        <w:rPr>
          <w:rFonts w:ascii="Calibri" w:eastAsiaTheme="minorHAnsi" w:hAnsi="Calibri" w:cs="Calibri"/>
          <w:sz w:val="22"/>
          <w:szCs w:val="21"/>
          <w:u w:color="0000FF"/>
          <w:lang w:val="en-GB" w:eastAsia="en-US"/>
          <w14:ligatures w14:val="standardContextual"/>
        </w:rPr>
        <w:t xml:space="preserve">Additional ethical complexities may arise in the context of non-directed donations when recipients or donors or donor family members wish to connect with one another. These are discussed in more detail in </w:t>
      </w:r>
      <w:r w:rsidRPr="008F1413">
        <w:rPr>
          <w:rFonts w:ascii="Calibri" w:eastAsiaTheme="minorHAnsi" w:hAnsi="Calibri" w:cs="Calibri"/>
          <w:i/>
          <w:iCs/>
          <w:sz w:val="22"/>
          <w:szCs w:val="21"/>
          <w:u w:color="0000FF"/>
          <w:lang w:val="en-GB" w:eastAsia="en-US"/>
          <w14:ligatures w14:val="standardContextual"/>
        </w:rPr>
        <w:t xml:space="preserve"> </w:t>
      </w:r>
      <w:hyperlink w:anchor="_Data_collection_and" w:history="1">
        <w:r w:rsidRPr="005124AF">
          <w:rPr>
            <w:rStyle w:val="Hyperlink"/>
            <w:rFonts w:ascii="Calibri" w:eastAsiaTheme="minorHAnsi" w:hAnsi="Calibri" w:cs="Calibri"/>
            <w:sz w:val="22"/>
            <w:szCs w:val="21"/>
            <w:lang w:val="en-GB" w:eastAsia="en-US"/>
            <w14:ligatures w14:val="standardContextual"/>
          </w:rPr>
          <w:t>Chapter 7.3.</w:t>
        </w:r>
      </w:hyperlink>
    </w:p>
    <w:p w14:paraId="769F7E01" w14:textId="77777777" w:rsidR="008F1413" w:rsidRPr="008F1413" w:rsidRDefault="008F1413" w:rsidP="008F1413">
      <w:pPr>
        <w:spacing w:after="80"/>
        <w:rPr>
          <w:rFonts w:ascii="Calibri" w:eastAsiaTheme="majorEastAsia" w:hAnsi="Calibri" w:cs="Calibri"/>
          <w:b/>
          <w:color w:val="2F5496" w:themeColor="accent1" w:themeShade="BF"/>
          <w:kern w:val="2"/>
          <w:sz w:val="26"/>
          <w:szCs w:val="26"/>
          <w:lang w:eastAsia="en-US"/>
          <w14:ligatures w14:val="standardContextual"/>
        </w:rPr>
      </w:pPr>
    </w:p>
    <w:p w14:paraId="5DCB2882" w14:textId="413211D2" w:rsidR="00464AAA" w:rsidRDefault="00464AAA" w:rsidP="00EA22AE">
      <w:pPr>
        <w:spacing w:after="120"/>
        <w:rPr>
          <w:rFonts w:ascii="Calibri" w:hAnsi="Calibri" w:cs="Calibri"/>
          <w:sz w:val="22"/>
          <w:szCs w:val="22"/>
        </w:rPr>
      </w:pPr>
    </w:p>
    <w:p w14:paraId="3EB2819A" w14:textId="77777777" w:rsidR="00464AAA" w:rsidRDefault="00464AAA" w:rsidP="00EA22AE">
      <w:pPr>
        <w:spacing w:after="120"/>
        <w:rPr>
          <w:rFonts w:ascii="Calibri" w:hAnsi="Calibri" w:cs="Calibri"/>
          <w:sz w:val="22"/>
          <w:szCs w:val="22"/>
        </w:rPr>
      </w:pPr>
    </w:p>
    <w:p w14:paraId="0F150F55" w14:textId="63EA9C43" w:rsidR="00464AAA" w:rsidRDefault="00464AAA" w:rsidP="00EA22AE">
      <w:pPr>
        <w:spacing w:after="120"/>
        <w:rPr>
          <w:rFonts w:ascii="Calibri" w:hAnsi="Calibri" w:cs="Calibri"/>
          <w:sz w:val="22"/>
          <w:szCs w:val="22"/>
        </w:rPr>
      </w:pPr>
    </w:p>
    <w:p w14:paraId="175FEECF" w14:textId="77777777" w:rsidR="00464AAA" w:rsidRDefault="00464AAA" w:rsidP="00EA22AE">
      <w:pPr>
        <w:spacing w:after="120"/>
        <w:rPr>
          <w:rFonts w:ascii="Calibri" w:hAnsi="Calibri" w:cs="Calibri"/>
          <w:sz w:val="22"/>
          <w:szCs w:val="22"/>
        </w:rPr>
      </w:pPr>
    </w:p>
    <w:p w14:paraId="1CB97241" w14:textId="77777777" w:rsidR="00464AAA" w:rsidRDefault="00464AAA" w:rsidP="00EA22AE">
      <w:pPr>
        <w:spacing w:after="120"/>
        <w:rPr>
          <w:rFonts w:ascii="Calibri" w:hAnsi="Calibri" w:cs="Calibri"/>
          <w:sz w:val="22"/>
          <w:szCs w:val="22"/>
        </w:rPr>
      </w:pPr>
    </w:p>
    <w:p w14:paraId="4D2C02BB" w14:textId="77777777" w:rsidR="00464AAA" w:rsidRDefault="00464AAA" w:rsidP="00EA22AE">
      <w:pPr>
        <w:spacing w:after="120"/>
        <w:rPr>
          <w:rFonts w:ascii="Calibri" w:hAnsi="Calibri" w:cs="Calibri"/>
          <w:sz w:val="22"/>
          <w:szCs w:val="22"/>
        </w:rPr>
      </w:pPr>
    </w:p>
    <w:p w14:paraId="4F26B55C" w14:textId="36F5E2AF" w:rsidR="006C6EBA" w:rsidRPr="006720E4" w:rsidRDefault="006C6EBA" w:rsidP="00EA22AE">
      <w:pPr>
        <w:pStyle w:val="Heading4"/>
        <w:spacing w:after="120"/>
      </w:pPr>
      <w:bookmarkStart w:id="3128" w:name="_Waiver_of_anonymity_1"/>
      <w:bookmarkStart w:id="3129" w:name="_Toc82773633"/>
      <w:bookmarkStart w:id="3130" w:name="_Toc82773986"/>
      <w:bookmarkEnd w:id="3128"/>
      <w:r w:rsidRPr="006720E4">
        <w:lastRenderedPageBreak/>
        <w:t>Waiver of anonymity between deceased donor families and transplant recipients</w:t>
      </w:r>
      <w:bookmarkEnd w:id="3129"/>
      <w:bookmarkEnd w:id="3130"/>
    </w:p>
    <w:p w14:paraId="1B087007" w14:textId="53477F2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number of countries are considering giving deceased donor families and recipients of deceased donor transplants the option of waiving anonymity.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{"citationItems":[{"id":"ITEM-1","itemData":{"DOI":"10.1016/j.transproceed.2020.01.079","ISSN":"18732623","PMID":"32222392","abstract":"According to Law 91/1999, art. 18, in Italy, health care professionals and administrative staff involved in the process of organ collection and transplantation are required to ensure anonymity of both the donor and the recipient. Against this backdrop, in 2018, the Italian Committee for Bioethics (ICB) released an official opinion titled “Opinion on the preservation of the anonymity of donor and receiver in the transplantation of organs” that offers a new perspective on the topic, effectively opening the possibility of anonymity ending at certain conditions. The relevance of anonymity within the transplant network is a globally recognized principle with a strong ethical value. In this article, based on the experience of one author directly involved in the ICB opinion drafting, we examine the document and discuss how such a proposal could be implemented at the legislative level.","author":[{"dropping-particle":"","family":"Petrini","given":"Carlo","non-dropping-particle":"","parse-names":false,"suffix":""},{"dropping-particle":"","family":"Riva","given":"Luciana","non-dropping-particle":"","parse-names":false,"suffix":""},{"dropping-particle":"","family":"Floridia","given":"Giovanna","non-dropping-particle":"","parse-names":false,"suffix":""},{"dropping-particle":"","family":"Mannelli","given":"Chiara","non-dropping-particle":"","parse-names":false,"suffix":""}],"container-title":"Transplantation Proceedings","id":"ITEM-1","issue":"5","issued":{"date-parts":[["2020"]]},"page":"1525-1527","publisher":"Elsevier Inc.","title":"Anonymity and Organ Donation: Ethical and Policy Implications After the Opinion Released by the Italian Committee for Bioethics","type":"article-journal","volume":"52"},"uris":["http://www.mendeley.com/documents/?uuid=e09de57d-8a8e-4df5-a26d-9535c955d6b3"]}],"mendeley":{"formattedCitation":"(114)","plainTextFormattedCitation":"(114)","previouslyFormattedCitation":"(114)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(114)</w:t>
      </w:r>
      <w:r w:rsidRPr="006720E4">
        <w:rPr>
          <w:rFonts w:ascii="Calibri" w:hAnsi="Calibri" w:cs="Calibri"/>
          <w:sz w:val="22"/>
          <w:szCs w:val="22"/>
        </w:rPr>
        <w:fldChar w:fldCharType="end"/>
      </w:r>
      <w:r w:rsidRPr="006720E4">
        <w:rPr>
          <w:rFonts w:ascii="Calibri" w:hAnsi="Calibri" w:cs="Calibri"/>
          <w:sz w:val="22"/>
          <w:szCs w:val="22"/>
        </w:rPr>
        <w:t xml:space="preserve"> This option has been available in the United States and Israel for several decades; however, in the United States, only 1% of donor families establish direct contact with one or more recipients of their loved one’s organs or tissues.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{"citationItems":[{"id":"ITEM-1","itemData":{"DOI":"10.7182/prtr.1.7.3.y71142l18j6k4067","ISSN":"09059199","PMID":"9505653","abstract":"This article discusses one organ procurement organization's procedure for facilitating correspondence between donor families and recipients while respecting the needs and rights of all involved. From 1992 to 1995, a total of 542 donor family and recipient correspondences were facilitated. Recipients wrote more than 80% of the letters, with the number of donor family correspondence increasing each year. Trends are discussed including the percentage of correspondence initiated by donor families and recipients, reasons for correspondence not being forwarded by the organ procurement organization, the time frame in which correspondence occurred, and the number of families who requested personal contact.","author":[{"dropping-particle":"","family":"Vajentic","given":"A. K.","non-dropping-particle":"","parse-names":false,"suffix":""}],"container-title":"Journal of Transplant Coordination","id":"ITEM-1","issue":"3","issued":{"date-parts":[["1997"]]},"page":"106-110","title":"Correspondence and personal contact between donor families and organ recipients: One OPO's procedure and experience","type":"article-journal","volume":"7"},"uris":["http://www.mendeley.com/documents/?uuid=a60f0b90-8250-4ca3-9095-eee78fa6678f"]},{"id":"ITEM-2","itemData":{"DOI":"10.7182/prtr.1.9.2.0046q06v05v6652v","ISSN":"09059199","PMID":"10703387","abstract":"Medical decisions about organ donation and transplantation are considered by a growing number of individuals. The complex issue of whether and to what extent organ recipients and donor families should interact or communicate has gained increasing public awareness, thereby creating an area of major ethical and legal concern for the transplant community. Communication issues have traditionally been decided by transplant coordinators and guided by personal beliefs, agency guidelines, and organizational policies. Organizations are often inconsistent in their practices, and this in turn causes frustration and confusion for both donor families and transplant recipients. This study explored how the experience of meeting the recipient(s) of a loved one's organ affected the grieving process of donor families and altered their lives. The information from this study might be useful to transplant professionals to develop guidelines and policies that lessen the confusion and frustration felt by those involved with the transplant process.","author":[{"dropping-particle":"","family":"Clayville","given":"L.","non-dropping-particle":"","parse-names":false,"suffix":""}],"container-title":"Journal of Transplant Coordination","id":"ITEM-2","issue":"2","issued":{"date-parts":[["1999"]]},"page":"81-86","title":"When donor families and organ recipients meet","type":"article-journal","volume":"9"},"uris":["http://www.mendeley.com/documents/?uuid=a59dc370-88cb-4b5f-b4bb-a341dd39d75b"]}],"mendeley":{"formattedCitation":"(115,116)","plainTextFormattedCitation":"(115,116)","previouslyFormattedCitation":"(115,116)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(115,116)</w:t>
      </w:r>
      <w:r w:rsidRPr="006720E4">
        <w:rPr>
          <w:rFonts w:ascii="Calibri" w:hAnsi="Calibri" w:cs="Calibri"/>
          <w:sz w:val="22"/>
          <w:szCs w:val="22"/>
        </w:rPr>
        <w:fldChar w:fldCharType="end"/>
      </w:r>
      <w:r w:rsidRPr="006720E4">
        <w:rPr>
          <w:rFonts w:ascii="Calibri" w:hAnsi="Calibri" w:cs="Calibri"/>
          <w:sz w:val="22"/>
          <w:szCs w:val="22"/>
        </w:rPr>
        <w:t xml:space="preserve"> For many people considering waiving anonymity and seeking direct contact with a donor, donor family or transplant recipient(s), it is probable they may be disappointed if the other party declines the opportunity to establish contact. </w:t>
      </w:r>
    </w:p>
    <w:p w14:paraId="2DBE7BB5" w14:textId="62E9A20B" w:rsidR="006C6EBA" w:rsidRPr="009B495F" w:rsidRDefault="006C6EBA" w:rsidP="00EA22AE">
      <w:pPr>
        <w:spacing w:after="120"/>
        <w:rPr>
          <w:rFonts w:ascii="Calibri" w:hAnsi="Calibri" w:cs="Calibri"/>
          <w:sz w:val="22"/>
          <w:szCs w:val="22"/>
        </w:rPr>
      </w:pPr>
      <w:r w:rsidRPr="006720E4">
        <w:rPr>
          <w:rFonts w:ascii="Calibri" w:hAnsi="Calibri" w:cs="Calibri"/>
          <w:sz w:val="22"/>
          <w:szCs w:val="22"/>
        </w:rPr>
        <w:t xml:space="preserve">There are specific ethical and legal complications with regards to privacy and disclosure of the donor’s identity in the case of deceased donation in Australia. In particular, as the donor is deceased, it may be legally unclear which individuals, if any, have the right to decide to disclose the donor’s identity to the recipients of their organs or tissues. This uncertainty may prevent health professionals </w:t>
      </w:r>
      <w:r w:rsidRPr="009B495F">
        <w:rPr>
          <w:rFonts w:ascii="Calibri" w:hAnsi="Calibri" w:cs="Calibri"/>
          <w:sz w:val="22"/>
          <w:szCs w:val="22"/>
        </w:rPr>
        <w:t xml:space="preserve">and others involved in deceased donation activities from disclosing identifying details about donors (see </w:t>
      </w:r>
      <w:hyperlink w:anchor="_Legal_considerations_in"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.1.1.1</w:t>
        </w:r>
      </w:hyperlink>
      <w:r w:rsidRPr="009B495F">
        <w:rPr>
          <w:rFonts w:ascii="Calibri" w:hAnsi="Calibri" w:cs="Calibri"/>
          <w:sz w:val="22"/>
          <w:szCs w:val="22"/>
        </w:rPr>
        <w:t xml:space="preserve">). At present, deceased donation and transplant agencies in Australia therefore do not facilitate direct contact between deceased donor families and recipients. They instead provide advice on protecting privacy and managing the risks of independent efforts to establish direct contact (see </w:t>
      </w:r>
      <w:hyperlink w:anchor="_Protecting_privacy_in"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.3.4</w:t>
        </w:r>
      </w:hyperlink>
      <w:r w:rsidRPr="009B495F">
        <w:rPr>
          <w:rFonts w:ascii="Calibri" w:hAnsi="Calibri" w:cs="Calibri"/>
          <w:sz w:val="22"/>
          <w:szCs w:val="22"/>
        </w:rPr>
        <w:t>).</w:t>
      </w:r>
    </w:p>
    <w:p w14:paraId="7F9CAD4F" w14:textId="77777777" w:rsidR="006C6EBA" w:rsidRPr="006720E4" w:rsidRDefault="006C6EBA" w:rsidP="00EA22AE">
      <w:pPr>
        <w:spacing w:after="120"/>
        <w:rPr>
          <w:rFonts w:ascii="Calibri" w:hAnsi="Calibri" w:cs="Calibri"/>
          <w:sz w:val="22"/>
          <w:szCs w:val="22"/>
        </w:rPr>
      </w:pPr>
      <w:r w:rsidRPr="009B495F">
        <w:rPr>
          <w:rFonts w:ascii="Calibri" w:hAnsi="Calibri" w:cs="Calibri"/>
          <w:sz w:val="22"/>
          <w:szCs w:val="22"/>
        </w:rPr>
        <w:t>The disclosure of a deceased donor’s identity and the</w:t>
      </w:r>
      <w:r w:rsidRPr="006720E4">
        <w:rPr>
          <w:rFonts w:ascii="Calibri" w:hAnsi="Calibri" w:cs="Calibri"/>
          <w:sz w:val="22"/>
          <w:szCs w:val="22"/>
        </w:rPr>
        <w:t xml:space="preserve"> revelation of information regarding the recipients of their donation notably may have an impact on several members of the donor’s family. Not all family members may wish to receive information about the recipient(s), and it may be difficult to respect their interest not to be informed if other family members choose to receive this. If a donor family member wishes to seek contact with transplant recipients, they should be advised to consider counselling to help support them in making the decision with other members of their family, and to assist them in navigating contact with the recipient(s). Some advice on dealing with these issues is available from the Organ and Tissue Authority </w:t>
      </w:r>
      <w:hyperlink r:id="rId108" w:history="1">
        <w:r w:rsidRPr="006720E4">
          <w:rPr>
            <w:rStyle w:val="Hyperlink"/>
            <w:rFonts w:ascii="Calibri" w:eastAsiaTheme="majorEastAsia" w:hAnsi="Calibri" w:cs="Calibri"/>
            <w:sz w:val="22"/>
            <w:szCs w:val="22"/>
          </w:rPr>
          <w:t>here</w:t>
        </w:r>
      </w:hyperlink>
      <w:r w:rsidRPr="006720E4">
        <w:rPr>
          <w:rFonts w:ascii="Calibri" w:hAnsi="Calibri" w:cs="Calibri"/>
          <w:sz w:val="22"/>
          <w:szCs w:val="22"/>
        </w:rPr>
        <w:t>.</w:t>
      </w:r>
    </w:p>
    <w:p w14:paraId="38B1B8BE" w14:textId="4EDD552C" w:rsidR="006C6EBA" w:rsidRPr="006720E4" w:rsidRDefault="006C6EBA" w:rsidP="00EA22AE">
      <w:pPr>
        <w:pStyle w:val="Heading4"/>
        <w:spacing w:after="120"/>
      </w:pPr>
      <w:bookmarkStart w:id="3131" w:name="_Waiver_of_anonymity"/>
      <w:bookmarkStart w:id="3132" w:name="_Toc82773634"/>
      <w:bookmarkStart w:id="3133" w:name="_Toc82773987"/>
      <w:bookmarkStart w:id="3134" w:name="_Toc73301750"/>
      <w:bookmarkStart w:id="3135" w:name="_Toc73302256"/>
      <w:bookmarkStart w:id="3136" w:name="_Toc73303389"/>
      <w:bookmarkStart w:id="3137" w:name="_Toc74081534"/>
      <w:bookmarkStart w:id="3138" w:name="_Toc74172311"/>
      <w:bookmarkStart w:id="3139" w:name="_Toc74172847"/>
      <w:bookmarkEnd w:id="3131"/>
      <w:r w:rsidRPr="006720E4">
        <w:t>Waiver of anonymity between non-directed HSC donors and transplant recipients</w:t>
      </w:r>
      <w:bookmarkEnd w:id="3132"/>
      <w:bookmarkEnd w:id="3133"/>
    </w:p>
    <w:p w14:paraId="15093368" w14:textId="19B79DD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the case of non-directed HSC donation, both donors and transplant recipients may be able to provide consent to disclosure of their identity to the other party, allowing health professionals to disclose this information on request if both parties consent to waive anonymity.</w:t>
      </w:r>
    </w:p>
    <w:p w14:paraId="1D05E337" w14:textId="126DD67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To reduce the risk that a transplant recipient or non-directed donor may feel obliged to agree to waive anonymity, contact should only be facilitated if both the recipient and the donor independently request direct contact. Individuals choosing to disclose their own identity should be informed that the other party will not be aware of their request for direct contact unless they also choose to waive anonymity.</w:t>
      </w:r>
    </w:p>
    <w:p w14:paraId="05EA84EF" w14:textId="0CA05C7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ABMDR has established further conditions aimed at supporting donors and transplant recipients to make an informed and voluntary choice about waiving anonymity and establishing direct contact and reducing the risks that may be associated with loss of anonymity. These include:</w:t>
      </w:r>
    </w:p>
    <w:p w14:paraId="10FA7109" w14:textId="77777777" w:rsidR="006C6EBA" w:rsidRPr="006720E4" w:rsidRDefault="006C6EBA" w:rsidP="00EA22AE">
      <w:pPr>
        <w:pStyle w:val="Bullet"/>
        <w:spacing w:after="120"/>
        <w:contextualSpacing w:val="0"/>
        <w:rPr>
          <w:rFonts w:cs="Calibri"/>
        </w:rPr>
      </w:pPr>
      <w:r w:rsidRPr="006720E4">
        <w:rPr>
          <w:rFonts w:cs="Calibri"/>
        </w:rPr>
        <w:t>2 year waiting period following donation and transplantation before identifying information may be shared between the donor and recipient. This helps to ensure that individuals make an enduring decision and provides recipients with time to recover from the physical and psychosocial impact of transplantation.</w:t>
      </w:r>
    </w:p>
    <w:p w14:paraId="72CF2030" w14:textId="7F08EF7D" w:rsidR="006C6EBA" w:rsidRPr="006720E4" w:rsidRDefault="006C6EBA" w:rsidP="00EA22AE">
      <w:pPr>
        <w:pStyle w:val="Bullet"/>
        <w:spacing w:after="120"/>
        <w:contextualSpacing w:val="0"/>
        <w:rPr>
          <w:rFonts w:cs="Calibri"/>
        </w:rPr>
      </w:pPr>
      <w:r w:rsidRPr="006720E4">
        <w:rPr>
          <w:rFonts w:cs="Calibri"/>
        </w:rPr>
        <w:t>Both donors and recipients must be counselled before providing consent to disclose their identity. Counselling addresses</w:t>
      </w:r>
    </w:p>
    <w:p w14:paraId="0F12BAF1" w14:textId="14D88493" w:rsidR="006C6EBA" w:rsidRPr="006720E4" w:rsidRDefault="006C6EBA" w:rsidP="00EA22AE">
      <w:pPr>
        <w:pStyle w:val="Bullet"/>
        <w:numPr>
          <w:ilvl w:val="1"/>
          <w:numId w:val="1"/>
        </w:numPr>
        <w:spacing w:after="120"/>
        <w:contextualSpacing w:val="0"/>
        <w:rPr>
          <w:rFonts w:cs="Calibri"/>
        </w:rPr>
      </w:pPr>
      <w:r w:rsidRPr="006720E4">
        <w:rPr>
          <w:rFonts w:cs="Calibri"/>
        </w:rPr>
        <w:t>Obligations to respect the privacy of the other party;</w:t>
      </w:r>
    </w:p>
    <w:p w14:paraId="5C9A596F" w14:textId="630C443E" w:rsidR="006C6EBA" w:rsidRPr="006720E4" w:rsidRDefault="006C6EBA" w:rsidP="00EA22AE">
      <w:pPr>
        <w:pStyle w:val="Bullet"/>
        <w:numPr>
          <w:ilvl w:val="1"/>
          <w:numId w:val="1"/>
        </w:numPr>
        <w:spacing w:after="120"/>
        <w:contextualSpacing w:val="0"/>
        <w:rPr>
          <w:rFonts w:cs="Calibri"/>
        </w:rPr>
      </w:pPr>
      <w:r w:rsidRPr="006720E4">
        <w:rPr>
          <w:rFonts w:cs="Calibri"/>
        </w:rPr>
        <w:lastRenderedPageBreak/>
        <w:t xml:space="preserve">Risks related to loss of </w:t>
      </w:r>
      <w:r w:rsidRPr="009B495F">
        <w:rPr>
          <w:rFonts w:cs="Calibri"/>
        </w:rPr>
        <w:t xml:space="preserve">anonymity (see </w:t>
      </w:r>
      <w:hyperlink w:anchor="_Potential_benefits_and" w:history="1">
        <w:r w:rsidRPr="009B495F">
          <w:rPr>
            <w:rStyle w:val="Hyperlink"/>
            <w:rFonts w:cs="Calibri"/>
          </w:rPr>
          <w:t xml:space="preserve">Chapter </w:t>
        </w:r>
        <w:r w:rsidR="009B495F" w:rsidRPr="009B495F">
          <w:rPr>
            <w:rStyle w:val="Hyperlink"/>
            <w:rFonts w:cs="Calibri"/>
          </w:rPr>
          <w:t>7</w:t>
        </w:r>
        <w:r w:rsidRPr="009B495F">
          <w:rPr>
            <w:rStyle w:val="Hyperlink"/>
            <w:rFonts w:cs="Calibri"/>
          </w:rPr>
          <w:t>.3.1</w:t>
        </w:r>
      </w:hyperlink>
      <w:r w:rsidRPr="009B495F">
        <w:rPr>
          <w:rFonts w:cs="Calibri"/>
        </w:rPr>
        <w:t>), including</w:t>
      </w:r>
      <w:r w:rsidRPr="006720E4">
        <w:rPr>
          <w:rFonts w:cs="Calibri"/>
        </w:rPr>
        <w:t xml:space="preserve">, for the recipient, the risk of negatively influencing future decision-making by the donor if a second or subsequent donation is required; </w:t>
      </w:r>
    </w:p>
    <w:p w14:paraId="2865E5C5" w14:textId="5470E1AA" w:rsidR="006C6EBA" w:rsidRPr="006720E4" w:rsidRDefault="006C6EBA" w:rsidP="00EA22AE">
      <w:pPr>
        <w:pStyle w:val="Bullet"/>
        <w:numPr>
          <w:ilvl w:val="1"/>
          <w:numId w:val="1"/>
        </w:numPr>
        <w:spacing w:after="120"/>
        <w:contextualSpacing w:val="0"/>
        <w:rPr>
          <w:rFonts w:cs="Calibri"/>
        </w:rPr>
      </w:pPr>
      <w:r w:rsidRPr="006720E4">
        <w:rPr>
          <w:rFonts w:cs="Calibri"/>
        </w:rPr>
        <w:t>Expectations regarding the potential experience and outcomes of identity disclosure, include the possibility that the other party will not choose to disclose their identity, and that direct contact, if established may not result in a positive or ongoing relationship.</w:t>
      </w:r>
    </w:p>
    <w:p w14:paraId="682C865D" w14:textId="2BBD7CA2" w:rsidR="006C6EBA" w:rsidRPr="006720E4" w:rsidRDefault="006C6EBA" w:rsidP="00EA22AE">
      <w:pPr>
        <w:pStyle w:val="Bullet"/>
        <w:spacing w:after="120"/>
        <w:contextualSpacing w:val="0"/>
        <w:rPr>
          <w:rFonts w:cs="Calibri"/>
        </w:rPr>
      </w:pPr>
      <w:r w:rsidRPr="006720E4">
        <w:rPr>
          <w:rFonts w:cs="Calibri"/>
        </w:rPr>
        <w:t>Even if both parties have consented to contact after receiving counselling, contact will not be facilitated by the ABMDR if the recipient is currently seeking another HSC transplant.</w:t>
      </w:r>
    </w:p>
    <w:p w14:paraId="0F2B88C9" w14:textId="1F631A43" w:rsidR="006C6EBA" w:rsidRPr="006720E4" w:rsidRDefault="006C6EBA" w:rsidP="00EA22AE">
      <w:pPr>
        <w:pStyle w:val="Heading4"/>
        <w:spacing w:after="120"/>
      </w:pPr>
      <w:bookmarkStart w:id="3140" w:name="_Protecting_the_privacy"/>
      <w:bookmarkStart w:id="3141" w:name="_Toc82773635"/>
      <w:bookmarkStart w:id="3142" w:name="_Toc82773988"/>
      <w:bookmarkEnd w:id="3140"/>
      <w:r w:rsidRPr="006720E4">
        <w:t xml:space="preserve">Protecting the privacy of transplant recipients who are </w:t>
      </w:r>
      <w:bookmarkEnd w:id="3134"/>
      <w:bookmarkEnd w:id="3135"/>
      <w:bookmarkEnd w:id="3136"/>
      <w:bookmarkEnd w:id="3137"/>
      <w:bookmarkEnd w:id="3138"/>
      <w:bookmarkEnd w:id="3139"/>
      <w:r w:rsidRPr="006720E4">
        <w:t>children</w:t>
      </w:r>
      <w:bookmarkEnd w:id="3141"/>
      <w:bookmarkEnd w:id="3142"/>
    </w:p>
    <w:p w14:paraId="142B492F" w14:textId="50F9550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considering waiver of anonymity in donation or transplantation, particular consideration should be given to the interests of transplant recipients who are children, and who may be unable to provide consent to the disclosure of their own identity. Their anonymity should be protected until they are able to make a choice on their own behalf, which may occur before they reach the legal age of majority (usually 18 years) in some “mature” </w:t>
      </w:r>
      <w:r w:rsidRPr="009B495F">
        <w:rPr>
          <w:rFonts w:ascii="Calibri" w:hAnsi="Calibri" w:cs="Calibri"/>
          <w:sz w:val="22"/>
          <w:szCs w:val="22"/>
        </w:rPr>
        <w:t xml:space="preserve">minors (see </w:t>
      </w:r>
      <w:hyperlink w:anchor="_Children_who_may"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5</w:t>
        </w:r>
        <w:r w:rsidRPr="009B495F">
          <w:rPr>
            <w:rStyle w:val="Hyperlink"/>
            <w:rFonts w:ascii="Calibri" w:hAnsi="Calibri" w:cs="Calibri"/>
            <w:sz w:val="22"/>
            <w:szCs w:val="22"/>
          </w:rPr>
          <w:t>.1.2</w:t>
        </w:r>
      </w:hyperlink>
      <w:r w:rsidRPr="009B495F">
        <w:rPr>
          <w:rFonts w:ascii="Calibri" w:hAnsi="Calibri" w:cs="Calibri"/>
          <w:sz w:val="22"/>
          <w:szCs w:val="22"/>
        </w:rPr>
        <w:t>).</w:t>
      </w:r>
    </w:p>
    <w:p w14:paraId="5BA35276" w14:textId="6495512D" w:rsidR="006C6EBA" w:rsidRPr="006720E4" w:rsidRDefault="006C6EBA" w:rsidP="00EA22AE">
      <w:pPr>
        <w:pStyle w:val="Heading3"/>
        <w:spacing w:after="120"/>
      </w:pPr>
      <w:bookmarkStart w:id="3143" w:name="_Protecting_privacy_in"/>
      <w:bookmarkStart w:id="3144" w:name="_Toc63683447"/>
      <w:bookmarkStart w:id="3145" w:name="_Toc70241792"/>
      <w:bookmarkStart w:id="3146" w:name="_Toc70243427"/>
      <w:bookmarkStart w:id="3147" w:name="_Toc70414908"/>
      <w:bookmarkStart w:id="3148" w:name="_Toc70844226"/>
      <w:bookmarkStart w:id="3149" w:name="_Toc72615159"/>
      <w:bookmarkStart w:id="3150" w:name="_Toc73129881"/>
      <w:bookmarkStart w:id="3151" w:name="_Toc73301753"/>
      <w:bookmarkStart w:id="3152" w:name="_Toc73302259"/>
      <w:bookmarkStart w:id="3153" w:name="_Toc73303392"/>
      <w:bookmarkStart w:id="3154" w:name="_Toc73303619"/>
      <w:bookmarkStart w:id="3155" w:name="_Toc74080736"/>
      <w:bookmarkStart w:id="3156" w:name="_Toc74081044"/>
      <w:bookmarkStart w:id="3157" w:name="_Toc74081274"/>
      <w:bookmarkStart w:id="3158" w:name="_Toc74081537"/>
      <w:bookmarkStart w:id="3159" w:name="_Toc74171105"/>
      <w:bookmarkStart w:id="3160" w:name="_Toc74172314"/>
      <w:bookmarkStart w:id="3161" w:name="_Toc74172850"/>
      <w:bookmarkStart w:id="3162" w:name="_Toc74238779"/>
      <w:bookmarkStart w:id="3163" w:name="_Toc79406413"/>
      <w:bookmarkStart w:id="3164" w:name="_Toc82773636"/>
      <w:bookmarkStart w:id="3165" w:name="_Toc82773989"/>
      <w:bookmarkEnd w:id="3143"/>
      <w:r w:rsidRPr="006720E4">
        <w:t xml:space="preserve">Protecting privacy </w:t>
      </w:r>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r w:rsidRPr="006720E4">
        <w:t>in non-directed donation and transplantation</w:t>
      </w:r>
      <w:bookmarkEnd w:id="3163"/>
      <w:bookmarkEnd w:id="3164"/>
      <w:bookmarkEnd w:id="3165"/>
    </w:p>
    <w:p w14:paraId="239F5029" w14:textId="000805E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Reducing the risks of privacy breaches requires efforts to inform and support those who may be at risk, as well as education and training of health professionals who may have responsibility for maintaining privacy and confidentiality in particular settings. Potential non-directed living donors, deceased donation decision-makers, and transplant candidates should be informed of their rights and obligations with regards to anonymity prior to donation or transplantation, including their obligations not to violate the privacy of others. </w:t>
      </w:r>
    </w:p>
    <w:p w14:paraId="31D2FFD3" w14:textId="6E77893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circumstances, donors, donor families or transplant recipients may be at greater risk of privacy breaches and unsolicited contact from another party. For example, if living non-directed organ donors and recipients are cared for in the same hospital, if donation occurred following a death that received widespread media attention, if a rare and serious disease is transmitted following deceased donation, or if a relatively novel procedure is performed such as the first transplant of a particular kind. Such cases are not only more likely to elicit significant media interest </w:t>
      </w:r>
      <w:r w:rsidRPr="009B495F">
        <w:rPr>
          <w:rFonts w:ascii="Calibri" w:hAnsi="Calibri" w:cs="Calibri"/>
          <w:sz w:val="22"/>
          <w:szCs w:val="22"/>
        </w:rPr>
        <w:t xml:space="preserve">and reporting (see </w:t>
      </w:r>
      <w:hyperlink w:anchor="_News_and_social"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.3.4</w:t>
        </w:r>
      </w:hyperlink>
      <w:r w:rsidRPr="009B495F">
        <w:rPr>
          <w:rFonts w:ascii="Calibri" w:hAnsi="Calibri" w:cs="Calibri"/>
          <w:sz w:val="22"/>
          <w:szCs w:val="22"/>
        </w:rPr>
        <w:t>) but are</w:t>
      </w:r>
      <w:r w:rsidRPr="006720E4">
        <w:rPr>
          <w:rFonts w:ascii="Calibri" w:hAnsi="Calibri" w:cs="Calibri"/>
          <w:sz w:val="22"/>
          <w:szCs w:val="22"/>
        </w:rPr>
        <w:t xml:space="preserve"> also more likely to involve communication of specific details about donors or recipients that may facilitate identification and/or identification of a likely donation relationship. </w:t>
      </w:r>
    </w:p>
    <w:p w14:paraId="06AD0DB5" w14:textId="6863731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Vascularized composite allografts, such as face or limb transplants, for example, are not only rare procedures which attract significant media attention, but they may also require specific consent from donation decision-makers which might enable them to identify transplant recipients more readily.</w:t>
      </w:r>
    </w:p>
    <w:p w14:paraId="37F39A3E" w14:textId="36982A5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Counselling of non-directed donors, deceased donor families and transplant recipients should be provided prior to donation or transplantation to assist in prevention and management of the privacy risks specific to particular circumstances, as well as general advice regarding management of social and news media </w:t>
      </w:r>
      <w:r w:rsidRPr="009B495F">
        <w:rPr>
          <w:rFonts w:ascii="Calibri" w:hAnsi="Calibri" w:cs="Calibri"/>
          <w:sz w:val="22"/>
          <w:szCs w:val="22"/>
        </w:rPr>
        <w:t xml:space="preserve">risks (see </w:t>
      </w:r>
      <w:hyperlink w:anchor="_News_and_social"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.3.4</w:t>
        </w:r>
      </w:hyperlink>
      <w:r w:rsidRPr="009B495F">
        <w:rPr>
          <w:rFonts w:ascii="Calibri" w:hAnsi="Calibri" w:cs="Calibri"/>
          <w:sz w:val="22"/>
          <w:szCs w:val="22"/>
        </w:rPr>
        <w:t>). For example</w:t>
      </w:r>
      <w:r w:rsidRPr="006720E4">
        <w:rPr>
          <w:rFonts w:ascii="Calibri" w:hAnsi="Calibri" w:cs="Calibri"/>
          <w:sz w:val="22"/>
          <w:szCs w:val="22"/>
        </w:rPr>
        <w:t>, advice on the limitations of privacy protections in online settings such as closed Facebook groups, and on ways to communicate experiences without disclosing identifying details may be helpful.</w:t>
      </w:r>
    </w:p>
    <w:p w14:paraId="17710CED" w14:textId="532E6F6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Advice should also be provided to help people in making an informed decision about whether to independently pursue contact with others, for example via social media or community networks. Those considering waiving anonymity should be provided with information about the potential benefits and risks, which may vary according to individual circumstances and the particular context of donation and </w:t>
      </w:r>
      <w:r w:rsidRPr="009B495F">
        <w:rPr>
          <w:rFonts w:ascii="Calibri" w:hAnsi="Calibri" w:cs="Calibri"/>
          <w:sz w:val="22"/>
          <w:szCs w:val="22"/>
        </w:rPr>
        <w:t xml:space="preserve">transplantation involved (see </w:t>
      </w:r>
      <w:hyperlink w:anchor="_Protection_of_privacy_1"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.2.4</w:t>
        </w:r>
      </w:hyperlink>
      <w:r w:rsidRPr="009B495F">
        <w:rPr>
          <w:rFonts w:ascii="Calibri" w:hAnsi="Calibri" w:cs="Calibri"/>
          <w:sz w:val="22"/>
          <w:szCs w:val="22"/>
        </w:rPr>
        <w:t xml:space="preserve">). Advice should highlight the importance </w:t>
      </w:r>
      <w:r w:rsidRPr="009B495F">
        <w:rPr>
          <w:rFonts w:ascii="Calibri" w:hAnsi="Calibri" w:cs="Calibri"/>
          <w:sz w:val="22"/>
          <w:szCs w:val="22"/>
        </w:rPr>
        <w:lastRenderedPageBreak/>
        <w:t>of respecting the privacy of others and may include strategies to assist in management</w:t>
      </w:r>
      <w:r w:rsidRPr="006720E4">
        <w:rPr>
          <w:rFonts w:ascii="Calibri" w:hAnsi="Calibri" w:cs="Calibri"/>
          <w:sz w:val="22"/>
          <w:szCs w:val="22"/>
        </w:rPr>
        <w:t xml:space="preserve"> of issues that may arise. All potential donors, donor families and transplant recipients should be provided with information about potential opportunities to communicate with one another where these exist, such as the opportunity to </w:t>
      </w:r>
      <w:r w:rsidRPr="009B495F">
        <w:rPr>
          <w:rFonts w:ascii="Calibri" w:hAnsi="Calibri" w:cs="Calibri"/>
          <w:sz w:val="22"/>
          <w:szCs w:val="22"/>
        </w:rPr>
        <w:t xml:space="preserve">communicate anonymously via correspondence managed by transplant centres and donation agencies (see </w:t>
      </w:r>
      <w:hyperlink w:anchor="_Protection_of_privacy_1" w:history="1">
        <w:r w:rsidRPr="009B495F">
          <w:rPr>
            <w:rStyle w:val="Hyperlink"/>
            <w:rFonts w:ascii="Calibri" w:hAnsi="Calibri" w:cs="Calibri"/>
            <w:sz w:val="22"/>
            <w:szCs w:val="22"/>
          </w:rPr>
          <w:t xml:space="preserve">Chapter </w:t>
        </w:r>
        <w:r w:rsidR="009B495F" w:rsidRPr="009B495F">
          <w:rPr>
            <w:rStyle w:val="Hyperlink"/>
            <w:rFonts w:ascii="Calibri" w:hAnsi="Calibri" w:cs="Calibri"/>
            <w:sz w:val="22"/>
            <w:szCs w:val="22"/>
          </w:rPr>
          <w:t>7</w:t>
        </w:r>
        <w:r w:rsidRPr="009B495F">
          <w:rPr>
            <w:rStyle w:val="Hyperlink"/>
            <w:rFonts w:ascii="Calibri" w:hAnsi="Calibri" w:cs="Calibri"/>
            <w:sz w:val="22"/>
            <w:szCs w:val="22"/>
          </w:rPr>
          <w:t>.2.4</w:t>
        </w:r>
      </w:hyperlink>
      <w:r w:rsidRPr="009B495F">
        <w:rPr>
          <w:rFonts w:ascii="Calibri" w:hAnsi="Calibri" w:cs="Calibri"/>
          <w:sz w:val="22"/>
          <w:szCs w:val="22"/>
        </w:rPr>
        <w:t>).</w:t>
      </w:r>
    </w:p>
    <w:p w14:paraId="67098FC0" w14:textId="77777777" w:rsidR="006C6EBA" w:rsidRPr="006720E4" w:rsidRDefault="006C6EBA" w:rsidP="00EA22AE">
      <w:pPr>
        <w:pStyle w:val="Heading3"/>
        <w:spacing w:after="120"/>
      </w:pPr>
      <w:bookmarkStart w:id="3166" w:name="_News_and_social"/>
      <w:bookmarkStart w:id="3167" w:name="_Toc63683448"/>
      <w:bookmarkStart w:id="3168" w:name="_Toc70241793"/>
      <w:bookmarkStart w:id="3169" w:name="_Toc70243428"/>
      <w:bookmarkStart w:id="3170" w:name="_Toc70328748"/>
      <w:bookmarkStart w:id="3171" w:name="_Toc70333978"/>
      <w:bookmarkStart w:id="3172" w:name="_Toc70414909"/>
      <w:bookmarkStart w:id="3173" w:name="_Toc70844227"/>
      <w:bookmarkStart w:id="3174" w:name="_Toc70859001"/>
      <w:bookmarkStart w:id="3175" w:name="_Toc70861102"/>
      <w:bookmarkStart w:id="3176" w:name="_Toc70876587"/>
      <w:bookmarkStart w:id="3177" w:name="_Toc72615160"/>
      <w:bookmarkStart w:id="3178" w:name="_Toc73129882"/>
      <w:bookmarkStart w:id="3179" w:name="_Toc73301754"/>
      <w:bookmarkStart w:id="3180" w:name="_Toc73302260"/>
      <w:bookmarkStart w:id="3181" w:name="_Toc73303393"/>
      <w:bookmarkStart w:id="3182" w:name="_Toc73303620"/>
      <w:bookmarkStart w:id="3183" w:name="_Toc74080737"/>
      <w:bookmarkStart w:id="3184" w:name="_Toc74081045"/>
      <w:bookmarkStart w:id="3185" w:name="_Toc74081275"/>
      <w:bookmarkStart w:id="3186" w:name="_Toc74081538"/>
      <w:bookmarkStart w:id="3187" w:name="_Toc74171106"/>
      <w:bookmarkStart w:id="3188" w:name="_Toc74172315"/>
      <w:bookmarkStart w:id="3189" w:name="_Toc74172851"/>
      <w:bookmarkStart w:id="3190" w:name="_Toc74238780"/>
      <w:bookmarkStart w:id="3191" w:name="_Toc78304776"/>
      <w:bookmarkStart w:id="3192" w:name="_Toc79406414"/>
      <w:bookmarkStart w:id="3193" w:name="_Toc82773637"/>
      <w:bookmarkStart w:id="3194" w:name="_Toc82773990"/>
      <w:bookmarkEnd w:id="3166"/>
      <w:r w:rsidRPr="006720E4">
        <w:t>News and social media</w:t>
      </w:r>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14:paraId="74DCA6AB" w14:textId="6A2BE22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News and social media are frequently used by health professionals, donation and transplantation agencies and members of the public to communicate stories about people whose lives have been affected by donation and transplantation. Many stories play an important role in informing the public about the value of donation and transplantation and encouraging participation in donation opportunities. Media reports and social media interactions also serve to highlight new developments in transplantation medicine, to celebrate the role of donors and to share information about how to become a donor.</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{"citationItems":[{"id":"ITEM-1","itemData":{"DOI":"10.1080/10810730.2020.1836088","ISSN":"10870415","PMID":"33112731","abstract":"This study explores how sharing testimonials on the social media network Reddit may encourage individuals to donate bone marrow. The theory of planned behavior guided a quantitative content analysis of 1,015 Reddit comments about donation. Research questions asked how individuals post about donation and how Redditors engage with this content. Overall, comments addressed more positive than negative outcome, efficacy, and normative beliefs. Comments that discussed beliefs related to registering to donate and the process of donating received significantly higher engagement than other comments. Additionally, comments that included positive outcome beliefs related to registering, positive efficacy beliefs related to registering and donating, and positive normative beliefs related to donating received higher engagement than other comments. Results suggest testimonials may be most effective if they focus on behavior facilitators and if they present donation as a positive norm deviant behavior. Finally, the Reddit forums functioned as places for individuals to seek out and share information. Comments included calls to action and hyperlinks for health resources. This research reveals how organic conversations on Reddit may promote health information seeking and advocacy behavior adoption. Implications for the theory of planned behavior and the use of Reddit as a platform for health promotion are discussed.","author":[{"dropping-particle":"","family":"O’Donnell","given":"Nicole H.","non-dropping-particle":"","parse-names":false,"suffix":""},{"dropping-particle":"","family":"Guidry","given":"Jeanine P.D.","non-dropping-particle":"","parse-names":false,"suffix":""}],"container-title":"Journal of Health Communication","id":"ITEM-1","issue":"8","issued":{"date-parts":[["2020"]]},"page":"660-670","publisher":"Routledge","title":"#BeTheMatch: Assessing How Testimonials on Reddit Promote the Importance of Donating Bone Marrow","type":"article-journal","volume":"25"},"uris":["http://www.mendeley.com/documents/?uuid=6c8aa8d1-b571-4c50-9487-7f93ddd81863"]},{"id":"ITEM-2","itemData":{"DOI":"10.1111/j.1399-0012.2005.00407.x","ISSN":"09020063","PMID":"16146561","abstract":"In this study, 78 family pair dyads (spouses, parent-child pairs, or siblings) were brought into an interaction laboratory set up like a living room. After being briefed on the study, family members discussed a series of eight questions about their thoughts and opinions about organ donation. Thematic analysis of the thousands of pages of transcripts revealed that family members believe that they receive important information about organ donation through the media. Unfortunately, the most influential information came from sensationalistic, negative media portrayals. The myths that seem to be the most actively referenced by the media include premature declaration of death, the transference of personality traits from donor to recipient, a US black market for organs, corruption in the medical community, and corruption in the organ allocation system (which allows celebrities to get transplants first). Although these are not the only myths that the generally public holds to be true, the media is a powerful source of support for these particular myths. Therefore, such myths must be countered effectively if greater consent for organ donation is to be attained. © Blackwell Munksgaard, 2005.","author":[{"dropping-particle":"","family":"Morgan","given":"Susan E.","non-dropping-particle":"","parse-names":false,"suffix":""},{"dropping-particle":"","family":"Harrison","given":"Tyler R.","non-dropping-particle":"","parse-names":false,"suffix":""},{"dropping-particle":"","family":"Long","given":"Shawn D.","non-dropping-particle":"","parse-names":false,"suffix":""},{"dropping-particle":"","family":"Afifi","given":"Walid A.","non-dropping-particle":"","parse-names":false,"suffix":""},{"dropping-particle":"","family":"Stephenson","given":"Michael S.","non-dropping-particle":"","parse-names":false,"suffix":""},{"dropping-particle":"","family":"Reichert","given":"Tom","non-dropping-particle":"","parse-names":false,"suffix":""}],"container-title":"Clinical Transplantation","id":"ITEM-2","issue":"5","issued":{"date-parts":[["2005"]]},"page":"674-682","title":"Family discussions about organ donation: How the media influences opinions about donation decisions","type":"article-journal","volume":"19"},"uris":["http://www.mendeley.com/documents/?uuid=30c085e6-be27-4ee0-95c8-946ee1429e07"]}],"mendeley":{"formattedCitation":"(117,118)","plainTextFormattedCitation":"(117,118)","previouslyFormattedCitation":"(117,118)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(117,118)</w:t>
      </w:r>
      <w:r w:rsidRPr="006720E4">
        <w:rPr>
          <w:rFonts w:ascii="Calibri" w:hAnsi="Calibri" w:cs="Calibri"/>
          <w:sz w:val="22"/>
          <w:szCs w:val="22"/>
        </w:rPr>
        <w:fldChar w:fldCharType="end"/>
      </w:r>
    </w:p>
    <w:p w14:paraId="4FF2D9DE" w14:textId="5D62CA6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number of ethical concerns may arise in the context of news media and professional and personal use of social media to communicate about donation and transplantation, particularly with regards to protection of privacy and confidentiality. Disclosure of information that may encourage or facilitate identification of potential donation relationships should be made with care and only with the consent of individuals who may be affected to reduce the risk of undesired identity disclosure or unsolicited contact.</w:t>
      </w:r>
    </w:p>
    <w:p w14:paraId="329CFB48" w14:textId="7EFC843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Particular care should be taken when seeking consent to disclose personal information about a donation or transplantation experience from people who may be emotionally vulnerable, such as those in need of or who have recently received a life-saving transplant or those who have just experienced the death of a relative. These individuals may be vulnerable to inadvertent exploitation or coercion, for example by feeling that they have an obligation to share their stories or because sharing their stories may seem necessary to save lives.</w:t>
      </w:r>
    </w:p>
    <w:p w14:paraId="7578BBBC" w14:textId="5255D3F0" w:rsidR="007771B2" w:rsidRDefault="006C6EBA" w:rsidP="00EA22AE">
      <w:pPr>
        <w:spacing w:after="120"/>
        <w:rPr>
          <w:rFonts w:ascii="Calibri" w:hAnsi="Calibri" w:cs="Calibri"/>
          <w:sz w:val="22"/>
          <w:szCs w:val="22"/>
        </w:rPr>
      </w:pPr>
      <w:r w:rsidRPr="006720E4">
        <w:rPr>
          <w:rFonts w:ascii="Calibri" w:hAnsi="Calibri" w:cs="Calibri"/>
          <w:sz w:val="22"/>
          <w:szCs w:val="22"/>
        </w:rPr>
        <w:t xml:space="preserve">News and social media may also be used in efforts to solicit potential living organ donors, raising additional ethical concerns </w:t>
      </w:r>
      <w:r w:rsidRPr="004B64BA">
        <w:rPr>
          <w:rFonts w:ascii="Calibri" w:hAnsi="Calibri" w:cs="Calibri"/>
          <w:sz w:val="22"/>
          <w:szCs w:val="22"/>
        </w:rPr>
        <w:t xml:space="preserve">that are explored in </w:t>
      </w:r>
      <w:bookmarkStart w:id="3195" w:name="_Toc70414910"/>
      <w:bookmarkStart w:id="3196" w:name="_Toc70844228"/>
      <w:bookmarkStart w:id="3197" w:name="_Toc70859002"/>
      <w:bookmarkStart w:id="3198" w:name="_Toc70861103"/>
      <w:bookmarkStart w:id="3199" w:name="_Toc70876588"/>
      <w:bookmarkStart w:id="3200" w:name="_Toc72615161"/>
      <w:bookmarkStart w:id="3201" w:name="_Toc73129883"/>
      <w:r w:rsidRPr="004B64BA">
        <w:rPr>
          <w:rFonts w:ascii="Calibri" w:hAnsi="Calibri" w:cs="Calibri"/>
          <w:sz w:val="22"/>
          <w:szCs w:val="22"/>
        </w:rPr>
        <w:fldChar w:fldCharType="begin"/>
      </w:r>
      <w:r w:rsidRPr="004B64BA">
        <w:rPr>
          <w:rFonts w:ascii="Calibri" w:hAnsi="Calibri" w:cs="Calibri"/>
          <w:sz w:val="22"/>
          <w:szCs w:val="22"/>
        </w:rPr>
        <w:instrText xml:space="preserve"> HYPERLINK  \l "_Public_solicitation_of" </w:instrText>
      </w:r>
      <w:r w:rsidRPr="004B64BA">
        <w:rPr>
          <w:rFonts w:ascii="Calibri" w:hAnsi="Calibri" w:cs="Calibri"/>
          <w:sz w:val="22"/>
          <w:szCs w:val="22"/>
        </w:rPr>
      </w:r>
      <w:r w:rsidRPr="004B64BA">
        <w:rPr>
          <w:rFonts w:ascii="Calibri" w:hAnsi="Calibri" w:cs="Calibri"/>
          <w:sz w:val="22"/>
          <w:szCs w:val="22"/>
        </w:rPr>
        <w:fldChar w:fldCharType="separate"/>
      </w:r>
      <w:r w:rsidRPr="004B64BA">
        <w:rPr>
          <w:rStyle w:val="Hyperlink"/>
          <w:rFonts w:ascii="Calibri" w:hAnsi="Calibri" w:cs="Calibri"/>
          <w:sz w:val="22"/>
          <w:szCs w:val="22"/>
        </w:rPr>
        <w:t>Chapter 1</w:t>
      </w:r>
      <w:r w:rsidR="004B64BA" w:rsidRPr="004B64BA">
        <w:rPr>
          <w:rStyle w:val="Hyperlink"/>
          <w:rFonts w:ascii="Calibri" w:hAnsi="Calibri" w:cs="Calibri"/>
          <w:sz w:val="22"/>
          <w:szCs w:val="22"/>
        </w:rPr>
        <w:t>2</w:t>
      </w:r>
      <w:r w:rsidRPr="004B64BA">
        <w:rPr>
          <w:rStyle w:val="Hyperlink"/>
          <w:rFonts w:ascii="Calibri" w:hAnsi="Calibri" w:cs="Calibri"/>
          <w:sz w:val="22"/>
          <w:szCs w:val="22"/>
        </w:rPr>
        <w:t>.1</w:t>
      </w:r>
      <w:r w:rsidRPr="004B64BA">
        <w:rPr>
          <w:rFonts w:ascii="Calibri" w:hAnsi="Calibri" w:cs="Calibri"/>
          <w:sz w:val="22"/>
          <w:szCs w:val="22"/>
        </w:rPr>
        <w:fldChar w:fldCharType="end"/>
      </w:r>
      <w:r w:rsidRPr="004B64BA">
        <w:rPr>
          <w:rFonts w:ascii="Calibri" w:hAnsi="Calibri" w:cs="Calibri"/>
          <w:sz w:val="22"/>
          <w:szCs w:val="22"/>
        </w:rPr>
        <w:t>.</w:t>
      </w:r>
      <w:bookmarkEnd w:id="3195"/>
      <w:bookmarkEnd w:id="3196"/>
      <w:bookmarkEnd w:id="3197"/>
      <w:bookmarkEnd w:id="3198"/>
      <w:bookmarkEnd w:id="3199"/>
      <w:bookmarkEnd w:id="3200"/>
      <w:bookmarkEnd w:id="3201"/>
    </w:p>
    <w:p w14:paraId="4C0C3A43" w14:textId="766C1B71" w:rsidR="007771B2" w:rsidRPr="007771B2" w:rsidRDefault="007771B2" w:rsidP="00EA22AE">
      <w:pPr>
        <w:spacing w:after="120"/>
        <w:rPr>
          <w:rFonts w:ascii="Calibri" w:hAnsi="Calibri" w:cs="Calibri"/>
          <w:b/>
          <w:bCs/>
          <w:sz w:val="22"/>
          <w:szCs w:val="22"/>
        </w:rPr>
      </w:pPr>
      <w:r>
        <w:rPr>
          <w:noProof/>
        </w:rPr>
        <w:lastRenderedPageBreak/>
        <mc:AlternateContent>
          <mc:Choice Requires="wps">
            <w:drawing>
              <wp:anchor distT="0" distB="0" distL="114300" distR="114300" simplePos="0" relativeHeight="251658246" behindDoc="0" locked="0" layoutInCell="1" allowOverlap="1" wp14:anchorId="2C65B051" wp14:editId="3E5BA896">
                <wp:simplePos x="0" y="0"/>
                <wp:positionH relativeFrom="column">
                  <wp:posOffset>0</wp:posOffset>
                </wp:positionH>
                <wp:positionV relativeFrom="paragraph">
                  <wp:posOffset>0</wp:posOffset>
                </wp:positionV>
                <wp:extent cx="1828800" cy="1828800"/>
                <wp:effectExtent l="12700" t="12700" r="19050" b="14605"/>
                <wp:wrapSquare wrapText="bothSides"/>
                <wp:docPr id="1901585436" name="Text Box 1901585436" descr="P1976TB7#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487D23FE" w14:textId="29839B85" w:rsidR="007771B2" w:rsidRDefault="007771B2" w:rsidP="00271073">
                            <w:pPr>
                              <w:spacing w:after="80"/>
                              <w:rPr>
                                <w:rFonts w:ascii="Calibri" w:hAnsi="Calibri" w:cs="Calibri"/>
                                <w:b/>
                                <w:bCs/>
                                <w:sz w:val="22"/>
                                <w:szCs w:val="22"/>
                              </w:rPr>
                            </w:pPr>
                            <w:r w:rsidRPr="00863834">
                              <w:rPr>
                                <w:rFonts w:ascii="Calibri" w:hAnsi="Calibri" w:cs="Calibri"/>
                                <w:b/>
                                <w:bCs/>
                                <w:sz w:val="22"/>
                                <w:szCs w:val="22"/>
                              </w:rPr>
                              <w:t>Box 7.</w:t>
                            </w:r>
                            <w:r w:rsidR="00863834" w:rsidRPr="00863834">
                              <w:rPr>
                                <w:rFonts w:ascii="Calibri" w:hAnsi="Calibri" w:cs="Calibri"/>
                                <w:b/>
                                <w:bCs/>
                                <w:sz w:val="22"/>
                                <w:szCs w:val="22"/>
                              </w:rPr>
                              <w:t>2</w:t>
                            </w:r>
                            <w:r w:rsidRPr="00863834">
                              <w:rPr>
                                <w:rFonts w:ascii="Calibri" w:hAnsi="Calibri" w:cs="Calibri"/>
                                <w:b/>
                                <w:bCs/>
                                <w:sz w:val="22"/>
                                <w:szCs w:val="22"/>
                              </w:rPr>
                              <w:t xml:space="preserve"> Summary</w:t>
                            </w:r>
                            <w:r w:rsidRPr="007771B2">
                              <w:rPr>
                                <w:rFonts w:ascii="Calibri" w:hAnsi="Calibri" w:cs="Calibri"/>
                                <w:b/>
                                <w:bCs/>
                                <w:sz w:val="22"/>
                                <w:szCs w:val="22"/>
                              </w:rPr>
                              <w:t xml:space="preserve"> of ethical recommendations regarding anonymity in donation</w:t>
                            </w:r>
                          </w:p>
                          <w:p w14:paraId="03DAAD54"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szCs w:val="22"/>
                              </w:rPr>
                              <w:t>Anonymity in non-directed donation should be routinely protected to ensure the privacy rights of donors, donor families and transplant recipients are respected.</w:t>
                            </w:r>
                          </w:p>
                          <w:p w14:paraId="77383220"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szCs w:val="22"/>
                              </w:rPr>
                              <w:t>Prospective non-directed living donors, transplant recipients and deceased donor families should be informed of the requirement for anonymity in the donation relationship, as well as</w:t>
                            </w:r>
                          </w:p>
                          <w:p w14:paraId="41E7E1D2"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the potential benefits and risks of loss of anonymity.</w:t>
                            </w:r>
                          </w:p>
                          <w:p w14:paraId="77CF1A37"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strategies to minimise risks of privacy breaches.</w:t>
                            </w:r>
                          </w:p>
                          <w:p w14:paraId="5F2DA385"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obligations to respect the privacy of others.</w:t>
                            </w:r>
                          </w:p>
                          <w:p w14:paraId="74E702C0"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 xml:space="preserve">legal barriers to disclosure of private or identifiable information about donor or transplant recipients by </w:t>
                            </w:r>
                            <w:r w:rsidRPr="007771B2">
                              <w:rPr>
                                <w:rFonts w:cs="Calibri"/>
                                <w:sz w:val="21"/>
                                <w:szCs w:val="21"/>
                              </w:rPr>
                              <w:t>health professionals and others involved in donation and transplantation activities.</w:t>
                            </w:r>
                          </w:p>
                          <w:p w14:paraId="5D616CFE"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options for anonymous communication between donors, donor families and recipients where relevant.</w:t>
                            </w:r>
                          </w:p>
                          <w:p w14:paraId="7D9F462E"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color w:val="000000" w:themeColor="text1"/>
                                <w:szCs w:val="22"/>
                              </w:rPr>
                              <w:t>If further information is desired by a donor, donor family or recipient about another party involved in a non-directed donor transplant, this should only be disclosed in accordance with relevant legislation or policies relating to privacy protections, including anonymity requirements.</w:t>
                            </w:r>
                          </w:p>
                          <w:p w14:paraId="625440DB"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szCs w:val="22"/>
                              </w:rPr>
                              <w:t xml:space="preserve">In the case of non-directed HSC donation, both donors and transplant recipients may be able to provide consent to disclosure of their identity to the other party, allowing health professionals to disclose this information on request if both parties consent to waive anonymity. </w:t>
                            </w:r>
                          </w:p>
                          <w:p w14:paraId="5548EBFF"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szCs w:val="22"/>
                              </w:rPr>
                              <w:t>The following conditions for facilitating contact between donors and recipients where this is legally possible are recommended:</w:t>
                            </w:r>
                          </w:p>
                          <w:p w14:paraId="699278B1" w14:textId="77777777" w:rsidR="007771B2" w:rsidRPr="007771B2" w:rsidRDefault="007771B2" w:rsidP="00C3783C">
                            <w:pPr>
                              <w:pStyle w:val="ListParagraph"/>
                              <w:numPr>
                                <w:ilvl w:val="1"/>
                                <w:numId w:val="125"/>
                              </w:numPr>
                              <w:spacing w:after="80"/>
                              <w:contextualSpacing w:val="0"/>
                              <w:rPr>
                                <w:rFonts w:cs="Calibri"/>
                                <w:szCs w:val="22"/>
                              </w:rPr>
                            </w:pPr>
                            <w:r w:rsidRPr="007771B2">
                              <w:rPr>
                                <w:rFonts w:cs="Calibri"/>
                                <w:szCs w:val="22"/>
                              </w:rPr>
                              <w:t xml:space="preserve">Contact should only be facilitated if both the recipient and the donor independently request direct contact. </w:t>
                            </w:r>
                          </w:p>
                          <w:p w14:paraId="332CFD16" w14:textId="77777777" w:rsidR="007771B2" w:rsidRPr="007771B2" w:rsidRDefault="007771B2" w:rsidP="00C3783C">
                            <w:pPr>
                              <w:pStyle w:val="ListParagraph"/>
                              <w:numPr>
                                <w:ilvl w:val="1"/>
                                <w:numId w:val="125"/>
                              </w:numPr>
                              <w:spacing w:after="80"/>
                              <w:contextualSpacing w:val="0"/>
                              <w:rPr>
                                <w:rFonts w:cs="Calibri"/>
                                <w:szCs w:val="22"/>
                              </w:rPr>
                            </w:pPr>
                            <w:r w:rsidRPr="007771B2">
                              <w:rPr>
                                <w:rFonts w:cs="Calibri"/>
                                <w:szCs w:val="22"/>
                              </w:rPr>
                              <w:t>A minimum waiting period should elapse following donation and transplantation before identifying information is shared between the donor and recipient, to allow time for reflection on experiences and decisions to waive anonymity.</w:t>
                            </w:r>
                          </w:p>
                          <w:p w14:paraId="5FF60636" w14:textId="77777777" w:rsidR="007771B2" w:rsidRPr="007771B2" w:rsidRDefault="007771B2" w:rsidP="00C3783C">
                            <w:pPr>
                              <w:pStyle w:val="ListParagraph"/>
                              <w:numPr>
                                <w:ilvl w:val="1"/>
                                <w:numId w:val="125"/>
                              </w:numPr>
                              <w:spacing w:after="80"/>
                              <w:contextualSpacing w:val="0"/>
                              <w:rPr>
                                <w:rFonts w:cs="Calibri"/>
                                <w:szCs w:val="22"/>
                              </w:rPr>
                            </w:pPr>
                            <w:r w:rsidRPr="007771B2">
                              <w:rPr>
                                <w:rFonts w:cs="Calibri"/>
                                <w:szCs w:val="22"/>
                              </w:rPr>
                              <w:t>Both donors and recipients should be counselled before providing consent to disclose their identity. Counselling should address:</w:t>
                            </w:r>
                          </w:p>
                          <w:p w14:paraId="7C5941EB" w14:textId="77777777" w:rsidR="007771B2" w:rsidRPr="007771B2" w:rsidRDefault="007771B2" w:rsidP="00C3783C">
                            <w:pPr>
                              <w:pStyle w:val="FootnoteText1"/>
                              <w:numPr>
                                <w:ilvl w:val="2"/>
                                <w:numId w:val="125"/>
                              </w:numPr>
                              <w:spacing w:after="80"/>
                              <w:rPr>
                                <w:rFonts w:cs="Calibri"/>
                                <w:sz w:val="22"/>
                                <w:szCs w:val="22"/>
                              </w:rPr>
                            </w:pPr>
                            <w:r w:rsidRPr="007771B2">
                              <w:rPr>
                                <w:rFonts w:cs="Calibri"/>
                                <w:sz w:val="22"/>
                                <w:szCs w:val="22"/>
                              </w:rPr>
                              <w:t>Obligations to respect the privacy of the other party;</w:t>
                            </w:r>
                          </w:p>
                          <w:p w14:paraId="0742E1B1" w14:textId="77777777" w:rsidR="007771B2" w:rsidRPr="007771B2" w:rsidRDefault="007771B2" w:rsidP="00C3783C">
                            <w:pPr>
                              <w:pStyle w:val="FootnoteText1"/>
                              <w:numPr>
                                <w:ilvl w:val="2"/>
                                <w:numId w:val="125"/>
                              </w:numPr>
                              <w:spacing w:after="80"/>
                              <w:rPr>
                                <w:rFonts w:cs="Calibri"/>
                                <w:sz w:val="22"/>
                                <w:szCs w:val="22"/>
                              </w:rPr>
                            </w:pPr>
                            <w:r w:rsidRPr="007771B2">
                              <w:rPr>
                                <w:rFonts w:cs="Calibri"/>
                                <w:sz w:val="22"/>
                                <w:szCs w:val="22"/>
                              </w:rPr>
                              <w:t xml:space="preserve">Risks related to loss of anonymity including, for the recipient, the risk of negatively influencing future decision-making by the donor if a second or subsequent donation is required; </w:t>
                            </w:r>
                          </w:p>
                          <w:p w14:paraId="2BD8E698" w14:textId="77777777" w:rsidR="007771B2" w:rsidRPr="007771B2" w:rsidRDefault="007771B2" w:rsidP="00C3783C">
                            <w:pPr>
                              <w:pStyle w:val="ListParagraph"/>
                              <w:numPr>
                                <w:ilvl w:val="2"/>
                                <w:numId w:val="125"/>
                              </w:numPr>
                              <w:spacing w:after="80"/>
                              <w:contextualSpacing w:val="0"/>
                              <w:rPr>
                                <w:rFonts w:cs="Calibri"/>
                                <w:szCs w:val="22"/>
                              </w:rPr>
                            </w:pPr>
                            <w:r w:rsidRPr="007771B2">
                              <w:rPr>
                                <w:rFonts w:cs="Calibri"/>
                                <w:szCs w:val="22"/>
                              </w:rPr>
                              <w:t>Expectations regarding the potential experience and outcomes of identity disclosure, include the possibility that the other party will not choose to disclose their identity, and that direct contact, if established may not result in a positive or ongoing relationship.</w:t>
                            </w:r>
                          </w:p>
                          <w:p w14:paraId="3B131DE6" w14:textId="77777777" w:rsidR="007771B2" w:rsidRPr="007771B2" w:rsidRDefault="007771B2" w:rsidP="00C3783C">
                            <w:pPr>
                              <w:pStyle w:val="ListParagraph"/>
                              <w:numPr>
                                <w:ilvl w:val="2"/>
                                <w:numId w:val="125"/>
                              </w:numPr>
                              <w:spacing w:after="80"/>
                              <w:contextualSpacing w:val="0"/>
                              <w:rPr>
                                <w:rFonts w:cs="Calibri"/>
                                <w:szCs w:val="22"/>
                              </w:rPr>
                            </w:pPr>
                            <w:r w:rsidRPr="007771B2">
                              <w:rPr>
                                <w:rFonts w:cs="Calibri"/>
                                <w:szCs w:val="22"/>
                              </w:rPr>
                              <w:t>Contact should not be facilitated if the recipient is currently seeking another HSC transplant.</w:t>
                            </w:r>
                          </w:p>
                          <w:p w14:paraId="676EE1BC"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color w:val="000000" w:themeColor="text1"/>
                                <w:szCs w:val="22"/>
                              </w:rPr>
                              <w:t xml:space="preserve">If </w:t>
                            </w:r>
                            <w:r w:rsidRPr="007771B2">
                              <w:rPr>
                                <w:rFonts w:cs="Calibri"/>
                                <w:szCs w:val="22"/>
                              </w:rPr>
                              <w:t xml:space="preserve">non-directed living organ or tissue donors or deceased donor families and the relevant transplant recipients mutually agree to waive anonymity, both parties should be encouraged to consider the risks and potential benefits of making contact, and to implement strategies that may be helpful in minimising risks, e.g., mediated meetings and use of counsellors. </w:t>
                            </w:r>
                          </w:p>
                          <w:p w14:paraId="23D6D9B1" w14:textId="77777777" w:rsidR="007771B2" w:rsidRPr="00DE3BBB" w:rsidRDefault="007771B2" w:rsidP="00C3783C">
                            <w:pPr>
                              <w:pStyle w:val="ListParagraph"/>
                              <w:numPr>
                                <w:ilvl w:val="0"/>
                                <w:numId w:val="125"/>
                              </w:numPr>
                              <w:spacing w:after="80"/>
                              <w:rPr>
                                <w:rFonts w:cs="Calibri"/>
                                <w:szCs w:val="22"/>
                              </w:rPr>
                            </w:pPr>
                            <w:r w:rsidRPr="007771B2">
                              <w:rPr>
                                <w:rFonts w:cs="Calibri"/>
                                <w:szCs w:val="22"/>
                              </w:rPr>
                              <w:t>If the transplant recipient is a child, waiving anonymity should not be permitted until the child is capable of making a decision on their own behalf regarding waiver of anonymity.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65B051" id="Text Box 1901585436" o:spid="_x0000_s1034" type="#_x0000_t202" alt="P1976TB7#y1" style="position:absolute;margin-left:0;margin-top:0;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" filled="f" strokecolor="black [3213]" strokeweight="1.5pt">
                <v:textbox style="mso-fit-shape-to-text:t">
                  <w:txbxContent>
                    <w:p w14:paraId="487D23FE" w14:textId="29839B85" w:rsidR="007771B2" w:rsidRDefault="007771B2" w:rsidP="00271073">
                      <w:pPr>
                        <w:spacing w:after="80"/>
                        <w:rPr>
                          <w:rFonts w:ascii="Calibri" w:hAnsi="Calibri" w:cs="Calibri"/>
                          <w:b/>
                          <w:bCs/>
                          <w:sz w:val="22"/>
                          <w:szCs w:val="22"/>
                        </w:rPr>
                      </w:pPr>
                      <w:r w:rsidRPr="00863834">
                        <w:rPr>
                          <w:rFonts w:ascii="Calibri" w:hAnsi="Calibri" w:cs="Calibri"/>
                          <w:b/>
                          <w:bCs/>
                          <w:sz w:val="22"/>
                          <w:szCs w:val="22"/>
                        </w:rPr>
                        <w:t>Box 7.</w:t>
                      </w:r>
                      <w:r w:rsidR="00863834" w:rsidRPr="00863834">
                        <w:rPr>
                          <w:rFonts w:ascii="Calibri" w:hAnsi="Calibri" w:cs="Calibri"/>
                          <w:b/>
                          <w:bCs/>
                          <w:sz w:val="22"/>
                          <w:szCs w:val="22"/>
                        </w:rPr>
                        <w:t>2</w:t>
                      </w:r>
                      <w:r w:rsidRPr="00863834">
                        <w:rPr>
                          <w:rFonts w:ascii="Calibri" w:hAnsi="Calibri" w:cs="Calibri"/>
                          <w:b/>
                          <w:bCs/>
                          <w:sz w:val="22"/>
                          <w:szCs w:val="22"/>
                        </w:rPr>
                        <w:t xml:space="preserve"> Summary</w:t>
                      </w:r>
                      <w:r w:rsidRPr="007771B2">
                        <w:rPr>
                          <w:rFonts w:ascii="Calibri" w:hAnsi="Calibri" w:cs="Calibri"/>
                          <w:b/>
                          <w:bCs/>
                          <w:sz w:val="22"/>
                          <w:szCs w:val="22"/>
                        </w:rPr>
                        <w:t xml:space="preserve"> of ethical recommendations regarding anonymity in donation</w:t>
                      </w:r>
                    </w:p>
                    <w:p w14:paraId="03DAAD54"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szCs w:val="22"/>
                        </w:rPr>
                        <w:t>Anonymity in non-directed donation should be routinely protected to ensure the privacy rights of donors, donor families and transplant recipients are respected.</w:t>
                      </w:r>
                    </w:p>
                    <w:p w14:paraId="77383220"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szCs w:val="22"/>
                        </w:rPr>
                        <w:t>Prospective non-directed living donors, transplant recipients and deceased donor families should be informed of the requirement for anonymity in the donation relationship, as well as</w:t>
                      </w:r>
                    </w:p>
                    <w:p w14:paraId="41E7E1D2"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the potential benefits and risks of loss of anonymity.</w:t>
                      </w:r>
                    </w:p>
                    <w:p w14:paraId="77CF1A37"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strategies to minimise risks of privacy breaches.</w:t>
                      </w:r>
                    </w:p>
                    <w:p w14:paraId="5F2DA385"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obligations to respect the privacy of others.</w:t>
                      </w:r>
                    </w:p>
                    <w:p w14:paraId="74E702C0"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 xml:space="preserve">legal barriers to disclosure of private or identifiable information about donor or transplant recipients by </w:t>
                      </w:r>
                      <w:r w:rsidRPr="007771B2">
                        <w:rPr>
                          <w:rFonts w:cs="Calibri"/>
                          <w:sz w:val="21"/>
                          <w:szCs w:val="21"/>
                        </w:rPr>
                        <w:t>health professionals and others involved in donation and transplantation activities.</w:t>
                      </w:r>
                    </w:p>
                    <w:p w14:paraId="5D616CFE" w14:textId="77777777" w:rsidR="007771B2" w:rsidRPr="007771B2" w:rsidRDefault="007771B2" w:rsidP="00C3783C">
                      <w:pPr>
                        <w:pStyle w:val="ListParagraph"/>
                        <w:numPr>
                          <w:ilvl w:val="1"/>
                          <w:numId w:val="125"/>
                        </w:numPr>
                        <w:spacing w:after="80"/>
                        <w:contextualSpacing w:val="0"/>
                        <w:rPr>
                          <w:rFonts w:cs="Calibri"/>
                        </w:rPr>
                      </w:pPr>
                      <w:r w:rsidRPr="007771B2">
                        <w:rPr>
                          <w:rFonts w:cs="Calibri"/>
                          <w:szCs w:val="22"/>
                        </w:rPr>
                        <w:t>options for anonymous communication between donors, donor families and recipients where relevant.</w:t>
                      </w:r>
                    </w:p>
                    <w:p w14:paraId="7D9F462E"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color w:val="000000" w:themeColor="text1"/>
                          <w:szCs w:val="22"/>
                        </w:rPr>
                        <w:t>If further information is desired by a donor, donor family or recipient about another party involved in a non-directed donor transplant, this should only be disclosed in accordance with relevant legislation or policies relating to privacy protections, including anonymity requirements.</w:t>
                      </w:r>
                    </w:p>
                    <w:p w14:paraId="625440DB"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szCs w:val="22"/>
                        </w:rPr>
                        <w:t xml:space="preserve">In the case of non-directed HSC donation, both donors and transplant recipients may be able to provide consent to disclosure of their identity to the other party, allowing health professionals to disclose this information on request if both parties consent to waive anonymity. </w:t>
                      </w:r>
                    </w:p>
                    <w:p w14:paraId="5548EBFF"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szCs w:val="22"/>
                        </w:rPr>
                        <w:t>The following conditions for facilitating contact between donors and recipients where this is legally possible are recommended:</w:t>
                      </w:r>
                    </w:p>
                    <w:p w14:paraId="699278B1" w14:textId="77777777" w:rsidR="007771B2" w:rsidRPr="007771B2" w:rsidRDefault="007771B2" w:rsidP="00C3783C">
                      <w:pPr>
                        <w:pStyle w:val="ListParagraph"/>
                        <w:numPr>
                          <w:ilvl w:val="1"/>
                          <w:numId w:val="125"/>
                        </w:numPr>
                        <w:spacing w:after="80"/>
                        <w:contextualSpacing w:val="0"/>
                        <w:rPr>
                          <w:rFonts w:cs="Calibri"/>
                          <w:szCs w:val="22"/>
                        </w:rPr>
                      </w:pPr>
                      <w:r w:rsidRPr="007771B2">
                        <w:rPr>
                          <w:rFonts w:cs="Calibri"/>
                          <w:szCs w:val="22"/>
                        </w:rPr>
                        <w:t xml:space="preserve">Contact should only be facilitated if both the recipient and the donor independently request direct contact. </w:t>
                      </w:r>
                    </w:p>
                    <w:p w14:paraId="332CFD16" w14:textId="77777777" w:rsidR="007771B2" w:rsidRPr="007771B2" w:rsidRDefault="007771B2" w:rsidP="00C3783C">
                      <w:pPr>
                        <w:pStyle w:val="ListParagraph"/>
                        <w:numPr>
                          <w:ilvl w:val="1"/>
                          <w:numId w:val="125"/>
                        </w:numPr>
                        <w:spacing w:after="80"/>
                        <w:contextualSpacing w:val="0"/>
                        <w:rPr>
                          <w:rFonts w:cs="Calibri"/>
                          <w:szCs w:val="22"/>
                        </w:rPr>
                      </w:pPr>
                      <w:r w:rsidRPr="007771B2">
                        <w:rPr>
                          <w:rFonts w:cs="Calibri"/>
                          <w:szCs w:val="22"/>
                        </w:rPr>
                        <w:t>A minimum waiting period should elapse following donation and transplantation before identifying information is shared between the donor and recipient, to allow time for reflection on experiences and decisions to waive anonymity.</w:t>
                      </w:r>
                    </w:p>
                    <w:p w14:paraId="5FF60636" w14:textId="77777777" w:rsidR="007771B2" w:rsidRPr="007771B2" w:rsidRDefault="007771B2" w:rsidP="00C3783C">
                      <w:pPr>
                        <w:pStyle w:val="ListParagraph"/>
                        <w:numPr>
                          <w:ilvl w:val="1"/>
                          <w:numId w:val="125"/>
                        </w:numPr>
                        <w:spacing w:after="80"/>
                        <w:contextualSpacing w:val="0"/>
                        <w:rPr>
                          <w:rFonts w:cs="Calibri"/>
                          <w:szCs w:val="22"/>
                        </w:rPr>
                      </w:pPr>
                      <w:r w:rsidRPr="007771B2">
                        <w:rPr>
                          <w:rFonts w:cs="Calibri"/>
                          <w:szCs w:val="22"/>
                        </w:rPr>
                        <w:t>Both donors and recipients should be counselled before providing consent to disclose their identity. Counselling should address:</w:t>
                      </w:r>
                    </w:p>
                    <w:p w14:paraId="7C5941EB" w14:textId="77777777" w:rsidR="007771B2" w:rsidRPr="007771B2" w:rsidRDefault="007771B2" w:rsidP="00C3783C">
                      <w:pPr>
                        <w:pStyle w:val="FootnoteText1"/>
                        <w:numPr>
                          <w:ilvl w:val="2"/>
                          <w:numId w:val="125"/>
                        </w:numPr>
                        <w:spacing w:after="80"/>
                        <w:rPr>
                          <w:rFonts w:cs="Calibri"/>
                          <w:sz w:val="22"/>
                          <w:szCs w:val="22"/>
                        </w:rPr>
                      </w:pPr>
                      <w:r w:rsidRPr="007771B2">
                        <w:rPr>
                          <w:rFonts w:cs="Calibri"/>
                          <w:sz w:val="22"/>
                          <w:szCs w:val="22"/>
                        </w:rPr>
                        <w:t>Obligations to respect the privacy of the other party;</w:t>
                      </w:r>
                    </w:p>
                    <w:p w14:paraId="0742E1B1" w14:textId="77777777" w:rsidR="007771B2" w:rsidRPr="007771B2" w:rsidRDefault="007771B2" w:rsidP="00C3783C">
                      <w:pPr>
                        <w:pStyle w:val="FootnoteText1"/>
                        <w:numPr>
                          <w:ilvl w:val="2"/>
                          <w:numId w:val="125"/>
                        </w:numPr>
                        <w:spacing w:after="80"/>
                        <w:rPr>
                          <w:rFonts w:cs="Calibri"/>
                          <w:sz w:val="22"/>
                          <w:szCs w:val="22"/>
                        </w:rPr>
                      </w:pPr>
                      <w:r w:rsidRPr="007771B2">
                        <w:rPr>
                          <w:rFonts w:cs="Calibri"/>
                          <w:sz w:val="22"/>
                          <w:szCs w:val="22"/>
                        </w:rPr>
                        <w:t xml:space="preserve">Risks related to loss of anonymity including, for the recipient, the risk of negatively influencing future decision-making by the donor if a second or subsequent donation is required; </w:t>
                      </w:r>
                    </w:p>
                    <w:p w14:paraId="2BD8E698" w14:textId="77777777" w:rsidR="007771B2" w:rsidRPr="007771B2" w:rsidRDefault="007771B2" w:rsidP="00C3783C">
                      <w:pPr>
                        <w:pStyle w:val="ListParagraph"/>
                        <w:numPr>
                          <w:ilvl w:val="2"/>
                          <w:numId w:val="125"/>
                        </w:numPr>
                        <w:spacing w:after="80"/>
                        <w:contextualSpacing w:val="0"/>
                        <w:rPr>
                          <w:rFonts w:cs="Calibri"/>
                          <w:szCs w:val="22"/>
                        </w:rPr>
                      </w:pPr>
                      <w:r w:rsidRPr="007771B2">
                        <w:rPr>
                          <w:rFonts w:cs="Calibri"/>
                          <w:szCs w:val="22"/>
                        </w:rPr>
                        <w:t>Expectations regarding the potential experience and outcomes of identity disclosure, include the possibility that the other party will not choose to disclose their identity, and that direct contact, if established may not result in a positive or ongoing relationship.</w:t>
                      </w:r>
                    </w:p>
                    <w:p w14:paraId="3B131DE6" w14:textId="77777777" w:rsidR="007771B2" w:rsidRPr="007771B2" w:rsidRDefault="007771B2" w:rsidP="00C3783C">
                      <w:pPr>
                        <w:pStyle w:val="ListParagraph"/>
                        <w:numPr>
                          <w:ilvl w:val="2"/>
                          <w:numId w:val="125"/>
                        </w:numPr>
                        <w:spacing w:after="80"/>
                        <w:contextualSpacing w:val="0"/>
                        <w:rPr>
                          <w:rFonts w:cs="Calibri"/>
                          <w:szCs w:val="22"/>
                        </w:rPr>
                      </w:pPr>
                      <w:r w:rsidRPr="007771B2">
                        <w:rPr>
                          <w:rFonts w:cs="Calibri"/>
                          <w:szCs w:val="22"/>
                        </w:rPr>
                        <w:t>Contact should not be facilitated if the recipient is currently seeking another HSC transplant.</w:t>
                      </w:r>
                    </w:p>
                    <w:p w14:paraId="676EE1BC" w14:textId="77777777" w:rsidR="007771B2" w:rsidRPr="007771B2" w:rsidRDefault="007771B2" w:rsidP="00C3783C">
                      <w:pPr>
                        <w:pStyle w:val="ListParagraph"/>
                        <w:numPr>
                          <w:ilvl w:val="0"/>
                          <w:numId w:val="125"/>
                        </w:numPr>
                        <w:spacing w:after="80"/>
                        <w:contextualSpacing w:val="0"/>
                        <w:rPr>
                          <w:rFonts w:cs="Calibri"/>
                        </w:rPr>
                      </w:pPr>
                      <w:r w:rsidRPr="007771B2">
                        <w:rPr>
                          <w:rFonts w:cs="Calibri"/>
                          <w:color w:val="000000" w:themeColor="text1"/>
                          <w:szCs w:val="22"/>
                        </w:rPr>
                        <w:t xml:space="preserve">If </w:t>
                      </w:r>
                      <w:r w:rsidRPr="007771B2">
                        <w:rPr>
                          <w:rFonts w:cs="Calibri"/>
                          <w:szCs w:val="22"/>
                        </w:rPr>
                        <w:t xml:space="preserve">non-directed living organ or tissue donors or deceased donor families and the relevant transplant recipients mutually agree to waive anonymity, both parties should be encouraged to consider the risks and potential benefits of making contact, and to implement strategies that may be helpful in minimising risks, e.g., mediated meetings and use of counsellors. </w:t>
                      </w:r>
                    </w:p>
                    <w:p w14:paraId="23D6D9B1" w14:textId="77777777" w:rsidR="007771B2" w:rsidRPr="00DE3BBB" w:rsidRDefault="007771B2" w:rsidP="00C3783C">
                      <w:pPr>
                        <w:pStyle w:val="ListParagraph"/>
                        <w:numPr>
                          <w:ilvl w:val="0"/>
                          <w:numId w:val="125"/>
                        </w:numPr>
                        <w:spacing w:after="80"/>
                        <w:rPr>
                          <w:rFonts w:cs="Calibri"/>
                          <w:szCs w:val="22"/>
                        </w:rPr>
                      </w:pPr>
                      <w:r w:rsidRPr="007771B2">
                        <w:rPr>
                          <w:rFonts w:cs="Calibri"/>
                          <w:szCs w:val="22"/>
                        </w:rPr>
                        <w:t>If the transplant recipient is a child, waiving anonymity should not be permitted until the child is capable of making a decision on their own behalf regarding waiver of anonymity.</w:t>
                      </w:r>
                    </w:p>
                  </w:txbxContent>
                </v:textbox>
                <w10:wrap type="square"/>
              </v:shape>
            </w:pict>
          </mc:Fallback>
        </mc:AlternateContent>
      </w:r>
      <w:bookmarkStart w:id="3202" w:name="_Toc73130007"/>
      <w:bookmarkStart w:id="3203" w:name="_Allocation_of_HIV"/>
      <w:bookmarkEnd w:id="3202"/>
      <w:bookmarkEnd w:id="3203"/>
      <w:r w:rsidRPr="006720E4">
        <w:rPr>
          <w:rFonts w:ascii="Calibri" w:hAnsi="Calibri" w:cs="Calibri"/>
        </w:rPr>
        <w:br w:type="page"/>
      </w:r>
    </w:p>
    <w:p w14:paraId="5AB107A5" w14:textId="45DB725E" w:rsidR="006C6EBA" w:rsidRPr="005525CE" w:rsidRDefault="006C6EBA" w:rsidP="005525CE">
      <w:pPr>
        <w:pStyle w:val="Heading2"/>
      </w:pPr>
      <w:bookmarkStart w:id="3204" w:name="_Data_collection_and_1"/>
      <w:bookmarkStart w:id="3205" w:name="_Toc135131464"/>
      <w:bookmarkStart w:id="3206" w:name="_Toc79330870"/>
      <w:bookmarkStart w:id="3207" w:name="_Toc79331250"/>
      <w:bookmarkStart w:id="3208" w:name="_Toc79406415"/>
      <w:bookmarkStart w:id="3209" w:name="_Toc82773638"/>
      <w:bookmarkStart w:id="3210" w:name="_Toc82773991"/>
      <w:bookmarkStart w:id="3211" w:name="_Toc128314219"/>
      <w:bookmarkEnd w:id="3204"/>
      <w:r w:rsidRPr="005525CE">
        <w:lastRenderedPageBreak/>
        <w:t>Data collection and reporting in donation and transplantation</w:t>
      </w:r>
      <w:bookmarkEnd w:id="3205"/>
      <w:r w:rsidRPr="005525CE">
        <w:t xml:space="preserve"> </w:t>
      </w:r>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206"/>
      <w:bookmarkEnd w:id="3207"/>
      <w:bookmarkEnd w:id="3208"/>
      <w:bookmarkEnd w:id="3209"/>
      <w:bookmarkEnd w:id="3210"/>
      <w:bookmarkEnd w:id="3211"/>
    </w:p>
    <w:p w14:paraId="547F3A21" w14:textId="533C2893"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Data related to donation and transplantation are essential in identifying opportunities to improve the care of donors and recipients, the donation and transplantation process, and outcomes for recipients and living donors</w:t>
      </w:r>
      <w:r w:rsidR="00182E15">
        <w:rPr>
          <w:rFonts w:ascii="Calibri" w:hAnsi="Calibri" w:cs="Calibri"/>
          <w:sz w:val="22"/>
          <w:szCs w:val="22"/>
          <w:lang w:eastAsia="en-AU"/>
        </w:rPr>
        <w:t xml:space="preserve"> (see </w:t>
      </w:r>
      <w:hyperlink w:anchor="_Monitoring_and_evaluation" w:history="1">
        <w:r w:rsidR="00182E15" w:rsidRPr="00182E15">
          <w:rPr>
            <w:rStyle w:val="Hyperlink"/>
            <w:rFonts w:ascii="Calibri" w:hAnsi="Calibri" w:cs="Calibri"/>
            <w:sz w:val="22"/>
            <w:szCs w:val="22"/>
            <w:lang w:eastAsia="en-AU"/>
          </w:rPr>
          <w:t>Chapter 2.9</w:t>
        </w:r>
      </w:hyperlink>
      <w:r w:rsidR="00182E15">
        <w:rPr>
          <w:rFonts w:ascii="Calibri" w:hAnsi="Calibri" w:cs="Calibri"/>
          <w:sz w:val="22"/>
          <w:szCs w:val="22"/>
          <w:lang w:eastAsia="en-AU"/>
        </w:rPr>
        <w:t>)</w:t>
      </w:r>
      <w:r w:rsidRPr="006720E4">
        <w:rPr>
          <w:rFonts w:ascii="Calibri" w:hAnsi="Calibri" w:cs="Calibri"/>
          <w:sz w:val="22"/>
          <w:szCs w:val="22"/>
          <w:lang w:eastAsia="en-AU"/>
        </w:rPr>
        <w:t xml:space="preserve">. Data are also essential for informing and evaluating policies and practices, and to support transparency and accountability. </w:t>
      </w:r>
    </w:p>
    <w:p w14:paraId="2FE5E120" w14:textId="3660F2D6"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 xml:space="preserve">In addition to personal data contained in medical records, which health authorities are permitted to audit for quality and safety purposes, or use in public health research in specific circumstances, data pertaining to donation and transplantation are also collected and stored in registries.  </w:t>
      </w:r>
    </w:p>
    <w:p w14:paraId="24ACC462" w14:textId="1108BA86" w:rsidR="00182E15"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There are a range of different registries that may collect important data about donation and transplantation including patient or clinical registries</w:t>
      </w:r>
      <w:r w:rsidR="00182E15">
        <w:rPr>
          <w:rFonts w:ascii="Calibri" w:hAnsi="Calibri" w:cs="Calibri"/>
          <w:sz w:val="22"/>
          <w:szCs w:val="22"/>
          <w:lang w:eastAsia="en-AU"/>
        </w:rPr>
        <w:t>,</w:t>
      </w:r>
      <w:r w:rsidRPr="006720E4">
        <w:rPr>
          <w:rFonts w:ascii="Calibri" w:hAnsi="Calibri" w:cs="Calibri"/>
          <w:sz w:val="22"/>
          <w:szCs w:val="22"/>
          <w:lang w:eastAsia="en-AU"/>
        </w:rPr>
        <w:fldChar w:fldCharType="begin" w:fldLock="1"/>
      </w:r>
      <w:r w:rsidR="00EB088B">
        <w:rPr>
          <w:rFonts w:ascii="Calibri" w:hAnsi="Calibri" w:cs="Calibri"/>
          <w:sz w:val="22"/>
          <w:szCs w:val="22"/>
          <w:lang w:eastAsia="en-AU"/>
        </w:rPr>
        <w:instrText>ADDIN CSL_CITATION {"citationItems":[{"id":"ITEM-1","itemData":{"DOI":"10.1371/journal.pone.0183667","ISBN":"1111111111","ISSN":"19326203","PMID":"28886607","abstract":"Background: Clinical quality registries (CQRs) are playing an increasingly important role in improving health outcomes and reducing health care costs. CQRs are established with the purpose of monitoring quality of care, providing feedback, benchmarking performance, describing pattern of treatment, reducing variation and as a tool for conducting research. Objectives: To synthesise the impact of clinical quality registries (CQRs) as an ‘intervention’ on (I) mortality/survival; (II) measures of outcome that reflect a process or outcome of health care; (III) health care utilisation; and (IV) healthcare-related costs. Methods: The following electronic databases were searched: MEDLINE, EMBASE, CENTRAL, CINAHL and Google Scholar. In addition, a review of the grey literature and a reference check of citations and reference lists within articles was undertaken to identify relevant studies in English covering the period January 1980 to December 2016. The PRISMA-P methodology, checklist and standard search strategy using pre-defined inclusion and exclusion criteria and structured data extraction tools were used. Data on study design and methods, participant characteristics attributes of included registries and impact of the registry on outcome measures and/or processes of care were extracted. Results: We identified 30102 abstracts from which 75 full text articles were assessed and finally 17 articles were selected for synthesis. Out of 17 studies, six focused on diabetes care, two on cardiac diseases, two on lung diseases and others on organ transplantations, rheumatoid arthritis, ulcer healing, surgical complications and kidney disease. The majority of studies were “before after” design (#11) followed by cohort design (#2), randomised controlled trial (#2), experimental non randomised study and one cross sectional comparison. The measures of impact of registries were multifarious and included change in processes of care, quality of care, treatment outcomes, adherence to guidelines and survival. Sixteen of 17 studies demonstrated positive findings in their outcomes after implementation of the registry. Conclusions: Despite the large number of published articles using data derived from CQRs, few have rigorously evaluated the impact of the registry as an intervention on improving health outcomes. Those that have evaluated this impact have mostly found a positive impact on healthcare processes and outcomes. Trial registration: PROSPERO CRD42015017319.","author":[{"dropping-particle":"","family":"Hoque","given":"Dewan Md Emdadul","non-dropping-particle":"","parse-names":false,"suffix":""},{"dropping-particle":"","family":"Kumari","given":"Varuni","non-dropping-particle":"","parse-names":false,"suffix":""},{"dropping-particle":"","family":"Hoque","given":"Masuma","non-dropping-particle":"","parse-names":false,"suffix":""},{"dropping-particle":"","family":"Ruseckaite","given":"Rasa","non-dropping-particle":"","parse-names":false,"suffix":""},{"dropping-particle":"","family":"Romero","given":"Lorena","non-dropping-particle":"","parse-names":false,"suffix":""},{"dropping-particle":"","family":"Evans","given":"Sue M.","non-dropping-particle":"","parse-names":false,"suffix":""}],"container-title":"PLoS ONE","id":"ITEM-1","issue":"9","issued":{"date-parts":[["2017"]]},"page":"1-20","title":"Impact of clinical registries on quality of patient care and clinical outcomes: A systematic review","type":"article-journal","volume":"12"},"uris":["http://www.mendeley.com/documents/?uuid=09ea2a05-c243-42dd-bf14-7981b1bb0c6d"]}],"mendeley":{"formattedCitation":"(119)","plainTextFormattedCitation":"(119)","previouslyFormattedCitation":"(119)"},"properties":{"noteIndex":0},"schema":"https://github.com/citation-style-language/schema/raw/master/csl-citation.json"}</w:instrText>
      </w:r>
      <w:r w:rsidRPr="006720E4">
        <w:rPr>
          <w:rFonts w:ascii="Calibri" w:hAnsi="Calibri" w:cs="Calibri"/>
          <w:sz w:val="22"/>
          <w:szCs w:val="22"/>
          <w:lang w:eastAsia="en-AU"/>
        </w:rPr>
        <w:fldChar w:fldCharType="separate"/>
      </w:r>
      <w:r w:rsidR="00BA3D76" w:rsidRPr="00BA3D76">
        <w:rPr>
          <w:rFonts w:ascii="Calibri" w:hAnsi="Calibri" w:cs="Calibri"/>
          <w:noProof/>
          <w:sz w:val="22"/>
          <w:szCs w:val="22"/>
          <w:lang w:eastAsia="en-AU"/>
        </w:rPr>
        <w:t>(119)</w:t>
      </w:r>
      <w:r w:rsidRPr="006720E4">
        <w:rPr>
          <w:rFonts w:ascii="Calibri" w:hAnsi="Calibri" w:cs="Calibri"/>
          <w:sz w:val="22"/>
          <w:szCs w:val="22"/>
          <w:lang w:eastAsia="en-AU"/>
        </w:rPr>
        <w:fldChar w:fldCharType="end"/>
      </w:r>
      <w:r w:rsidRPr="006720E4">
        <w:rPr>
          <w:rFonts w:ascii="Calibri" w:hAnsi="Calibri" w:cs="Calibri"/>
          <w:sz w:val="22"/>
          <w:szCs w:val="22"/>
          <w:lang w:eastAsia="en-AU"/>
        </w:rPr>
        <w:t xml:space="preserve"> e.g.</w:t>
      </w:r>
      <w:r w:rsidR="00182E15">
        <w:rPr>
          <w:rFonts w:ascii="Calibri" w:hAnsi="Calibri" w:cs="Calibri"/>
          <w:sz w:val="22"/>
          <w:szCs w:val="22"/>
          <w:lang w:eastAsia="en-AU"/>
        </w:rPr>
        <w:t>,</w:t>
      </w:r>
      <w:r w:rsidRPr="006720E4">
        <w:rPr>
          <w:rFonts w:ascii="Calibri" w:hAnsi="Calibri" w:cs="Calibri"/>
          <w:sz w:val="22"/>
          <w:szCs w:val="22"/>
          <w:lang w:eastAsia="en-AU"/>
        </w:rPr>
        <w:t xml:space="preserve"> ANZDATA, ACGR, and transplant waiting lists and donor registries such as the AODR and the </w:t>
      </w:r>
      <w:r w:rsidRPr="005E037B">
        <w:rPr>
          <w:rFonts w:ascii="Calibri" w:hAnsi="Calibri" w:cs="Calibri"/>
          <w:sz w:val="22"/>
          <w:szCs w:val="22"/>
          <w:lang w:eastAsia="en-AU"/>
        </w:rPr>
        <w:t xml:space="preserve">ABMDR (see </w:t>
      </w:r>
      <w:r w:rsidRPr="005E037B">
        <w:rPr>
          <w:rFonts w:ascii="Calibri" w:hAnsi="Calibri" w:cs="Calibri"/>
          <w:b/>
          <w:bCs/>
          <w:sz w:val="22"/>
          <w:szCs w:val="22"/>
          <w:lang w:eastAsia="en-AU"/>
        </w:rPr>
        <w:t>Table 7.2</w:t>
      </w:r>
      <w:r w:rsidRPr="005E037B">
        <w:rPr>
          <w:rFonts w:ascii="Calibri" w:hAnsi="Calibri" w:cs="Calibri"/>
          <w:sz w:val="22"/>
          <w:szCs w:val="22"/>
          <w:lang w:eastAsia="en-AU"/>
        </w:rPr>
        <w:t>).</w:t>
      </w:r>
      <w:r w:rsidRPr="006720E4">
        <w:rPr>
          <w:rFonts w:ascii="Calibri" w:hAnsi="Calibri" w:cs="Calibri"/>
          <w:sz w:val="22"/>
          <w:szCs w:val="22"/>
          <w:lang w:eastAsia="en-AU"/>
        </w:rPr>
        <w:t xml:space="preserve"> </w:t>
      </w:r>
    </w:p>
    <w:p w14:paraId="20FA5A00" w14:textId="4818CB52" w:rsidR="006C6EBA" w:rsidRPr="000E6063" w:rsidRDefault="006C6EBA" w:rsidP="00EA22AE">
      <w:pPr>
        <w:pStyle w:val="Guidelinesnormalparagraph"/>
        <w:rPr>
          <w:rFonts w:ascii="Calibri" w:hAnsi="Calibri" w:cs="Calibri"/>
          <w:kern w:val="0"/>
          <w:szCs w:val="22"/>
          <w:u w:color="0000FF"/>
          <w:lang w:val="en-GB"/>
        </w:rPr>
      </w:pPr>
      <w:r w:rsidRPr="006720E4">
        <w:rPr>
          <w:rFonts w:ascii="Calibri" w:hAnsi="Calibri" w:cs="Calibri"/>
          <w:szCs w:val="22"/>
          <w:lang w:eastAsia="en-AU"/>
        </w:rPr>
        <w:t>All registries are required to comply with the ethical and legal standards governing privacy of health information in Australia.</w:t>
      </w:r>
      <w:r w:rsidR="00182E15">
        <w:rPr>
          <w:rFonts w:ascii="Calibri" w:hAnsi="Calibri" w:cs="Calibri"/>
          <w:szCs w:val="22"/>
          <w:lang w:eastAsia="en-AU"/>
        </w:rPr>
        <w:t xml:space="preserve"> </w:t>
      </w:r>
      <w:r w:rsidR="00182E15" w:rsidRPr="007E1B57">
        <w:rPr>
          <w:rFonts w:ascii="Calibri" w:hAnsi="Calibri" w:cs="Calibri"/>
          <w:kern w:val="0"/>
          <w:szCs w:val="22"/>
          <w:u w:color="0000FF"/>
          <w:lang w:val="en-GB"/>
        </w:rPr>
        <w:t>The collection, storage and use of data and information by donation and transplant registries should follow relevant legislation and guidance for good governance of registries (e.g.</w:t>
      </w:r>
      <w:r w:rsidR="00182E15">
        <w:rPr>
          <w:rFonts w:ascii="Calibri" w:hAnsi="Calibri" w:cs="Calibri"/>
          <w:kern w:val="0"/>
          <w:szCs w:val="22"/>
          <w:u w:color="0000FF"/>
          <w:lang w:val="en-GB"/>
        </w:rPr>
        <w:t>,</w:t>
      </w:r>
      <w:r w:rsidR="00182E15" w:rsidRPr="007E1B57">
        <w:rPr>
          <w:rFonts w:ascii="Calibri" w:hAnsi="Calibri" w:cs="Calibri"/>
          <w:kern w:val="0"/>
          <w:szCs w:val="22"/>
          <w:u w:color="0000FF"/>
          <w:lang w:val="en-GB"/>
        </w:rPr>
        <w:t xml:space="preserve"> the Commonwealth’s Clinical Quality Registry Strategy).</w:t>
      </w:r>
      <w:r w:rsidR="00182E15">
        <w:rPr>
          <w:rFonts w:ascii="Calibri" w:hAnsi="Calibri" w:cs="Calibri"/>
          <w:kern w:val="0"/>
          <w:szCs w:val="22"/>
          <w:u w:color="0000FF"/>
          <w:lang w:val="en-GB"/>
        </w:rPr>
        <w:fldChar w:fldCharType="begin" w:fldLock="1"/>
      </w:r>
      <w:r w:rsidR="00EB088B">
        <w:rPr>
          <w:rFonts w:ascii="Calibri" w:hAnsi="Calibri" w:cs="Calibri"/>
          <w:kern w:val="0"/>
          <w:szCs w:val="22"/>
          <w:u w:color="0000FF"/>
          <w:lang w:val="en-GB"/>
        </w:rPr>
        <w:instrText>ADDIN CSL_CITATION {"citationItems":[{"id":"ITEM-1","itemData":{"author":[{"dropping-particle":"","family":"Australian Government Department of Health","given":"","non-dropping-particle":"","parse-names":false,"suffix":""}],"id":"ITEM-1","issued":{"date-parts":[["2021"]]},"number-of-pages":"1-28","title":"National Clinical Quality Registry and Virtual Registry Strategy","type":"report"},"uris":["http://www.mendeley.com/documents/?uuid=eaf8afb0-4813-4f21-b1d9-9803a139bf89"]}],"mendeley":{"formattedCitation":"(120)","plainTextFormattedCitation":"(120)","previouslyFormattedCitation":"(120)"},"properties":{"noteIndex":0},"schema":"https://github.com/citation-style-language/schema/raw/master/csl-citation.json"}</w:instrText>
      </w:r>
      <w:r w:rsidR="00182E15">
        <w:rPr>
          <w:rFonts w:ascii="Calibri" w:hAnsi="Calibri" w:cs="Calibri"/>
          <w:kern w:val="0"/>
          <w:szCs w:val="22"/>
          <w:u w:color="0000FF"/>
          <w:lang w:val="en-GB"/>
        </w:rPr>
        <w:fldChar w:fldCharType="separate"/>
      </w:r>
      <w:r w:rsidR="00BA3D76" w:rsidRPr="00BA3D76">
        <w:rPr>
          <w:rFonts w:ascii="Calibri" w:hAnsi="Calibri" w:cs="Calibri"/>
          <w:noProof/>
          <w:kern w:val="0"/>
          <w:szCs w:val="22"/>
          <w:u w:color="0000FF"/>
          <w:lang w:val="en-GB"/>
        </w:rPr>
        <w:t>(120)</w:t>
      </w:r>
      <w:r w:rsidR="00182E15">
        <w:rPr>
          <w:rFonts w:ascii="Calibri" w:hAnsi="Calibri" w:cs="Calibri"/>
          <w:kern w:val="0"/>
          <w:szCs w:val="22"/>
          <w:u w:color="0000FF"/>
          <w:lang w:val="en-GB"/>
        </w:rPr>
        <w:fldChar w:fldCharType="end"/>
      </w:r>
    </w:p>
    <w:p w14:paraId="3F5B6F84" w14:textId="5CE3F13A"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Several ethical considerations may arise with regards to collection, storage and use of information (data) held by donation and transplant registries which are briefly outlined below.</w:t>
      </w:r>
    </w:p>
    <w:p w14:paraId="31D1F9AA" w14:textId="77777777" w:rsidR="006C6EBA" w:rsidRPr="006720E4" w:rsidRDefault="006C6EBA" w:rsidP="00EA22AE">
      <w:pPr>
        <w:spacing w:after="120"/>
        <w:rPr>
          <w:rFonts w:ascii="Calibri" w:hAnsi="Calibri" w:cs="Calibri"/>
          <w:sz w:val="22"/>
          <w:szCs w:val="22"/>
          <w:lang w:eastAsia="en-AU"/>
        </w:rPr>
      </w:pPr>
    </w:p>
    <w:tbl>
      <w:tblPr>
        <w:tblStyle w:val="TableGrid"/>
        <w:tblW w:w="0" w:type="auto"/>
        <w:tblLook w:val="04A0" w:firstRow="1" w:lastRow="0" w:firstColumn="1" w:lastColumn="0" w:noHBand="0" w:noVBand="1"/>
      </w:tblPr>
      <w:tblGrid>
        <w:gridCol w:w="9010"/>
      </w:tblGrid>
      <w:tr w:rsidR="006C6EBA" w:rsidRPr="006720E4" w14:paraId="0FBD8228" w14:textId="77777777">
        <w:tc>
          <w:tcPr>
            <w:tcW w:w="9010" w:type="dxa"/>
            <w:shd w:val="clear" w:color="auto" w:fill="FFF2CC" w:themeFill="accent4" w:themeFillTint="33"/>
          </w:tcPr>
          <w:p w14:paraId="5F63B903" w14:textId="2FAA1E21" w:rsidR="006C6EBA" w:rsidRPr="006720E4" w:rsidRDefault="006C6EBA" w:rsidP="00EA22AE">
            <w:pPr>
              <w:spacing w:after="120"/>
              <w:rPr>
                <w:rFonts w:ascii="Calibri" w:hAnsi="Calibri" w:cs="Calibri"/>
                <w:b/>
                <w:bCs/>
                <w:sz w:val="22"/>
                <w:szCs w:val="22"/>
                <w:lang w:eastAsia="en-AU"/>
              </w:rPr>
            </w:pPr>
            <w:r w:rsidRPr="006720E4">
              <w:rPr>
                <w:rFonts w:ascii="Calibri" w:hAnsi="Calibri" w:cs="Calibri"/>
                <w:b/>
                <w:bCs/>
                <w:sz w:val="22"/>
                <w:szCs w:val="22"/>
                <w:lang w:eastAsia="en-AU"/>
              </w:rPr>
              <w:t>Table 7.2 Examples of registries and other organized repositories of information about donation and transplantation</w:t>
            </w:r>
          </w:p>
        </w:tc>
      </w:tr>
      <w:tr w:rsidR="006C6EBA" w:rsidRPr="006720E4" w14:paraId="41C00847" w14:textId="77777777">
        <w:tc>
          <w:tcPr>
            <w:tcW w:w="9010" w:type="dxa"/>
            <w:shd w:val="clear" w:color="auto" w:fill="FFF2CC" w:themeFill="accent4" w:themeFillTint="33"/>
          </w:tcPr>
          <w:p w14:paraId="7436F8BE"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09" w:history="1">
              <w:r w:rsidR="006C6EBA" w:rsidRPr="006720E4">
                <w:rPr>
                  <w:rStyle w:val="Hyperlink"/>
                  <w:rFonts w:cs="Calibri"/>
                  <w:szCs w:val="22"/>
                </w:rPr>
                <w:t>Australasian Bone Marrow Transplant Recipient Registry</w:t>
              </w:r>
            </w:hyperlink>
            <w:r w:rsidR="006C6EBA" w:rsidRPr="006720E4">
              <w:rPr>
                <w:rFonts w:cs="Calibri"/>
                <w:color w:val="000000" w:themeColor="text1"/>
                <w:szCs w:val="22"/>
              </w:rPr>
              <w:t xml:space="preserve"> (ABMTRR)</w:t>
            </w:r>
          </w:p>
          <w:p w14:paraId="7BF18469"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0" w:history="1">
              <w:r w:rsidR="006C6EBA" w:rsidRPr="006720E4">
                <w:rPr>
                  <w:rStyle w:val="Hyperlink"/>
                  <w:rFonts w:cs="Calibri"/>
                  <w:szCs w:val="22"/>
                </w:rPr>
                <w:t>Australian Bone Marrow Donor Registry</w:t>
              </w:r>
            </w:hyperlink>
            <w:r w:rsidR="006C6EBA" w:rsidRPr="006720E4">
              <w:rPr>
                <w:rFonts w:cs="Calibri"/>
                <w:color w:val="000000" w:themeColor="text1"/>
                <w:szCs w:val="22"/>
              </w:rPr>
              <w:t xml:space="preserve"> (AMBDR)</w:t>
            </w:r>
          </w:p>
          <w:p w14:paraId="7B71A5DB"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1" w:history="1">
              <w:r w:rsidR="006C6EBA" w:rsidRPr="006720E4">
                <w:rPr>
                  <w:rStyle w:val="Hyperlink"/>
                  <w:rFonts w:cs="Calibri"/>
                  <w:szCs w:val="22"/>
                </w:rPr>
                <w:t>Australia and New Zealand Dialysis and Transplant Registry</w:t>
              </w:r>
            </w:hyperlink>
            <w:r w:rsidR="006C6EBA" w:rsidRPr="006720E4">
              <w:rPr>
                <w:rFonts w:cs="Calibri"/>
                <w:color w:val="000000" w:themeColor="text1"/>
                <w:szCs w:val="22"/>
              </w:rPr>
              <w:t xml:space="preserve"> (</w:t>
            </w:r>
            <w:hyperlink r:id="rId112" w:history="1">
              <w:r w:rsidR="006C6EBA" w:rsidRPr="006720E4">
                <w:rPr>
                  <w:rStyle w:val="Hyperlink"/>
                  <w:rFonts w:cs="Calibri"/>
                  <w:szCs w:val="22"/>
                </w:rPr>
                <w:t>ANZDATA</w:t>
              </w:r>
            </w:hyperlink>
            <w:r w:rsidR="006C6EBA" w:rsidRPr="006720E4">
              <w:rPr>
                <w:rFonts w:cs="Calibri"/>
                <w:color w:val="000000" w:themeColor="text1"/>
                <w:szCs w:val="22"/>
              </w:rPr>
              <w:t>)</w:t>
            </w:r>
          </w:p>
          <w:p w14:paraId="51F4AA2F"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3" w:history="1">
              <w:r w:rsidR="006C6EBA" w:rsidRPr="006720E4">
                <w:rPr>
                  <w:rStyle w:val="Hyperlink"/>
                  <w:rFonts w:cs="Calibri"/>
                  <w:szCs w:val="22"/>
                </w:rPr>
                <w:t>Australia and New Zealand Organ Donor Registry</w:t>
              </w:r>
            </w:hyperlink>
            <w:r w:rsidR="006C6EBA" w:rsidRPr="006720E4">
              <w:rPr>
                <w:rFonts w:cs="Calibri"/>
                <w:color w:val="000000" w:themeColor="text1"/>
                <w:szCs w:val="22"/>
              </w:rPr>
              <w:t xml:space="preserve"> (ANZOD)</w:t>
            </w:r>
          </w:p>
          <w:p w14:paraId="3231AF02"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4" w:history="1">
              <w:r w:rsidR="006C6EBA" w:rsidRPr="006720E4">
                <w:rPr>
                  <w:rStyle w:val="Hyperlink"/>
                  <w:rFonts w:cs="Calibri"/>
                  <w:szCs w:val="22"/>
                </w:rPr>
                <w:t>Australia and New Zealand Living Kidney Donation Registry</w:t>
              </w:r>
            </w:hyperlink>
            <w:r w:rsidR="006C6EBA" w:rsidRPr="006720E4">
              <w:rPr>
                <w:rFonts w:cs="Calibri"/>
                <w:color w:val="000000" w:themeColor="text1"/>
                <w:szCs w:val="22"/>
              </w:rPr>
              <w:t xml:space="preserve"> (ANZLKD)</w:t>
            </w:r>
          </w:p>
          <w:p w14:paraId="3713A2B7"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5" w:history="1">
              <w:r w:rsidR="006C6EBA" w:rsidRPr="006720E4">
                <w:rPr>
                  <w:rStyle w:val="Hyperlink"/>
                  <w:rFonts w:cs="Calibri"/>
                  <w:szCs w:val="22"/>
                </w:rPr>
                <w:t>Australia and New Zealand Eye &amp; Tissue Donation</w:t>
              </w:r>
            </w:hyperlink>
            <w:r w:rsidR="006C6EBA" w:rsidRPr="006720E4">
              <w:rPr>
                <w:rFonts w:cs="Calibri"/>
                <w:color w:val="000000" w:themeColor="text1"/>
                <w:szCs w:val="22"/>
              </w:rPr>
              <w:t xml:space="preserve"> (ANZETD)</w:t>
            </w:r>
          </w:p>
          <w:p w14:paraId="075608CC"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6" w:history="1">
              <w:r w:rsidR="006C6EBA" w:rsidRPr="006720E4">
                <w:rPr>
                  <w:rStyle w:val="Hyperlink"/>
                  <w:rFonts w:cs="Calibri"/>
                  <w:szCs w:val="22"/>
                </w:rPr>
                <w:t>Australia and New Zealand Islet and Pancreas Transplant Registry</w:t>
              </w:r>
            </w:hyperlink>
            <w:r w:rsidR="006C6EBA" w:rsidRPr="006720E4">
              <w:rPr>
                <w:rFonts w:cs="Calibri"/>
                <w:color w:val="000000" w:themeColor="text1"/>
                <w:szCs w:val="22"/>
              </w:rPr>
              <w:t xml:space="preserve"> (ANZIPTER)</w:t>
            </w:r>
          </w:p>
          <w:p w14:paraId="23209597"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7" w:history="1">
              <w:r w:rsidR="006C6EBA" w:rsidRPr="006720E4">
                <w:rPr>
                  <w:rStyle w:val="Hyperlink"/>
                  <w:rFonts w:cs="Calibri"/>
                  <w:szCs w:val="22"/>
                </w:rPr>
                <w:t>Australia and New Zealand Liver and Intestinal Transplant Registry</w:t>
              </w:r>
            </w:hyperlink>
            <w:r w:rsidR="006C6EBA" w:rsidRPr="006720E4">
              <w:rPr>
                <w:rFonts w:cs="Calibri"/>
                <w:color w:val="000000" w:themeColor="text1"/>
                <w:szCs w:val="22"/>
              </w:rPr>
              <w:t xml:space="preserve"> (ANZLITR)</w:t>
            </w:r>
          </w:p>
          <w:p w14:paraId="34178D89"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8" w:history="1">
              <w:r w:rsidR="006C6EBA" w:rsidRPr="006720E4">
                <w:rPr>
                  <w:rStyle w:val="Hyperlink"/>
                  <w:rFonts w:cs="Calibri"/>
                  <w:szCs w:val="22"/>
                </w:rPr>
                <w:t>Australian Corneal Graft Registry</w:t>
              </w:r>
            </w:hyperlink>
            <w:r w:rsidR="006C6EBA" w:rsidRPr="006720E4">
              <w:rPr>
                <w:rFonts w:cs="Calibri"/>
                <w:color w:val="000000" w:themeColor="text1"/>
                <w:szCs w:val="22"/>
              </w:rPr>
              <w:t xml:space="preserve"> (ACGR)</w:t>
            </w:r>
          </w:p>
          <w:p w14:paraId="069D85C8" w14:textId="77777777" w:rsidR="006C6EBA" w:rsidRPr="006720E4" w:rsidRDefault="00000000" w:rsidP="00C3783C">
            <w:pPr>
              <w:pStyle w:val="ListParagraph"/>
              <w:numPr>
                <w:ilvl w:val="0"/>
                <w:numId w:val="24"/>
              </w:numPr>
              <w:spacing w:after="120"/>
              <w:contextualSpacing w:val="0"/>
              <w:rPr>
                <w:rFonts w:cs="Calibri"/>
                <w:color w:val="000000" w:themeColor="text1"/>
                <w:szCs w:val="22"/>
              </w:rPr>
            </w:pPr>
            <w:hyperlink r:id="rId119" w:history="1">
              <w:r w:rsidR="006C6EBA" w:rsidRPr="006720E4">
                <w:rPr>
                  <w:rStyle w:val="Hyperlink"/>
                  <w:rFonts w:cs="Calibri"/>
                  <w:szCs w:val="22"/>
                </w:rPr>
                <w:t>Australian Organ Donor Register</w:t>
              </w:r>
            </w:hyperlink>
            <w:r w:rsidR="006C6EBA" w:rsidRPr="006720E4">
              <w:rPr>
                <w:rFonts w:cs="Calibri"/>
                <w:color w:val="000000" w:themeColor="text1"/>
                <w:szCs w:val="22"/>
              </w:rPr>
              <w:t xml:space="preserve"> (</w:t>
            </w:r>
            <w:hyperlink r:id="rId120" w:history="1">
              <w:r w:rsidR="006C6EBA" w:rsidRPr="006720E4">
                <w:rPr>
                  <w:rStyle w:val="Hyperlink"/>
                  <w:rFonts w:cs="Calibri"/>
                  <w:szCs w:val="22"/>
                </w:rPr>
                <w:t>AODR</w:t>
              </w:r>
            </w:hyperlink>
            <w:r w:rsidR="006C6EBA" w:rsidRPr="006720E4">
              <w:rPr>
                <w:rFonts w:cs="Calibri"/>
                <w:color w:val="000000" w:themeColor="text1"/>
                <w:szCs w:val="22"/>
              </w:rPr>
              <w:t>)</w:t>
            </w:r>
          </w:p>
          <w:p w14:paraId="6422084B" w14:textId="2C52AC95" w:rsidR="006C6EBA" w:rsidRPr="006720E4" w:rsidRDefault="006C6EBA" w:rsidP="00C3783C">
            <w:pPr>
              <w:pStyle w:val="ListParagraph"/>
              <w:numPr>
                <w:ilvl w:val="0"/>
                <w:numId w:val="24"/>
              </w:numPr>
              <w:spacing w:after="120"/>
              <w:contextualSpacing w:val="0"/>
              <w:rPr>
                <w:rFonts w:cs="Calibri"/>
                <w:color w:val="000000" w:themeColor="text1"/>
                <w:szCs w:val="22"/>
              </w:rPr>
            </w:pPr>
            <w:r w:rsidRPr="006720E4">
              <w:rPr>
                <w:rFonts w:cs="Calibri"/>
                <w:color w:val="000000" w:themeColor="text1"/>
                <w:szCs w:val="22"/>
              </w:rPr>
              <w:t>The Organ and Tissue Authority (</w:t>
            </w:r>
            <w:r w:rsidRPr="006720E4">
              <w:rPr>
                <w:rFonts w:cs="Calibri"/>
                <w:szCs w:val="22"/>
              </w:rPr>
              <w:t>O</w:t>
            </w:r>
            <w:r w:rsidRPr="006720E4">
              <w:rPr>
                <w:rFonts w:cs="Calibri"/>
                <w:color w:val="000000" w:themeColor="text1"/>
                <w:szCs w:val="22"/>
              </w:rPr>
              <w:t xml:space="preserve">TA) </w:t>
            </w:r>
            <w:hyperlink r:id="rId121" w:history="1">
              <w:r w:rsidRPr="006720E4">
                <w:rPr>
                  <w:rStyle w:val="Hyperlink"/>
                  <w:rFonts w:cs="Calibri"/>
                  <w:szCs w:val="22"/>
                </w:rPr>
                <w:t>national performance data and reports</w:t>
              </w:r>
            </w:hyperlink>
            <w:r w:rsidRPr="006720E4">
              <w:rPr>
                <w:rFonts w:cs="Calibri"/>
                <w:color w:val="000000" w:themeColor="text1"/>
                <w:szCs w:val="22"/>
              </w:rPr>
              <w:t>.</w:t>
            </w:r>
          </w:p>
          <w:p w14:paraId="08A51FC2" w14:textId="77777777" w:rsidR="006C6EBA" w:rsidRPr="006720E4" w:rsidRDefault="006C6EBA" w:rsidP="00C3783C">
            <w:pPr>
              <w:pStyle w:val="ListParagraph"/>
              <w:numPr>
                <w:ilvl w:val="0"/>
                <w:numId w:val="24"/>
              </w:numPr>
              <w:spacing w:after="120"/>
              <w:contextualSpacing w:val="0"/>
              <w:rPr>
                <w:rFonts w:cs="Calibri"/>
                <w:color w:val="000000" w:themeColor="text1"/>
                <w:szCs w:val="22"/>
              </w:rPr>
            </w:pPr>
            <w:r w:rsidRPr="006720E4">
              <w:rPr>
                <w:rFonts w:cs="Calibri"/>
                <w:color w:val="000000" w:themeColor="text1"/>
                <w:szCs w:val="22"/>
              </w:rPr>
              <w:t xml:space="preserve">The </w:t>
            </w:r>
            <w:hyperlink r:id="rId122" w:history="1">
              <w:r w:rsidRPr="006720E4">
                <w:rPr>
                  <w:rStyle w:val="Hyperlink"/>
                  <w:rFonts w:cs="Calibri"/>
                  <w:szCs w:val="22"/>
                </w:rPr>
                <w:t>Global Observatory on Donation and Transplantation</w:t>
              </w:r>
            </w:hyperlink>
            <w:r w:rsidRPr="006720E4">
              <w:rPr>
                <w:rFonts w:cs="Calibri"/>
                <w:color w:val="000000" w:themeColor="text1"/>
                <w:szCs w:val="22"/>
              </w:rPr>
              <w:t xml:space="preserve"> (GODT) from the World Health Organisation collects activity data across a global network of health authorities responsible for transplantation, and releases related publications.</w:t>
            </w:r>
          </w:p>
        </w:tc>
      </w:tr>
    </w:tbl>
    <w:p w14:paraId="7F0A6B79" w14:textId="77777777" w:rsidR="006C6EBA" w:rsidRPr="000E6063" w:rsidRDefault="006C6EBA" w:rsidP="00EA22AE">
      <w:pPr>
        <w:pStyle w:val="Heading3"/>
        <w:spacing w:after="120"/>
      </w:pPr>
      <w:bookmarkStart w:id="3212" w:name="_Individual_control_of"/>
      <w:bookmarkStart w:id="3213" w:name="_Toc70414901"/>
      <w:bookmarkStart w:id="3214" w:name="_Toc70844219"/>
      <w:bookmarkStart w:id="3215" w:name="_Toc72615152"/>
      <w:bookmarkStart w:id="3216" w:name="_Toc73129874"/>
      <w:bookmarkStart w:id="3217" w:name="_Toc73301741"/>
      <w:bookmarkStart w:id="3218" w:name="_Toc73302247"/>
      <w:bookmarkStart w:id="3219" w:name="_Toc73303380"/>
      <w:bookmarkStart w:id="3220" w:name="_Toc73303611"/>
      <w:bookmarkStart w:id="3221" w:name="_Toc74080728"/>
      <w:bookmarkStart w:id="3222" w:name="_Toc74081036"/>
      <w:bookmarkStart w:id="3223" w:name="_Toc74081266"/>
      <w:bookmarkStart w:id="3224" w:name="_Toc74081525"/>
      <w:bookmarkStart w:id="3225" w:name="_Toc74171097"/>
      <w:bookmarkStart w:id="3226" w:name="_Toc74172302"/>
      <w:bookmarkStart w:id="3227" w:name="_Toc74172838"/>
      <w:bookmarkStart w:id="3228" w:name="_Toc74238771"/>
      <w:bookmarkStart w:id="3229" w:name="_Toc79406416"/>
      <w:bookmarkStart w:id="3230" w:name="_Toc82773639"/>
      <w:bookmarkStart w:id="3231" w:name="_Toc82773992"/>
      <w:bookmarkEnd w:id="3212"/>
      <w:r w:rsidRPr="000E6063">
        <w:t>Individual control of personal information</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p>
    <w:p w14:paraId="4DC9FF6F" w14:textId="74EA64B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At a minimum, respect for privacy and autonomy means that individuals have the right to be informed about when, how, and why their personal information is collected in registries, and about how their information may be used, by whom, and for what purposes. The extent to which individuals are able to choose whether their personal information is collected, and to determine how it is used may be limited. For example, as noted earlier, privacy laws permit the use of personal health information in audits and in public health research without consent of the relevant individuals </w:t>
      </w:r>
      <w:r w:rsidRPr="006720E4">
        <w:rPr>
          <w:rFonts w:ascii="Calibri" w:hAnsi="Calibri" w:cs="Calibri"/>
          <w:sz w:val="22"/>
          <w:szCs w:val="22"/>
        </w:rPr>
        <w:lastRenderedPageBreak/>
        <w:t>in some circumstances. Generally, the ethical justification for this limitation of individual autonomy is that such use is necessary to achieve substantive benefits for public health, and will pose negligible risks of harm to the individuals concerned.</w:t>
      </w:r>
    </w:p>
    <w:p w14:paraId="5959368A" w14:textId="5FF0BE8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the case of registries relating to transplant recipients and donors, there may be variable approaches to consent for data collection and use. In some cases, it may be reasonable to presume consent to data collection or use, for example when donor and recipient information is used for vigilance and surveillance.</w:t>
      </w:r>
    </w:p>
    <w:p w14:paraId="4E8E3794" w14:textId="6D0AD26E"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 xml:space="preserve">Reporting of data from </w:t>
      </w:r>
      <w:r w:rsidRPr="006720E4">
        <w:rPr>
          <w:rFonts w:ascii="Calibri" w:hAnsi="Calibri" w:cs="Calibri"/>
          <w:sz w:val="22"/>
          <w:szCs w:val="22"/>
        </w:rPr>
        <w:t xml:space="preserve">health professionals </w:t>
      </w:r>
      <w:r w:rsidRPr="006720E4">
        <w:rPr>
          <w:rFonts w:ascii="Calibri" w:hAnsi="Calibri" w:cs="Calibri"/>
          <w:sz w:val="22"/>
          <w:szCs w:val="22"/>
          <w:lang w:eastAsia="en-AU"/>
        </w:rPr>
        <w:t xml:space="preserve">or clinical units to registries held by governments or regulatory bodies should generally not include information that would allow identification of donors or recipients. However, it should be possible to link registry data to the medical records of specific individuals, as part of </w:t>
      </w:r>
      <w:hyperlink w:anchor="_Glossary_2" w:history="1">
        <w:r w:rsidRPr="006720E4">
          <w:rPr>
            <w:rStyle w:val="Hyperlink"/>
            <w:rFonts w:ascii="Calibri" w:hAnsi="Calibri" w:cs="Calibri"/>
            <w:sz w:val="22"/>
            <w:szCs w:val="22"/>
            <w:lang w:eastAsia="en-AU"/>
          </w:rPr>
          <w:t>vigilance and surveillance</w:t>
        </w:r>
      </w:hyperlink>
      <w:r w:rsidRPr="006720E4">
        <w:rPr>
          <w:rFonts w:ascii="Calibri" w:hAnsi="Calibri" w:cs="Calibri"/>
          <w:sz w:val="22"/>
          <w:szCs w:val="22"/>
          <w:lang w:eastAsia="en-AU"/>
        </w:rPr>
        <w:t xml:space="preserve"> systems that facilitate timely responses to adverse events such as unexpected transmission of a serious disease via donation</w:t>
      </w:r>
      <w:r w:rsidR="000E6063">
        <w:rPr>
          <w:rFonts w:ascii="Calibri" w:hAnsi="Calibri" w:cs="Calibri"/>
          <w:sz w:val="22"/>
          <w:szCs w:val="22"/>
          <w:lang w:eastAsia="en-AU"/>
        </w:rPr>
        <w:t xml:space="preserve"> (see </w:t>
      </w:r>
      <w:hyperlink w:anchor="_Vigilance_and_surveillance" w:history="1">
        <w:r w:rsidR="000E6063" w:rsidRPr="00182E15">
          <w:rPr>
            <w:rStyle w:val="Hyperlink"/>
            <w:rFonts w:ascii="Calibri" w:hAnsi="Calibri" w:cs="Calibri"/>
            <w:sz w:val="22"/>
            <w:szCs w:val="22"/>
            <w:lang w:eastAsia="en-AU"/>
          </w:rPr>
          <w:t>Chapter 2.9.1</w:t>
        </w:r>
      </w:hyperlink>
      <w:r w:rsidR="000E6063">
        <w:rPr>
          <w:rFonts w:ascii="Calibri" w:hAnsi="Calibri" w:cs="Calibri"/>
          <w:sz w:val="22"/>
          <w:szCs w:val="22"/>
          <w:lang w:eastAsia="en-AU"/>
        </w:rPr>
        <w:t>)</w:t>
      </w:r>
      <w:r w:rsidRPr="006720E4">
        <w:rPr>
          <w:rFonts w:ascii="Calibri" w:hAnsi="Calibri" w:cs="Calibri"/>
          <w:sz w:val="22"/>
          <w:szCs w:val="22"/>
          <w:lang w:eastAsia="en-AU"/>
        </w:rPr>
        <w:t>.</w:t>
      </w:r>
    </w:p>
    <w:p w14:paraId="40F714BD" w14:textId="61AECC0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the case of prospective donor registries such as the ABMDR or the AODR, the nature of the registries requires individuals to make informed choices about the collection of their data and how it may be used, as demonstrated in information provided to prospective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{"citationItems":[{"id":"ITEM-1","itemData":{"author":[{"dropping-particle":"","family":"Australian Bone Marrow Donor Registry (ABMDR)","given":"","non-dropping-particle":"","parse-names":false,"suffix":""}],"id":"ITEM-1","issued":{"date-parts":[["2021"]]},"title":"Donor enrolment form","type":"article"},"uris":["http://www.mendeley.com/documents/?uuid=1fd4a933-15c7-4222-8212-6580dae7830d"]}],"mendeley":{"formattedCitation":"(54)","plainTextFormattedCitation":"(54)","previouslyFormattedCitation":"(54)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(54)</w:t>
      </w:r>
      <w:r w:rsidRPr="006720E4">
        <w:rPr>
          <w:rFonts w:ascii="Calibri" w:hAnsi="Calibri" w:cs="Calibri"/>
          <w:sz w:val="22"/>
          <w:szCs w:val="22"/>
        </w:rPr>
        <w:fldChar w:fldCharType="end"/>
      </w:r>
      <w:r w:rsidRPr="006720E4">
        <w:rPr>
          <w:rFonts w:ascii="Calibri" w:hAnsi="Calibri" w:cs="Calibri"/>
          <w:sz w:val="22"/>
          <w:szCs w:val="22"/>
        </w:rPr>
        <w:t xml:space="preserve"> In the case of the ABMDR it is essential to collect personal information about prospective donors in order for them to be contacted if they are identified as a match for a potential transplant recipient. </w:t>
      </w:r>
    </w:p>
    <w:p w14:paraId="61E366AF" w14:textId="30B32C9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Registries have obligations to openly communicate information that is gathered for the purpose of maintaining transparency in donation and transplantation activities and supporting informed decision-making by the public. Annual reports are commonly published for this purpose, with information presented in a manner that protects individual privacy.</w:t>
      </w:r>
    </w:p>
    <w:p w14:paraId="6BE7211C" w14:textId="64C21968" w:rsidR="006C6EBA" w:rsidRPr="006720E4" w:rsidRDefault="006C6EBA" w:rsidP="00EA22AE">
      <w:pPr>
        <w:pStyle w:val="Heading4"/>
        <w:spacing w:after="120"/>
      </w:pPr>
      <w:bookmarkStart w:id="3232" w:name="_Use_of_registry"/>
      <w:bookmarkStart w:id="3233" w:name="_Toc70414903"/>
      <w:bookmarkStart w:id="3234" w:name="_Toc70844221"/>
      <w:bookmarkStart w:id="3235" w:name="_Toc72615154"/>
      <w:bookmarkStart w:id="3236" w:name="_Toc73129876"/>
      <w:bookmarkStart w:id="3237" w:name="_Toc73301743"/>
      <w:bookmarkStart w:id="3238" w:name="_Toc73302249"/>
      <w:bookmarkStart w:id="3239" w:name="_Toc73303382"/>
      <w:bookmarkStart w:id="3240" w:name="_Toc74081527"/>
      <w:bookmarkStart w:id="3241" w:name="_Toc74172304"/>
      <w:bookmarkStart w:id="3242" w:name="_Toc74172840"/>
      <w:bookmarkStart w:id="3243" w:name="_Toc82773640"/>
      <w:bookmarkStart w:id="3244" w:name="_Toc82773993"/>
      <w:bookmarkEnd w:id="3232"/>
      <w:r w:rsidRPr="006720E4">
        <w:t xml:space="preserve">Use of registry </w:t>
      </w:r>
      <w:bookmarkEnd w:id="3233"/>
      <w:bookmarkEnd w:id="3234"/>
      <w:bookmarkEnd w:id="3235"/>
      <w:bookmarkEnd w:id="3236"/>
      <w:bookmarkEnd w:id="3237"/>
      <w:bookmarkEnd w:id="3238"/>
      <w:bookmarkEnd w:id="3239"/>
      <w:bookmarkEnd w:id="3240"/>
      <w:bookmarkEnd w:id="3241"/>
      <w:bookmarkEnd w:id="3242"/>
      <w:r w:rsidRPr="006720E4">
        <w:t>data in research</w:t>
      </w:r>
      <w:bookmarkEnd w:id="3243"/>
      <w:bookmarkEnd w:id="3244"/>
    </w:p>
    <w:p w14:paraId="1CEE31B3" w14:textId="384E43B8" w:rsidR="006C6EBA" w:rsidRPr="006720E4" w:rsidRDefault="006C6EBA" w:rsidP="00EA22AE">
      <w:pPr>
        <w:spacing w:after="120"/>
        <w:rPr>
          <w:rFonts w:ascii="Calibri" w:hAnsi="Calibri" w:cs="Calibri"/>
          <w:sz w:val="22"/>
          <w:szCs w:val="22"/>
        </w:rPr>
      </w:pPr>
      <w:r w:rsidRPr="004B64BA">
        <w:rPr>
          <w:rFonts w:ascii="Calibri" w:hAnsi="Calibri" w:cs="Calibri"/>
          <w:sz w:val="22"/>
          <w:szCs w:val="22"/>
        </w:rPr>
        <w:t xml:space="preserve">As noted in </w:t>
      </w:r>
      <w:hyperlink w:anchor="_Intersections_between_donation_2" w:history="1">
        <w:r w:rsidRPr="004B64BA">
          <w:rPr>
            <w:rStyle w:val="Hyperlink"/>
            <w:rFonts w:ascii="Calibri" w:hAnsi="Calibri" w:cs="Calibri"/>
            <w:sz w:val="22"/>
            <w:szCs w:val="22"/>
          </w:rPr>
          <w:t>Chapter 1</w:t>
        </w:r>
        <w:r w:rsidR="004B64BA" w:rsidRPr="004B64BA">
          <w:rPr>
            <w:rStyle w:val="Hyperlink"/>
            <w:rFonts w:ascii="Calibri" w:hAnsi="Calibri" w:cs="Calibri"/>
            <w:sz w:val="22"/>
            <w:szCs w:val="22"/>
          </w:rPr>
          <w:t>2</w:t>
        </w:r>
        <w:r w:rsidRPr="004B64BA">
          <w:rPr>
            <w:rStyle w:val="Hyperlink"/>
            <w:rFonts w:ascii="Calibri" w:hAnsi="Calibri" w:cs="Calibri"/>
            <w:sz w:val="22"/>
            <w:szCs w:val="22"/>
          </w:rPr>
          <w:t>.7</w:t>
        </w:r>
      </w:hyperlink>
      <w:r w:rsidRPr="004B64BA">
        <w:rPr>
          <w:rFonts w:ascii="Calibri" w:hAnsi="Calibri" w:cs="Calibri"/>
          <w:sz w:val="22"/>
          <w:szCs w:val="22"/>
        </w:rPr>
        <w:t>, donation</w:t>
      </w:r>
      <w:r w:rsidRPr="006720E4">
        <w:rPr>
          <w:rFonts w:ascii="Calibri" w:hAnsi="Calibri" w:cs="Calibri"/>
          <w:sz w:val="22"/>
          <w:szCs w:val="22"/>
        </w:rPr>
        <w:t xml:space="preserve"> and transplantation activities may intersect with research activities which require specific ethical consideration. For example, the ABMDR specifically invites prospective donors to make a decision about use of their de-identified data in research when joining the registry within the enrolment form.</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{"citationItems":[{"id":"ITEM-1","itemData":{"author":[{"dropping-particle":"","family":"Australian Bone Marrow Donor Registry (ABMDR)","given":"","non-dropping-particle":"","parse-names":false,"suffix":""}],"id":"ITEM-1","issued":{"date-parts":[["2021"]]},"title":"Donor enrolment form","type":"article"},"uris":["http://www.mendeley.com/documents/?uuid=1fd4a933-15c7-4222-8212-6580dae7830d"]}],"mendeley":{"formattedCitation":"(54)","plainTextFormattedCitation":"(54)","previouslyFormattedCitation":"(54)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(54)</w:t>
      </w:r>
      <w:r w:rsidRPr="006720E4">
        <w:rPr>
          <w:rFonts w:ascii="Calibri" w:hAnsi="Calibri" w:cs="Calibri"/>
          <w:sz w:val="22"/>
          <w:szCs w:val="22"/>
        </w:rPr>
        <w:fldChar w:fldCharType="end"/>
      </w:r>
      <w:r w:rsidRPr="006720E4">
        <w:rPr>
          <w:rFonts w:ascii="Calibri" w:hAnsi="Calibri" w:cs="Calibri"/>
          <w:sz w:val="22"/>
          <w:szCs w:val="22"/>
        </w:rPr>
        <w:t xml:space="preserve"> The form also provides the option of consenting to be contacted by the registry if there is an opportunity for the registrant to “actively participate” in a research study.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{"citationItems":[{"id":"ITEM-1","itemData":{"author":[{"dropping-particle":"","family":"Australian Bone Marrow Donor Registry (ABMDR)","given":"","non-dropping-particle":"","parse-names":false,"suffix":""}],"id":"ITEM-1","issued":{"date-parts":[["2021"]]},"title":"Donor enrolment form","type":"article"},"uris":["http://www.mendeley.com/documents/?uuid=1fd4a933-15c7-4222-8212-6580dae7830d"]}],"mendeley":{"formattedCitation":"(54)","plainTextFormattedCitation":"(54)","previouslyFormattedCitation":"(54)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(54)</w:t>
      </w:r>
      <w:r w:rsidRPr="006720E4">
        <w:rPr>
          <w:rFonts w:ascii="Calibri" w:hAnsi="Calibri" w:cs="Calibri"/>
          <w:sz w:val="22"/>
          <w:szCs w:val="22"/>
        </w:rPr>
        <w:fldChar w:fldCharType="end"/>
      </w:r>
      <w:r w:rsidRPr="006720E4">
        <w:rPr>
          <w:rFonts w:ascii="Calibri" w:hAnsi="Calibri" w:cs="Calibri"/>
          <w:sz w:val="22"/>
          <w:szCs w:val="22"/>
        </w:rPr>
        <w:t xml:space="preserve">  </w:t>
      </w:r>
    </w:p>
    <w:p w14:paraId="78F563AF" w14:textId="25411DA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Registries often contain information in the form of personal health data that represents a valuable resource for researchers. Ethical considerations relating to the </w:t>
      </w:r>
      <w:r w:rsidRPr="006720E4">
        <w:rPr>
          <w:rFonts w:ascii="Calibri" w:hAnsi="Calibri" w:cs="Calibri"/>
          <w:b/>
          <w:bCs/>
          <w:sz w:val="22"/>
          <w:szCs w:val="22"/>
        </w:rPr>
        <w:t>use of registry data in research</w:t>
      </w:r>
      <w:r w:rsidRPr="006720E4">
        <w:rPr>
          <w:rFonts w:ascii="Calibri" w:hAnsi="Calibri" w:cs="Calibri"/>
          <w:sz w:val="22"/>
          <w:szCs w:val="22"/>
        </w:rPr>
        <w:t xml:space="preserve"> are beyond the scope of these guidelines. Please see the NHMRC ethical guidelines for the conduct of human research for further guidance.</w:t>
      </w:r>
      <w:r w:rsidRPr="006720E4">
        <w:rPr>
          <w:rFonts w:ascii="Calibri" w:hAnsi="Calibri" w:cs="Calibri"/>
          <w:sz w:val="22"/>
          <w:szCs w:val="22"/>
        </w:rPr>
        <w:fldChar w:fldCharType="begin" w:fldLock="1"/>
      </w:r>
      <w:r w:rsidR="002B5DD4">
        <w:rPr>
          <w:rFonts w:ascii="Calibri" w:hAnsi="Calibri" w:cs="Calibri"/>
          <w:sz w:val="22"/>
          <w:szCs w:val="22"/>
        </w:rPr>
        <w:instrText>ADDIN CSL_CITATION {"citationItems":[{"id":"ITEM-1","itemData":{"ISBN":"9781864960136","ISSN":"0164-7989","abstract":"This document updates the 2003 guidelines 'Values and ethics: guidelines on ethical conduct in Aboriginal and Torres Strait Islander health research.' They provide a set of principles to ensure research is safe, respectful, responsible, high quality and of benefit to Aboriginal and Torres Strait Islander people and communities. They work with the National Statement on Ethical Conduct in Human Research and the Australian Code for the Responsible Conduct of Research by providing more specific information. A companion document has been produced, 'Keeping research on track II', which provides advice on how these values and principles can be put into practice in research.","author":[{"dropping-particle":"","family":"National Health and Medical Research Council (NHMRC)","given":"","non-dropping-particle":"","parse-names":false,"suffix":""}],"id":"ITEM-1","issued":{"date-parts":[["2018"]]},"title":"Ethical conduct in research with Aboriginal and Torres Strait Islander Peoples and communities: Guidelines for researchers and stakeholders","type":"report"},"uris":["http://www.mendeley.com/documents/?uuid=bb1b71ff-10f9-4c82-bd6f-ef9944f31fc3"]},{"id":"ITEM-2","itemData":{"ISBN":"1864962690","abstract":"(Chapter 4.7 adresses Aboriginal and Torres Islander poeples specifically. Pages 77 - 80). Its content reflects the outcome of wide consultation with Australian communities who participate in, design, conduct, fund, manage and publish human research. Research governance The National Statement should be seen in the broader context of overall governance of research. It not only provides guidelines for researchers, Human Research Ethics Committees (HRECs) and others conducting ethical review of research, but also emphasises institutions’ responsibilities for the quality, safety and ethical acceptability of research that they sponsor or permit to be carried out under their auspices. Responsibility for the ethical design, review and conduct of human research is in fact exercised at many levels, by: researchers (and where relevant their supervisors); HRECs and others conducting","author":[{"dropping-particle":"","family":"National Health and Medical Research Council (NHMRC)","given":"","non-dropping-particle":"","parse-names":false,"suffix":""}],"id":"ITEM-2","issued":{"date-parts":[["0"]]},"title":"Conduct in human research national statement on ethical conduct in human research","type":"report"},"uris":["http://www.mendeley.com/documents/?uuid=75db90a3-b445-477e-9a4e-65a9f9f71f9d"]}],"mendeley":{"formattedCitation":"(16,17)","plainTextFormattedCitation":"(16,17)","previouslyFormattedCitation":"(16,17)"},"properties":{"noteIndex":0},"schema":"https://github.com/citation-style-language/schema/raw/master/csl-citation.json"}</w:instrText>
      </w:r>
      <w:r w:rsidRPr="006720E4">
        <w:rPr>
          <w:rFonts w:ascii="Calibri" w:hAnsi="Calibri" w:cs="Calibri"/>
          <w:sz w:val="22"/>
          <w:szCs w:val="22"/>
        </w:rPr>
        <w:fldChar w:fldCharType="separate"/>
      </w:r>
      <w:r w:rsidR="00485565" w:rsidRPr="006720E4">
        <w:rPr>
          <w:rFonts w:ascii="Calibri" w:hAnsi="Calibri" w:cs="Calibri"/>
          <w:noProof/>
          <w:sz w:val="22"/>
          <w:szCs w:val="22"/>
        </w:rPr>
        <w:t>(16,17)</w:t>
      </w:r>
      <w:r w:rsidRPr="006720E4">
        <w:rPr>
          <w:rFonts w:ascii="Calibri" w:hAnsi="Calibri" w:cs="Calibri"/>
          <w:sz w:val="22"/>
          <w:szCs w:val="22"/>
        </w:rPr>
        <w:fldChar w:fldCharType="end"/>
      </w:r>
    </w:p>
    <w:p w14:paraId="78FE3199" w14:textId="3A372D47" w:rsidR="006C6EBA" w:rsidRPr="006720E4" w:rsidRDefault="006C6EBA" w:rsidP="00EA22AE">
      <w:pPr>
        <w:pStyle w:val="Heading3"/>
        <w:spacing w:after="120"/>
      </w:pPr>
      <w:bookmarkStart w:id="3245" w:name="_Governance_of_registries"/>
      <w:bookmarkStart w:id="3246" w:name="_Toc70414904"/>
      <w:bookmarkStart w:id="3247" w:name="_Toc70844222"/>
      <w:bookmarkStart w:id="3248" w:name="_Toc72615155"/>
      <w:bookmarkStart w:id="3249" w:name="_Toc73129877"/>
      <w:bookmarkStart w:id="3250" w:name="_Toc73301744"/>
      <w:bookmarkStart w:id="3251" w:name="_Toc73302250"/>
      <w:bookmarkStart w:id="3252" w:name="_Toc73303383"/>
      <w:bookmarkStart w:id="3253" w:name="_Toc73303612"/>
      <w:bookmarkStart w:id="3254" w:name="_Toc74080729"/>
      <w:bookmarkStart w:id="3255" w:name="_Toc74081037"/>
      <w:bookmarkStart w:id="3256" w:name="_Toc74081267"/>
      <w:bookmarkStart w:id="3257" w:name="_Toc74081528"/>
      <w:bookmarkStart w:id="3258" w:name="_Toc74171098"/>
      <w:bookmarkStart w:id="3259" w:name="_Toc74172305"/>
      <w:bookmarkStart w:id="3260" w:name="_Toc74172841"/>
      <w:bookmarkStart w:id="3261" w:name="_Toc74238772"/>
      <w:bookmarkStart w:id="3262" w:name="_Toc79406417"/>
      <w:bookmarkStart w:id="3263" w:name="_Toc82773641"/>
      <w:bookmarkStart w:id="3264" w:name="_Toc82773994"/>
      <w:bookmarkEnd w:id="3245"/>
      <w:r w:rsidRPr="006720E4">
        <w:t>Governance of registries</w:t>
      </w:r>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p>
    <w:p w14:paraId="4AC1B2B1" w14:textId="71D0BF54"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As repositories of personal health information, registries require careful governance to ensure appropriate clinical and ethical standards are upheld. Inclusion of relevant stakeholders in governance of registries is essential to ensure that the interests of stakeholders are represented and that they have a voice in decision-making. Governance also requires mechanisms for accountability and oversight of registry operations.</w:t>
      </w:r>
    </w:p>
    <w:p w14:paraId="03F110BD" w14:textId="77777777" w:rsidR="006C6EBA" w:rsidRPr="006720E4" w:rsidRDefault="006C6EBA" w:rsidP="00EA22AE">
      <w:pPr>
        <w:pStyle w:val="Heading4"/>
        <w:spacing w:after="120"/>
      </w:pPr>
      <w:bookmarkStart w:id="3265" w:name="_Data_sovereignty_and"/>
      <w:bookmarkStart w:id="3266" w:name="_Toc73301745"/>
      <w:bookmarkStart w:id="3267" w:name="_Toc73302251"/>
      <w:bookmarkStart w:id="3268" w:name="_Toc73303384"/>
      <w:bookmarkStart w:id="3269" w:name="_Toc74081529"/>
      <w:bookmarkStart w:id="3270" w:name="_Toc74172306"/>
      <w:bookmarkStart w:id="3271" w:name="_Toc74172842"/>
      <w:bookmarkStart w:id="3272" w:name="_Toc82773642"/>
      <w:bookmarkStart w:id="3273" w:name="_Toc82773995"/>
      <w:bookmarkEnd w:id="3265"/>
      <w:r w:rsidRPr="006720E4">
        <w:t>Data sovereignty</w:t>
      </w:r>
      <w:bookmarkEnd w:id="3266"/>
      <w:bookmarkEnd w:id="3267"/>
      <w:bookmarkEnd w:id="3268"/>
      <w:bookmarkEnd w:id="3269"/>
      <w:bookmarkEnd w:id="3270"/>
      <w:bookmarkEnd w:id="3271"/>
      <w:r w:rsidRPr="006720E4">
        <w:t xml:space="preserve"> and inclusion of </w:t>
      </w:r>
      <w:r w:rsidRPr="006720E4">
        <w:rPr>
          <w:szCs w:val="22"/>
        </w:rPr>
        <w:t xml:space="preserve">Aboriginal and Torres Strait Islander </w:t>
      </w:r>
      <w:r w:rsidRPr="006720E4">
        <w:t>people in data governance</w:t>
      </w:r>
      <w:bookmarkEnd w:id="3272"/>
      <w:bookmarkEnd w:id="3273"/>
    </w:p>
    <w:p w14:paraId="521BCD5E" w14:textId="5ED1B49A"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It is particularly important to include members of Aboriginal and Torres Strait Islander communities in governance of registries. Inclusion of Indigenous people in data governance helps to ensure that data are used respectfully and effectively to support and promote the health of Indigenous peoples, and that data are collected which align with the priorities and values of relevant Indigenous communities.</w:t>
      </w:r>
      <w:r w:rsidRPr="006720E4">
        <w:rPr>
          <w:rFonts w:ascii="Calibri" w:hAnsi="Calibri" w:cs="Calibri"/>
          <w:sz w:val="22"/>
          <w:szCs w:val="22"/>
          <w:lang w:eastAsia="en-AU"/>
        </w:rPr>
        <w:fldChar w:fldCharType="begin" w:fldLock="1"/>
      </w:r>
      <w:r w:rsidR="00EB088B">
        <w:rPr>
          <w:rFonts w:ascii="Calibri" w:hAnsi="Calibri" w:cs="Calibri"/>
          <w:sz w:val="22"/>
          <w:szCs w:val="22"/>
          <w:lang w:eastAsia="en-AU"/>
        </w:rPr>
        <w:instrText>ADDIN CSL_CITATION {"citationItems":[{"id":"ITEM-1","itemData":{"DOI":"10.1016/S0140-6736(17)32755-1","ISSN":"1474547X","PMID":"29115232","author":[{"dropping-particle":"","family":"Walker","given":"Jennifer","non-dropping-particle":"","parse-names":false,"suffix":""},{"dropping-particle":"","family":"Lovett","given":"Ray","non-dropping-particle":"","parse-names":false,"suffix":""},{"dropping-particle":"","family":"Kukutai","given":"Tahu","non-dropping-particle":"","parse-names":false,"suffix":""},{"dropping-particle":"","family":"Jones","given":"Carmen","non-dropping-particle":"","parse-names":false,"suffix":""},{"dropping-particle":"","family":"Henry","given":"David","non-dropping-particle":"","parse-names":false,"suffix":""}],"container-title":"The Lancet","id":"ITEM-1","issue":"10107","issued":{"date-parts":[["2017"]]},"page":"2022-2023","publisher":"Elsevier Ltd","title":"Indigenous health data and the path to healing","type":"article-journal","volume":"390"},"uris":["http://www.mendeley.com/documents/?uuid=4c54d005-2335-47a7-a3de-7787ef90269a"]}],"mendeley":{"formattedCitation":"(121)","plainTextFormattedCitation":"(121)","previouslyFormattedCitation":"(121)"},"properties":{"noteIndex":0},"schema":"https://github.com/citation-style-language/schema/raw/master/csl-citation.json"}</w:instrText>
      </w:r>
      <w:r w:rsidRPr="006720E4">
        <w:rPr>
          <w:rFonts w:ascii="Calibri" w:hAnsi="Calibri" w:cs="Calibri"/>
          <w:sz w:val="22"/>
          <w:szCs w:val="22"/>
          <w:lang w:eastAsia="en-AU"/>
        </w:rPr>
        <w:fldChar w:fldCharType="separate"/>
      </w:r>
      <w:r w:rsidR="00BA3D76" w:rsidRPr="00BA3D76">
        <w:rPr>
          <w:rFonts w:ascii="Calibri" w:hAnsi="Calibri" w:cs="Calibri"/>
          <w:noProof/>
          <w:sz w:val="22"/>
          <w:szCs w:val="22"/>
          <w:lang w:eastAsia="en-AU"/>
        </w:rPr>
        <w:t>(121)</w:t>
      </w:r>
      <w:r w:rsidRPr="006720E4">
        <w:rPr>
          <w:rFonts w:ascii="Calibri" w:hAnsi="Calibri" w:cs="Calibri"/>
          <w:sz w:val="22"/>
          <w:szCs w:val="22"/>
          <w:lang w:eastAsia="en-AU"/>
        </w:rPr>
        <w:fldChar w:fldCharType="end"/>
      </w:r>
      <w:r w:rsidRPr="006720E4">
        <w:rPr>
          <w:rFonts w:ascii="Calibri" w:hAnsi="Calibri" w:cs="Calibri"/>
          <w:sz w:val="22"/>
          <w:szCs w:val="22"/>
          <w:lang w:eastAsia="en-AU"/>
        </w:rPr>
        <w:t xml:space="preserve"> Inclusion may also help to promote cultural safety, for example by supporting a strengths-based approach to communication of data about Indigenous people in registry reports. </w:t>
      </w:r>
    </w:p>
    <w:p w14:paraId="0FA27D85" w14:textId="34C36DA7"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lastRenderedPageBreak/>
        <w:t>Earning and maintaining trust in donation and transplantation registries by Aboriginal and Torres Strait Islander peoples may encourage trust in donation and transplantation programs more broadly. This is especially important given the longstanding history of exploitation and disenfranchisement of Indigenous peoples in research involving the collection, storage and use of biological samples and health data, as well as widespread discrimination against individuals and groups who identify as Aboriginal or Torres Strait Islander peoples.</w:t>
      </w:r>
    </w:p>
    <w:p w14:paraId="67B62025" w14:textId="74DAF2B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First Nations principles of ownership, control, access and possession (OCAP</w:t>
      </w:r>
      <w:r w:rsidRPr="006720E4">
        <w:rPr>
          <w:rFonts w:ascii="Calibri" w:hAnsi="Calibri" w:cs="Calibri"/>
          <w:sz w:val="22"/>
          <w:szCs w:val="22"/>
          <w:vertAlign w:val="superscript"/>
        </w:rPr>
        <w:t>®</w:t>
      </w:r>
      <w:r w:rsidRPr="006720E4">
        <w:rPr>
          <w:rFonts w:ascii="Calibri" w:hAnsi="Calibri" w:cs="Calibri"/>
          <w:sz w:val="22"/>
          <w:szCs w:val="22"/>
        </w:rPr>
        <w:t>) provide guidance on how data from Indigenous peoples should be “collected, protected, used and shared.”</w:t>
      </w:r>
      <w:r w:rsidRPr="006720E4">
        <w:rPr>
          <w:rFonts w:ascii="Calibri" w:hAnsi="Calibri" w:cs="Calibri"/>
          <w:sz w:val="22"/>
          <w:szCs w:val="22"/>
        </w:rPr>
        <w:fldChar w:fldCharType="begin" w:fldLock="1"/>
      </w:r>
      <w:r w:rsidR="002B5DD4">
        <w:rPr>
          <w:rFonts w:ascii="Calibri" w:hAnsi="Calibri" w:cs="Calibri"/>
          <w:sz w:val="22"/>
          <w:szCs w:val="22"/>
        </w:rPr>
        <w:instrText>ADDIN CSL_CITATION {"citationItems":[{"id":"ITEM-1","itemData":{"ISBN":"1864962690","abstract":"(Chapter 4.7 adresses Aboriginal and Torres Islander poeples specifically. Pages 77 - 80). Its content reflects the outcome of wide consultation with Australian communities who participate in, design, conduct, fund, manage and publish human research. Research governance The National Statement should be seen in the broader context of overall governance of research. It not only provides guidelines for researchers, Human Research Ethics Committees (HRECs) and others conducting ethical review of research, but also emphasises institutions’ responsibilities for the quality, safety and ethical acceptability of research that they sponsor or permit to be carried out under their auspices. Responsibility for the ethical design, review and conduct of human research is in fact exercised at many levels, by: researchers (and where relevant their supervisors); HRECs and others conducting","author":[{"dropping-particle":"","family":"National Health and Medical Research Council (NHMRC)","given":"","non-dropping-particle":"","parse-names":false,"suffix":""}],"id":"ITEM-1","issued":{"date-parts":[["0"]]},"title":"Conduct in human research national statement on ethical conduct in human research","type":"report"},"uris":["http://www.mendeley.com/documents/?uuid=75db90a3-b445-477e-9a4e-65a9f9f71f9d"]}],"mendeley":{"formattedCitation":"(17)","plainTextFormattedCitation":"(17)","previouslyFormattedCitation":"(17)"},"properties":{"noteIndex":0},"schema":"https://github.com/citation-style-language/schema/raw/master/csl-citation.json"}</w:instrText>
      </w:r>
      <w:r w:rsidRPr="006720E4">
        <w:rPr>
          <w:rFonts w:ascii="Calibri" w:hAnsi="Calibri" w:cs="Calibri"/>
          <w:sz w:val="22"/>
          <w:szCs w:val="22"/>
        </w:rPr>
        <w:fldChar w:fldCharType="separate"/>
      </w:r>
      <w:r w:rsidR="00485565" w:rsidRPr="006720E4">
        <w:rPr>
          <w:rFonts w:ascii="Calibri" w:hAnsi="Calibri" w:cs="Calibri"/>
          <w:noProof/>
          <w:sz w:val="22"/>
          <w:szCs w:val="22"/>
        </w:rPr>
        <w:t>(17)</w:t>
      </w:r>
      <w:r w:rsidRPr="006720E4">
        <w:rPr>
          <w:rFonts w:ascii="Calibri" w:hAnsi="Calibri" w:cs="Calibri"/>
          <w:sz w:val="22"/>
          <w:szCs w:val="22"/>
        </w:rPr>
        <w:fldChar w:fldCharType="end"/>
      </w:r>
      <w:r w:rsidRPr="006720E4">
        <w:rPr>
          <w:rFonts w:ascii="Calibri" w:hAnsi="Calibri" w:cs="Calibri"/>
          <w:sz w:val="22"/>
          <w:szCs w:val="22"/>
        </w:rPr>
        <w:t xml:space="preserve"> </w:t>
      </w:r>
    </w:p>
    <w:p w14:paraId="50FC1A8F" w14:textId="48525CF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Indigenous-led policies should be developed to support governance of data in donation and transplantation registries. The Catching Some Air project, which asserted information rights for Aboriginal and Torres Strait Islander in the context of renal disease, articulated the following valuable principle:</w:t>
      </w:r>
    </w:p>
    <w:p w14:paraId="7293C819" w14:textId="5C4E802D"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“Renal health data which can support and promote Aboriginal and Torres Strait Islander renal health should be used to monitor renal health, report renal health advancement, and inform Aboriginal and Torres Strait Islander people of activities and outcomes directed toward closing the gap in renal health and renal disease.”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{"citationItems":[{"id":"ITEM-1","itemData":{"URL":"https://fnigc.ca/ocap-training/","author":[{"dropping-particle":"","family":"Centre","given":"First Nations Information Governance","non-dropping-particle":"","parse-names":false,"suffix":""}],"id":"ITEM-1","issued":{"date-parts":[["0"]]},"title":"The First Nations Principles of OCAP®","type":"webpage"},"uris":["http://www.mendeley.com/documents/?uuid=31e4aa07-c874-42e9-aa7d-59cd39709a07"]}],"mendeley":{"formattedCitation":"(122)","plainTextFormattedCitation":"(122)","previouslyFormattedCitation":"(122)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(122)</w:t>
      </w:r>
      <w:r w:rsidRPr="006720E4">
        <w:rPr>
          <w:rFonts w:ascii="Calibri" w:hAnsi="Calibri" w:cs="Calibri"/>
          <w:sz w:val="22"/>
          <w:szCs w:val="22"/>
        </w:rPr>
        <w:fldChar w:fldCharType="end"/>
      </w:r>
    </w:p>
    <w:p w14:paraId="2A70535B" w14:textId="2CA0128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Based on this, donation and transplantation data that can support and promote Aboriginal and Torres Strait Islander health should be used to monitor outcomes of donation and transplantation,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{"citationItems":[{"id":"ITEM-1","itemData":{"author":[{"dropping-particle":"","family":"ANZDATA Registry","given":"","non-dropping-particle":"","parse-names":false,"suffix":""}],"id":"ITEM-1","issued":{"date-parts":[["2021"]]},"number-of-pages":"61-64","title":"Guidance on data requests relating to patient ethnicity","type":"report"},"uris":["http://www.mendeley.com/documents/?uuid=278552cd-ece8-4e6c-87da-cb1474fc6845"]}],"mendeley":{"formattedCitation":"(123)","plainTextFormattedCitation":"(123)","previouslyFormattedCitation":"(123)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(123)</w:t>
      </w:r>
      <w:r w:rsidRPr="006720E4">
        <w:rPr>
          <w:rFonts w:ascii="Calibri" w:hAnsi="Calibri" w:cs="Calibri"/>
          <w:sz w:val="22"/>
          <w:szCs w:val="22"/>
        </w:rPr>
        <w:fldChar w:fldCharType="end"/>
      </w:r>
      <w:r w:rsidRPr="006720E4">
        <w:rPr>
          <w:rFonts w:ascii="Calibri" w:hAnsi="Calibri" w:cs="Calibri"/>
          <w:sz w:val="22"/>
          <w:szCs w:val="22"/>
        </w:rPr>
        <w:t xml:space="preserve"> report progress and developments in donation and transplantation, and inform Aboriginal and Torres Strait Islander people of activities and outcomes directed toward reducing inequities in donation and transplantation for Aboriginal and Torres Strait Islander people. </w:t>
      </w:r>
    </w:p>
    <w:p w14:paraId="323A8FAB" w14:textId="77777777" w:rsidR="006C6EBA" w:rsidRPr="006720E4" w:rsidRDefault="006C6EBA" w:rsidP="00EA22AE">
      <w:pPr>
        <w:pStyle w:val="Heading3"/>
        <w:spacing w:after="120"/>
      </w:pPr>
      <w:bookmarkStart w:id="3274" w:name="_Toc73301746"/>
      <w:bookmarkStart w:id="3275" w:name="_Toc73302252"/>
      <w:bookmarkStart w:id="3276" w:name="_Toc73303385"/>
      <w:bookmarkStart w:id="3277" w:name="_Toc73303613"/>
      <w:bookmarkStart w:id="3278" w:name="_Toc74080730"/>
      <w:bookmarkStart w:id="3279" w:name="_Toc74081038"/>
      <w:bookmarkStart w:id="3280" w:name="_Toc74081268"/>
      <w:bookmarkStart w:id="3281" w:name="_Toc74081530"/>
      <w:bookmarkStart w:id="3282" w:name="_Toc74171099"/>
      <w:bookmarkStart w:id="3283" w:name="_Toc74172307"/>
      <w:bookmarkStart w:id="3284" w:name="_Toc74172843"/>
      <w:bookmarkStart w:id="3285" w:name="_Toc74238773"/>
      <w:bookmarkStart w:id="3286" w:name="_Toc79406418"/>
      <w:bookmarkStart w:id="3287" w:name="_Toc82773643"/>
      <w:bookmarkStart w:id="3288" w:name="_Toc82773996"/>
      <w:r w:rsidRPr="006720E4">
        <w:t>Obligations to collect data about donation and transplantation</w:t>
      </w:r>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r w:rsidRPr="006720E4">
        <w:t xml:space="preserve"> </w:t>
      </w:r>
    </w:p>
    <w:p w14:paraId="0BA66326" w14:textId="6FFD4386"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Although it may be difficult in some cases to obtain data about donation or transplantation outcomes, for example if there are no or limited clinical requirements for follow up care of recipients, registries should be established to monitor use and outcomes of all donation and transplantation activities.</w:t>
      </w:r>
      <w:r w:rsidRPr="006720E4">
        <w:rPr>
          <w:rFonts w:ascii="Calibri" w:hAnsi="Calibri" w:cs="Calibri"/>
          <w:sz w:val="22"/>
          <w:szCs w:val="22"/>
          <w:lang w:eastAsia="en-AU"/>
        </w:rPr>
        <w:fldChar w:fldCharType="begin" w:fldLock="1"/>
      </w:r>
      <w:r w:rsidR="00EB088B">
        <w:rPr>
          <w:rFonts w:ascii="Calibri" w:hAnsi="Calibri" w:cs="Calibri"/>
          <w:sz w:val="22"/>
          <w:szCs w:val="22"/>
          <w:lang w:eastAsia="en-AU"/>
        </w:rPr>
        <w:instrText>ADDIN CSL_CITATION {"citationItems":[{"id":"ITEM-1","itemData":{"ISBN":"9781922104632","author":[{"dropping-particle":"","family":"Mick-Ramsamy","given":"L","non-dropping-particle":"","parse-names":false,"suffix":""},{"dropping-particle":"","family":"Kelly","given":"J","non-dropping-particle":"","parse-names":false,"suffix":""},{"dropping-particle":"","family":"Duff","given":"D","non-dropping-particle":"","parse-names":false,"suffix":""},{"dropping-particle":"","family":"Cass","given":"A","non-dropping-particle":"","parse-names":false,"suffix":""},{"dropping-particle":"","family":"Ross","given":"L","non-dropping-particle":"","parse-names":false,"suffix":""},{"dropping-particle":"","family":"Croker","given":"D","non-dropping-particle":"","parse-names":false,"suffix":""},{"dropping-particle":"","family":"Hall","given":"H","non-dropping-particle":"","parse-names":false,"suffix":""},{"dropping-particle":"","family":"P.","given":"Mills","non-dropping-particle":"","parse-names":false,"suffix":""},{"dropping-particle":"","family":"Hughes","given":"JT","non-dropping-particle":"","parse-names":false,"suffix":""}],"id":"ITEM-1","issued":{"date-parts":[["2019"]]},"title":"Catching Some Air - Asserting Aboriginal and Torres Strait Islander Information Rights in Renal Disease Project - The Final Report","type":"report"},"uris":["http://www.mendeley.com/documents/?uuid=746a9bf3-db1e-4cc4-a334-66f7a2fcad51"]}],"mendeley":{"formattedCitation":"(124)","plainTextFormattedCitation":"(124)","previouslyFormattedCitation":"(124)"},"properties":{"noteIndex":0},"schema":"https://github.com/citation-style-language/schema/raw/master/csl-citation.json"}</w:instrText>
      </w:r>
      <w:r w:rsidRPr="006720E4">
        <w:rPr>
          <w:rFonts w:ascii="Calibri" w:hAnsi="Calibri" w:cs="Calibri"/>
          <w:sz w:val="22"/>
          <w:szCs w:val="22"/>
          <w:lang w:eastAsia="en-AU"/>
        </w:rPr>
        <w:fldChar w:fldCharType="separate"/>
      </w:r>
      <w:r w:rsidR="00BA3D76" w:rsidRPr="00BA3D76">
        <w:rPr>
          <w:rFonts w:ascii="Calibri" w:hAnsi="Calibri" w:cs="Calibri"/>
          <w:noProof/>
          <w:sz w:val="22"/>
          <w:szCs w:val="22"/>
          <w:lang w:eastAsia="en-AU"/>
        </w:rPr>
        <w:t>(124)</w:t>
      </w:r>
      <w:r w:rsidRPr="006720E4">
        <w:rPr>
          <w:rFonts w:ascii="Calibri" w:hAnsi="Calibri" w:cs="Calibri"/>
          <w:sz w:val="22"/>
          <w:szCs w:val="22"/>
          <w:lang w:eastAsia="en-AU"/>
        </w:rPr>
        <w:fldChar w:fldCharType="end"/>
      </w:r>
      <w:r w:rsidRPr="006720E4">
        <w:rPr>
          <w:rFonts w:ascii="Calibri" w:hAnsi="Calibri" w:cs="Calibri"/>
          <w:sz w:val="22"/>
          <w:szCs w:val="22"/>
          <w:lang w:eastAsia="en-AU"/>
        </w:rPr>
        <w:t xml:space="preserve"> Registries and relevant professional organi</w:t>
      </w:r>
      <w:r w:rsidR="000208BF">
        <w:rPr>
          <w:rFonts w:ascii="Calibri" w:hAnsi="Calibri" w:cs="Calibri"/>
          <w:sz w:val="22"/>
          <w:szCs w:val="22"/>
          <w:lang w:eastAsia="en-AU"/>
        </w:rPr>
        <w:t>s</w:t>
      </w:r>
      <w:r w:rsidRPr="006720E4">
        <w:rPr>
          <w:rFonts w:ascii="Calibri" w:hAnsi="Calibri" w:cs="Calibri"/>
          <w:sz w:val="22"/>
          <w:szCs w:val="22"/>
          <w:lang w:eastAsia="en-AU"/>
        </w:rPr>
        <w:t xml:space="preserve">ations should establish clear expectations regarding the duties of individuals or institutions with regards to data collection and reporting in registries, and provide appropriate training to ensure responsibilities are effectively fulfilled. </w:t>
      </w:r>
    </w:p>
    <w:p w14:paraId="09365BFC" w14:textId="157D559B"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 xml:space="preserve">In some cases, mandatory reporting of specific data to registries may be considered where this is deemed necessary to prevent harm and where voluntary compliance by relevant health professionals may be unreliable. </w:t>
      </w:r>
    </w:p>
    <w:p w14:paraId="05738859" w14:textId="0449CDE4" w:rsidR="006C6EBA" w:rsidRPr="006720E4" w:rsidRDefault="006C6EBA" w:rsidP="00EA22AE">
      <w:pPr>
        <w:pStyle w:val="Heading3"/>
        <w:spacing w:after="120"/>
      </w:pPr>
      <w:bookmarkStart w:id="3289" w:name="_Toc70414905"/>
      <w:bookmarkStart w:id="3290" w:name="_Toc70844223"/>
      <w:bookmarkStart w:id="3291" w:name="_Toc72615156"/>
      <w:bookmarkStart w:id="3292" w:name="_Toc73129878"/>
      <w:bookmarkStart w:id="3293" w:name="_Toc73301747"/>
      <w:bookmarkStart w:id="3294" w:name="_Toc73302253"/>
      <w:bookmarkStart w:id="3295" w:name="_Toc73303386"/>
      <w:bookmarkStart w:id="3296" w:name="_Toc73303614"/>
      <w:bookmarkStart w:id="3297" w:name="_Toc74080731"/>
      <w:bookmarkStart w:id="3298" w:name="_Toc74081039"/>
      <w:bookmarkStart w:id="3299" w:name="_Toc74081269"/>
      <w:bookmarkStart w:id="3300" w:name="_Toc74081531"/>
      <w:bookmarkStart w:id="3301" w:name="_Toc74171100"/>
      <w:bookmarkStart w:id="3302" w:name="_Toc74172308"/>
      <w:bookmarkStart w:id="3303" w:name="_Toc74172844"/>
      <w:bookmarkStart w:id="3304" w:name="_Toc74238774"/>
      <w:bookmarkStart w:id="3305" w:name="_Toc79406419"/>
      <w:bookmarkStart w:id="3306" w:name="_Toc82773644"/>
      <w:bookmarkStart w:id="3307" w:name="_Toc82773997"/>
      <w:r w:rsidRPr="006720E4">
        <w:t>Sharing and collaboration between registries</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14:paraId="3C4281D8" w14:textId="1E6C483F" w:rsidR="006C6EBA" w:rsidRPr="006720E4" w:rsidRDefault="006C6EBA" w:rsidP="00EA22AE">
      <w:pPr>
        <w:spacing w:after="120"/>
        <w:rPr>
          <w:rFonts w:ascii="Calibri" w:hAnsi="Calibri" w:cs="Calibri"/>
          <w:sz w:val="22"/>
          <w:szCs w:val="22"/>
          <w:lang w:eastAsia="en-AU"/>
        </w:rPr>
      </w:pPr>
      <w:r w:rsidRPr="006720E4">
        <w:rPr>
          <w:rFonts w:ascii="Calibri" w:hAnsi="Calibri" w:cs="Calibri"/>
          <w:sz w:val="22"/>
          <w:szCs w:val="22"/>
          <w:lang w:eastAsia="en-AU"/>
        </w:rPr>
        <w:t xml:space="preserve">Establishing mechanisms that enable linkage or consolidation of some registries may be needed to help ensure that data collection, storage and use are effective and efficient, and to support collaborative work that will inform policy and practice aimed at improving access, fairness, and quality of outcomes of donation and transplantation. </w:t>
      </w:r>
    </w:p>
    <w:p w14:paraId="5E7C0832" w14:textId="6CAEF7AE" w:rsidR="006C6EBA" w:rsidRPr="006720E4" w:rsidRDefault="006C6EBA" w:rsidP="00C3783C">
      <w:pPr>
        <w:pStyle w:val="ListParagraph"/>
        <w:numPr>
          <w:ilvl w:val="0"/>
          <w:numId w:val="32"/>
        </w:numPr>
        <w:spacing w:after="120"/>
        <w:contextualSpacing w:val="0"/>
        <w:rPr>
          <w:rFonts w:cs="Calibri"/>
          <w:szCs w:val="22"/>
          <w:lang w:eastAsia="en-AU"/>
        </w:rPr>
      </w:pPr>
      <w:r w:rsidRPr="006720E4">
        <w:rPr>
          <w:rFonts w:cs="Calibri"/>
          <w:szCs w:val="22"/>
          <w:lang w:eastAsia="en-AU"/>
        </w:rPr>
        <w:t>For example, linkage of tissue registries may help in the assessment of supply and demand for tissues for transplantation and the evaluation of distribution and costs of tissues.</w:t>
      </w:r>
      <w:r w:rsidRPr="006720E4">
        <w:rPr>
          <w:rFonts w:cs="Calibri"/>
          <w:szCs w:val="22"/>
          <w:lang w:eastAsia="en-AU"/>
        </w:rPr>
        <w:fldChar w:fldCharType="begin" w:fldLock="1"/>
      </w:r>
      <w:r w:rsidR="00EB088B">
        <w:rPr>
          <w:rFonts w:cs="Calibri"/>
          <w:szCs w:val="22"/>
          <w:lang w:eastAsia="en-AU"/>
        </w:rPr>
        <w:instrText>ADDIN CSL_CITATION {"citationItems":[{"id":"ITEM-1","itemData":{"author":[{"dropping-particle":"","family":"PwC","given":"","non-dropping-particle":"","parse-names":false,"suffix":""}],"id":"ITEM-1","issue":"November","issued":{"date-parts":[["2016"]]},"title":"Final report Analysis of the Australian tissue sector","type":"report"},"uris":["http://www.mendeley.com/documents/?uuid=8975474a-f666-474a-b291-09d973255cbd"]}],"mendeley":{"formattedCitation":"(125)","plainTextFormattedCitation":"(125)","previouslyFormattedCitation":"(125)"},"properties":{"noteIndex":0},"schema":"https://github.com/citation-style-language/schema/raw/master/csl-citation.json"}</w:instrText>
      </w:r>
      <w:r w:rsidRPr="006720E4">
        <w:rPr>
          <w:rFonts w:cs="Calibri"/>
          <w:szCs w:val="22"/>
          <w:lang w:eastAsia="en-AU"/>
        </w:rPr>
        <w:fldChar w:fldCharType="separate"/>
      </w:r>
      <w:r w:rsidR="00BA3D76" w:rsidRPr="00BA3D76">
        <w:rPr>
          <w:rFonts w:cs="Calibri"/>
          <w:noProof/>
          <w:szCs w:val="22"/>
          <w:lang w:eastAsia="en-AU"/>
        </w:rPr>
        <w:t>(125)</w:t>
      </w:r>
      <w:r w:rsidRPr="006720E4">
        <w:rPr>
          <w:rFonts w:cs="Calibri"/>
          <w:szCs w:val="22"/>
          <w:lang w:eastAsia="en-AU"/>
        </w:rPr>
        <w:fldChar w:fldCharType="end"/>
      </w:r>
      <w:r w:rsidRPr="006720E4">
        <w:rPr>
          <w:rFonts w:cs="Calibri"/>
          <w:szCs w:val="22"/>
          <w:lang w:eastAsia="en-AU"/>
        </w:rPr>
        <w:t xml:space="preserve"> Alternatively, linkage of the ANZLKD to ANZDATA and Australian death registries can help in the evaluation of kidney-related morbidity and mortality in living donors.  </w:t>
      </w:r>
    </w:p>
    <w:p w14:paraId="7CE1C9E9" w14:textId="3DFDA02A" w:rsidR="007771B2" w:rsidRDefault="006C6EBA" w:rsidP="005E037B">
      <w:pPr>
        <w:spacing w:after="120"/>
        <w:rPr>
          <w:rFonts w:ascii="Calibri" w:hAnsi="Calibri" w:cs="Calibri"/>
          <w:sz w:val="22"/>
          <w:szCs w:val="22"/>
          <w:lang w:eastAsia="en-AU"/>
        </w:rPr>
      </w:pPr>
      <w:r w:rsidRPr="006720E4">
        <w:rPr>
          <w:rFonts w:ascii="Calibri" w:hAnsi="Calibri" w:cs="Calibri"/>
          <w:sz w:val="22"/>
          <w:szCs w:val="22"/>
          <w:lang w:eastAsia="en-AU"/>
        </w:rPr>
        <w:t xml:space="preserve">Collaboration with international or global registries or networks of registries may be necessary to support effective sharing of resources (e.g., the World Marrow Donor Association (WMDA) network which facilitates matching of non-directed HSC donors and recipients globally) or to evaluate Australia’s performance in comparison with that of other countries (e.g., the GODT), helping to inform the public as well as </w:t>
      </w:r>
      <w:r w:rsidRPr="006720E4">
        <w:rPr>
          <w:rFonts w:ascii="Calibri" w:hAnsi="Calibri" w:cs="Calibri"/>
          <w:sz w:val="22"/>
          <w:szCs w:val="22"/>
        </w:rPr>
        <w:t xml:space="preserve">health professionals </w:t>
      </w:r>
      <w:r w:rsidRPr="006720E4">
        <w:rPr>
          <w:rFonts w:ascii="Calibri" w:hAnsi="Calibri" w:cs="Calibri"/>
          <w:sz w:val="22"/>
          <w:szCs w:val="22"/>
          <w:lang w:eastAsia="en-AU"/>
        </w:rPr>
        <w:t>and policy makers.</w:t>
      </w:r>
    </w:p>
    <w:p w14:paraId="06563D31" w14:textId="5259E702" w:rsidR="006C6EBA" w:rsidRPr="005E037B" w:rsidRDefault="00457B32" w:rsidP="005E037B">
      <w:pPr>
        <w:spacing w:after="120"/>
        <w:jc w:val="center"/>
        <w:rPr>
          <w:rFonts w:cs="Calibri"/>
        </w:rPr>
      </w:pPr>
      <w:r>
        <w:rPr>
          <w:noProof/>
        </w:rPr>
        <w:lastRenderedPageBreak/>
        <mc:AlternateContent>
          <mc:Choice Requires="wps">
            <w:drawing>
              <wp:anchor distT="0" distB="0" distL="114300" distR="114300" simplePos="0" relativeHeight="251658247" behindDoc="0" locked="0" layoutInCell="1" allowOverlap="1" wp14:anchorId="2AFDF550" wp14:editId="5D5F57C2">
                <wp:simplePos x="0" y="0"/>
                <wp:positionH relativeFrom="column">
                  <wp:posOffset>-176068</wp:posOffset>
                </wp:positionH>
                <wp:positionV relativeFrom="paragraph">
                  <wp:posOffset>12758</wp:posOffset>
                </wp:positionV>
                <wp:extent cx="1828800" cy="1828800"/>
                <wp:effectExtent l="12700" t="12700" r="19050" b="15875"/>
                <wp:wrapSquare wrapText="bothSides"/>
                <wp:docPr id="240177889" name="Text Box 240177889" descr="P2025TB8#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3CBC1DB5" w14:textId="675D9BAA" w:rsidR="00457B32" w:rsidRPr="007771B2" w:rsidRDefault="00457B32" w:rsidP="005E037B">
                            <w:pPr>
                              <w:spacing w:after="80"/>
                              <w:rPr>
                                <w:rFonts w:ascii="Calibri" w:hAnsi="Calibri" w:cs="Calibri"/>
                                <w:b/>
                                <w:bCs/>
                                <w:sz w:val="22"/>
                                <w:szCs w:val="22"/>
                                <w:lang w:eastAsia="en-AU"/>
                              </w:rPr>
                            </w:pPr>
                            <w:r w:rsidRPr="007771B2">
                              <w:rPr>
                                <w:rFonts w:ascii="Calibri" w:hAnsi="Calibri" w:cs="Calibri"/>
                                <w:b/>
                                <w:bCs/>
                                <w:sz w:val="22"/>
                                <w:szCs w:val="22"/>
                                <w:lang w:eastAsia="en-AU"/>
                              </w:rPr>
                              <w:t>Box 7.</w:t>
                            </w:r>
                            <w:r w:rsidR="005E037B">
                              <w:rPr>
                                <w:rFonts w:ascii="Calibri" w:hAnsi="Calibri" w:cs="Calibri"/>
                                <w:b/>
                                <w:bCs/>
                                <w:sz w:val="22"/>
                                <w:szCs w:val="22"/>
                                <w:lang w:eastAsia="en-AU"/>
                              </w:rPr>
                              <w:t>3</w:t>
                            </w:r>
                            <w:r w:rsidRPr="007771B2">
                              <w:rPr>
                                <w:rFonts w:ascii="Calibri" w:hAnsi="Calibri" w:cs="Calibri"/>
                                <w:b/>
                                <w:bCs/>
                                <w:sz w:val="22"/>
                                <w:szCs w:val="22"/>
                                <w:lang w:eastAsia="en-AU"/>
                              </w:rPr>
                              <w:t xml:space="preserve"> Summary of ethical recommendations regarding collection of donation and transplantation data</w:t>
                            </w:r>
                          </w:p>
                          <w:p w14:paraId="17CC896A" w14:textId="77777777" w:rsidR="00457B32" w:rsidRPr="007771B2" w:rsidRDefault="00457B32" w:rsidP="005E037B">
                            <w:pPr>
                              <w:pStyle w:val="ListParagraph"/>
                              <w:numPr>
                                <w:ilvl w:val="0"/>
                                <w:numId w:val="11"/>
                              </w:numPr>
                              <w:spacing w:after="80"/>
                              <w:contextualSpacing w:val="0"/>
                              <w:rPr>
                                <w:rFonts w:cs="Calibri"/>
                                <w:szCs w:val="22"/>
                              </w:rPr>
                            </w:pPr>
                            <w:r w:rsidRPr="007771B2">
                              <w:rPr>
                                <w:rFonts w:cs="Calibri"/>
                                <w:szCs w:val="22"/>
                              </w:rPr>
                              <w:t>Information about donation and transplantation activities should be routinely collected and reported to relevant registries - or other data repositories -for the purpose of promoting quality and safety, informing guideline or policy development, and informing future decision-making by individuals and health professionals.</w:t>
                            </w:r>
                          </w:p>
                          <w:p w14:paraId="1CC06720"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Individuals should be informed of the nature and purpose of data collection activities and their rights to control the collection and use of their personal data, including the right to withhold or withdraw personal information where relevant.</w:t>
                            </w:r>
                          </w:p>
                          <w:p w14:paraId="1C40F245"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Health professionals should be trained and supported to fulfil their duties with regards to collection, reporting and use of donation and transplantation data.</w:t>
                            </w:r>
                          </w:p>
                          <w:p w14:paraId="029B0B06"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Collective data about donation and transplantation activities should be readily accessible to the public and routinely communicated in reports aimed at informing public understanding of donation and transplantation.</w:t>
                            </w:r>
                          </w:p>
                          <w:p w14:paraId="1102A360"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Potential conflicts of interest that may influence the collection, reporting or use of data should be carefully managed.</w:t>
                            </w:r>
                          </w:p>
                          <w:p w14:paraId="2D424437" w14:textId="77777777" w:rsidR="00457B32" w:rsidRPr="007771B2" w:rsidRDefault="00457B32" w:rsidP="005E037B">
                            <w:pPr>
                              <w:pStyle w:val="ListParagraph"/>
                              <w:numPr>
                                <w:ilvl w:val="0"/>
                                <w:numId w:val="11"/>
                              </w:numPr>
                              <w:spacing w:after="80"/>
                              <w:contextualSpacing w:val="0"/>
                              <w:rPr>
                                <w:rFonts w:cs="Calibri"/>
                                <w:szCs w:val="22"/>
                              </w:rPr>
                            </w:pPr>
                            <w:r w:rsidRPr="007771B2">
                              <w:rPr>
                                <w:rFonts w:cs="Calibri"/>
                                <w:szCs w:val="22"/>
                              </w:rPr>
                              <w:t>Governance of repositories of personal information should be inclusive of representatives of those whose data are collected, in particular by Aboriginal and Torres Strait Islander peoples.</w:t>
                            </w:r>
                          </w:p>
                          <w:p w14:paraId="623FAE25"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The values of individuals and communities whose data are collected should guide collective decision-making.</w:t>
                            </w:r>
                          </w:p>
                          <w:p w14:paraId="4008BC2D"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Where relevant and feasible, individuals or communities should</w:t>
                            </w:r>
                          </w:p>
                          <w:p w14:paraId="2A27D20E" w14:textId="77777777" w:rsidR="00457B32" w:rsidRPr="007771B2" w:rsidRDefault="00457B32" w:rsidP="005E037B">
                            <w:pPr>
                              <w:pStyle w:val="ListParagraph"/>
                              <w:numPr>
                                <w:ilvl w:val="2"/>
                                <w:numId w:val="11"/>
                              </w:numPr>
                              <w:spacing w:after="80"/>
                              <w:contextualSpacing w:val="0"/>
                              <w:rPr>
                                <w:rFonts w:cs="Calibri"/>
                                <w:szCs w:val="22"/>
                              </w:rPr>
                            </w:pPr>
                            <w:r w:rsidRPr="007771B2">
                              <w:rPr>
                                <w:rFonts w:cs="Calibri"/>
                                <w:szCs w:val="22"/>
                              </w:rPr>
                              <w:t>retain ownership of their personal information.</w:t>
                            </w:r>
                          </w:p>
                          <w:p w14:paraId="54B23668" w14:textId="77777777" w:rsidR="00457B32" w:rsidRPr="007771B2" w:rsidRDefault="00457B32" w:rsidP="005E037B">
                            <w:pPr>
                              <w:pStyle w:val="ListParagraph"/>
                              <w:numPr>
                                <w:ilvl w:val="2"/>
                                <w:numId w:val="11"/>
                              </w:numPr>
                              <w:spacing w:after="80"/>
                              <w:contextualSpacing w:val="0"/>
                              <w:rPr>
                                <w:rFonts w:cs="Calibri"/>
                                <w:szCs w:val="22"/>
                              </w:rPr>
                            </w:pPr>
                            <w:r w:rsidRPr="007771B2">
                              <w:rPr>
                                <w:rFonts w:cs="Calibri"/>
                                <w:szCs w:val="22"/>
                              </w:rPr>
                              <w:t>be able to access and make use of their information.</w:t>
                            </w:r>
                          </w:p>
                          <w:p w14:paraId="53DE0D05" w14:textId="77777777" w:rsidR="00457B32" w:rsidRPr="007771B2" w:rsidRDefault="00457B32" w:rsidP="005E037B">
                            <w:pPr>
                              <w:pStyle w:val="ListParagraph"/>
                              <w:numPr>
                                <w:ilvl w:val="2"/>
                                <w:numId w:val="11"/>
                              </w:numPr>
                              <w:spacing w:after="80"/>
                              <w:contextualSpacing w:val="0"/>
                              <w:rPr>
                                <w:rFonts w:cs="Calibri"/>
                                <w:szCs w:val="22"/>
                              </w:rPr>
                            </w:pPr>
                            <w:r w:rsidRPr="007771B2">
                              <w:rPr>
                                <w:rFonts w:cs="Calibri"/>
                                <w:szCs w:val="22"/>
                              </w:rPr>
                              <w:t>play a leading role in decision-making about further use of personal information.</w:t>
                            </w:r>
                          </w:p>
                          <w:p w14:paraId="08A65F79" w14:textId="77777777" w:rsidR="00457B32" w:rsidRPr="007771B2" w:rsidRDefault="00457B32" w:rsidP="005E037B">
                            <w:pPr>
                              <w:pStyle w:val="ListParagraph"/>
                              <w:numPr>
                                <w:ilvl w:val="0"/>
                                <w:numId w:val="11"/>
                              </w:numPr>
                              <w:spacing w:after="80"/>
                              <w:contextualSpacing w:val="0"/>
                              <w:rPr>
                                <w:rFonts w:cs="Calibri"/>
                                <w:szCs w:val="22"/>
                              </w:rPr>
                            </w:pPr>
                            <w:r w:rsidRPr="007771B2">
                              <w:rPr>
                                <w:rFonts w:cs="Calibri"/>
                                <w:szCs w:val="22"/>
                              </w:rPr>
                              <w:t>Donation and transplantation data that can support and promote Aboriginal and Torres Strait Islander health should be used to monitor outcomes of donation and transplantation, report progress and developments in donation and transplantation, and inform Aboriginal and Torres Strait Islander people of activities and outcomes directed toward reducing inequities in donation and transplantation for Aboriginal and Torres Strait Islander people.</w:t>
                            </w:r>
                          </w:p>
                          <w:p w14:paraId="71A95296" w14:textId="77777777" w:rsidR="00457B32" w:rsidRPr="007771B2" w:rsidRDefault="00457B32" w:rsidP="005E037B">
                            <w:pPr>
                              <w:pStyle w:val="ListParagraph"/>
                              <w:numPr>
                                <w:ilvl w:val="0"/>
                                <w:numId w:val="11"/>
                              </w:numPr>
                              <w:spacing w:after="80"/>
                              <w:contextualSpacing w:val="0"/>
                              <w:rPr>
                                <w:rFonts w:cs="Calibri"/>
                                <w:szCs w:val="22"/>
                              </w:rPr>
                            </w:pPr>
                            <w:r w:rsidRPr="007771B2">
                              <w:rPr>
                                <w:rFonts w:cs="Calibri"/>
                                <w:szCs w:val="22"/>
                              </w:rPr>
                              <w:t>Data should be routinely collected and reported to help inform estimates of needs for transplantation and to evaluate performance of donation and transplantation activities.</w:t>
                            </w:r>
                          </w:p>
                          <w:p w14:paraId="07D23616" w14:textId="67945967" w:rsidR="00457B32" w:rsidRPr="007771B2" w:rsidRDefault="00457B32" w:rsidP="005E037B">
                            <w:pPr>
                              <w:pStyle w:val="FootnoteText1"/>
                              <w:numPr>
                                <w:ilvl w:val="1"/>
                                <w:numId w:val="11"/>
                              </w:numPr>
                              <w:spacing w:after="80"/>
                              <w:rPr>
                                <w:rFonts w:cs="Calibri"/>
                                <w:sz w:val="22"/>
                                <w:szCs w:val="22"/>
                              </w:rPr>
                            </w:pPr>
                            <w:r w:rsidRPr="007771B2">
                              <w:rPr>
                                <w:rFonts w:cs="Calibri"/>
                                <w:sz w:val="22"/>
                                <w:szCs w:val="22"/>
                              </w:rPr>
                              <w:t>Formal waiting lists for transplantation or equivalent methods to monitor demand for and use of cells, tissues and organs should be maintained.</w:t>
                            </w:r>
                          </w:p>
                          <w:p w14:paraId="2671AB8E" w14:textId="4136B808" w:rsidR="00457B32" w:rsidRPr="007771B2" w:rsidRDefault="00457B32" w:rsidP="005E037B">
                            <w:pPr>
                              <w:pStyle w:val="FootnoteText1"/>
                              <w:numPr>
                                <w:ilvl w:val="1"/>
                                <w:numId w:val="11"/>
                              </w:numPr>
                              <w:spacing w:after="80"/>
                              <w:rPr>
                                <w:rFonts w:cs="Calibri"/>
                                <w:sz w:val="22"/>
                                <w:szCs w:val="22"/>
                              </w:rPr>
                            </w:pPr>
                            <w:r w:rsidRPr="007771B2">
                              <w:rPr>
                                <w:rFonts w:cs="Calibri"/>
                                <w:sz w:val="22"/>
                                <w:szCs w:val="22"/>
                              </w:rPr>
                              <w:t>Data should be collected, for example, regarding prevalence of end stage organ failure in the population, unmatched candidates for haematopoietic stem cell transplantation, and clinical requests for tissues that cannot be met.</w:t>
                            </w:r>
                          </w:p>
                          <w:p w14:paraId="1DEA485D" w14:textId="15B4FAA6" w:rsidR="00457B32" w:rsidRPr="005E037B" w:rsidRDefault="00457B32" w:rsidP="005E037B">
                            <w:pPr>
                              <w:pStyle w:val="ListParagraph"/>
                              <w:numPr>
                                <w:ilvl w:val="1"/>
                                <w:numId w:val="11"/>
                              </w:numPr>
                              <w:spacing w:after="80"/>
                              <w:contextualSpacing w:val="0"/>
                              <w:rPr>
                                <w:rFonts w:cs="Calibri"/>
                                <w:szCs w:val="22"/>
                              </w:rPr>
                            </w:pPr>
                            <w:r w:rsidRPr="007771B2">
                              <w:rPr>
                                <w:rFonts w:cs="Calibri"/>
                                <w:szCs w:val="22"/>
                              </w:rPr>
                              <w:t>Policies and data should be open to public scrutiny in order to maintain accountability to the public.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FDF550" id="Text Box 240177889" o:spid="_x0000_s1035" type="#_x0000_t202" alt="P2025TB8#y1" style="position:absolute;left:0;text-align:left;margin-left:-13.85pt;margin-top:1pt;width:2in;height:2in;z-index:25165824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" filled="f" strokecolor="black [3213]" strokeweight="1.5pt">
                <v:textbox style="mso-fit-shape-to-text:t">
                  <w:txbxContent>
                    <w:p w14:paraId="3CBC1DB5" w14:textId="675D9BAA" w:rsidR="00457B32" w:rsidRPr="007771B2" w:rsidRDefault="00457B32" w:rsidP="005E037B">
                      <w:pPr>
                        <w:spacing w:after="80"/>
                        <w:rPr>
                          <w:rFonts w:ascii="Calibri" w:hAnsi="Calibri" w:cs="Calibri"/>
                          <w:b/>
                          <w:bCs/>
                          <w:sz w:val="22"/>
                          <w:szCs w:val="22"/>
                          <w:lang w:eastAsia="en-AU"/>
                        </w:rPr>
                      </w:pPr>
                      <w:r w:rsidRPr="007771B2">
                        <w:rPr>
                          <w:rFonts w:ascii="Calibri" w:hAnsi="Calibri" w:cs="Calibri"/>
                          <w:b/>
                          <w:bCs/>
                          <w:sz w:val="22"/>
                          <w:szCs w:val="22"/>
                          <w:lang w:eastAsia="en-AU"/>
                        </w:rPr>
                        <w:t>Box 7.</w:t>
                      </w:r>
                      <w:r w:rsidR="005E037B">
                        <w:rPr>
                          <w:rFonts w:ascii="Calibri" w:hAnsi="Calibri" w:cs="Calibri"/>
                          <w:b/>
                          <w:bCs/>
                          <w:sz w:val="22"/>
                          <w:szCs w:val="22"/>
                          <w:lang w:eastAsia="en-AU"/>
                        </w:rPr>
                        <w:t>3</w:t>
                      </w:r>
                      <w:r w:rsidRPr="007771B2">
                        <w:rPr>
                          <w:rFonts w:ascii="Calibri" w:hAnsi="Calibri" w:cs="Calibri"/>
                          <w:b/>
                          <w:bCs/>
                          <w:sz w:val="22"/>
                          <w:szCs w:val="22"/>
                          <w:lang w:eastAsia="en-AU"/>
                        </w:rPr>
                        <w:t xml:space="preserve"> Summary of ethical recommendations regarding collection of donation and transplantation data</w:t>
                      </w:r>
                    </w:p>
                    <w:p w14:paraId="17CC896A" w14:textId="77777777" w:rsidR="00457B32" w:rsidRPr="007771B2" w:rsidRDefault="00457B32" w:rsidP="005E037B">
                      <w:pPr>
                        <w:pStyle w:val="ListParagraph"/>
                        <w:numPr>
                          <w:ilvl w:val="0"/>
                          <w:numId w:val="11"/>
                        </w:numPr>
                        <w:spacing w:after="80"/>
                        <w:contextualSpacing w:val="0"/>
                        <w:rPr>
                          <w:rFonts w:cs="Calibri"/>
                          <w:szCs w:val="22"/>
                        </w:rPr>
                      </w:pPr>
                      <w:r w:rsidRPr="007771B2">
                        <w:rPr>
                          <w:rFonts w:cs="Calibri"/>
                          <w:szCs w:val="22"/>
                        </w:rPr>
                        <w:t>Information about donation and transplantation activities should be routinely collected and reported to relevant registries - or other data repositories -for the purpose of promoting quality and safety, informing guideline or policy development, and informing future decision-making by individuals and health professionals.</w:t>
                      </w:r>
                    </w:p>
                    <w:p w14:paraId="1CC06720"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Individuals should be informed of the nature and purpose of data collection activities and their rights to control the collection and use of their personal data, including the right to withhold or withdraw personal information where relevant.</w:t>
                      </w:r>
                    </w:p>
                    <w:p w14:paraId="1C40F245"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Health professionals should be trained and supported to fulfil their duties with regards to collection, reporting and use of donation and transplantation data.</w:t>
                      </w:r>
                    </w:p>
                    <w:p w14:paraId="029B0B06"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Collective data about donation and transplantation activities should be readily accessible to the public and routinely communicated in reports aimed at informing public understanding of donation and transplantation.</w:t>
                      </w:r>
                    </w:p>
                    <w:p w14:paraId="1102A360"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Potential conflicts of interest that may influence the collection, reporting or use of data should be carefully managed.</w:t>
                      </w:r>
                    </w:p>
                    <w:p w14:paraId="2D424437" w14:textId="77777777" w:rsidR="00457B32" w:rsidRPr="007771B2" w:rsidRDefault="00457B32" w:rsidP="005E037B">
                      <w:pPr>
                        <w:pStyle w:val="ListParagraph"/>
                        <w:numPr>
                          <w:ilvl w:val="0"/>
                          <w:numId w:val="11"/>
                        </w:numPr>
                        <w:spacing w:after="80"/>
                        <w:contextualSpacing w:val="0"/>
                        <w:rPr>
                          <w:rFonts w:cs="Calibri"/>
                          <w:szCs w:val="22"/>
                        </w:rPr>
                      </w:pPr>
                      <w:r w:rsidRPr="007771B2">
                        <w:rPr>
                          <w:rFonts w:cs="Calibri"/>
                          <w:szCs w:val="22"/>
                        </w:rPr>
                        <w:t>Governance of repositories of personal information should be inclusive of representatives of those whose data are collected, in particular by Aboriginal and Torres Strait Islander peoples.</w:t>
                      </w:r>
                    </w:p>
                    <w:p w14:paraId="623FAE25"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The values of individuals and communities whose data are collected should guide collective decision-making.</w:t>
                      </w:r>
                    </w:p>
                    <w:p w14:paraId="4008BC2D" w14:textId="77777777" w:rsidR="00457B32" w:rsidRPr="007771B2" w:rsidRDefault="00457B32" w:rsidP="005E037B">
                      <w:pPr>
                        <w:pStyle w:val="ListParagraph"/>
                        <w:numPr>
                          <w:ilvl w:val="1"/>
                          <w:numId w:val="11"/>
                        </w:numPr>
                        <w:spacing w:after="80"/>
                        <w:contextualSpacing w:val="0"/>
                        <w:rPr>
                          <w:rFonts w:cs="Calibri"/>
                          <w:szCs w:val="22"/>
                        </w:rPr>
                      </w:pPr>
                      <w:r w:rsidRPr="007771B2">
                        <w:rPr>
                          <w:rFonts w:cs="Calibri"/>
                          <w:szCs w:val="22"/>
                        </w:rPr>
                        <w:t>Where relevant and feasible, individuals or communities should</w:t>
                      </w:r>
                    </w:p>
                    <w:p w14:paraId="2A27D20E" w14:textId="77777777" w:rsidR="00457B32" w:rsidRPr="007771B2" w:rsidRDefault="00457B32" w:rsidP="005E037B">
                      <w:pPr>
                        <w:pStyle w:val="ListParagraph"/>
                        <w:numPr>
                          <w:ilvl w:val="2"/>
                          <w:numId w:val="11"/>
                        </w:numPr>
                        <w:spacing w:after="80"/>
                        <w:contextualSpacing w:val="0"/>
                        <w:rPr>
                          <w:rFonts w:cs="Calibri"/>
                          <w:szCs w:val="22"/>
                        </w:rPr>
                      </w:pPr>
                      <w:r w:rsidRPr="007771B2">
                        <w:rPr>
                          <w:rFonts w:cs="Calibri"/>
                          <w:szCs w:val="22"/>
                        </w:rPr>
                        <w:t>retain ownership of their personal information.</w:t>
                      </w:r>
                    </w:p>
                    <w:p w14:paraId="54B23668" w14:textId="77777777" w:rsidR="00457B32" w:rsidRPr="007771B2" w:rsidRDefault="00457B32" w:rsidP="005E037B">
                      <w:pPr>
                        <w:pStyle w:val="ListParagraph"/>
                        <w:numPr>
                          <w:ilvl w:val="2"/>
                          <w:numId w:val="11"/>
                        </w:numPr>
                        <w:spacing w:after="80"/>
                        <w:contextualSpacing w:val="0"/>
                        <w:rPr>
                          <w:rFonts w:cs="Calibri"/>
                          <w:szCs w:val="22"/>
                        </w:rPr>
                      </w:pPr>
                      <w:r w:rsidRPr="007771B2">
                        <w:rPr>
                          <w:rFonts w:cs="Calibri"/>
                          <w:szCs w:val="22"/>
                        </w:rPr>
                        <w:t>be able to access and make use of their information.</w:t>
                      </w:r>
                    </w:p>
                    <w:p w14:paraId="53DE0D05" w14:textId="77777777" w:rsidR="00457B32" w:rsidRPr="007771B2" w:rsidRDefault="00457B32" w:rsidP="005E037B">
                      <w:pPr>
                        <w:pStyle w:val="ListParagraph"/>
                        <w:numPr>
                          <w:ilvl w:val="2"/>
                          <w:numId w:val="11"/>
                        </w:numPr>
                        <w:spacing w:after="80"/>
                        <w:contextualSpacing w:val="0"/>
                        <w:rPr>
                          <w:rFonts w:cs="Calibri"/>
                          <w:szCs w:val="22"/>
                        </w:rPr>
                      </w:pPr>
                      <w:r w:rsidRPr="007771B2">
                        <w:rPr>
                          <w:rFonts w:cs="Calibri"/>
                          <w:szCs w:val="22"/>
                        </w:rPr>
                        <w:t>play a leading role in decision-making about further use of personal information.</w:t>
                      </w:r>
                    </w:p>
                    <w:p w14:paraId="08A65F79" w14:textId="77777777" w:rsidR="00457B32" w:rsidRPr="007771B2" w:rsidRDefault="00457B32" w:rsidP="005E037B">
                      <w:pPr>
                        <w:pStyle w:val="ListParagraph"/>
                        <w:numPr>
                          <w:ilvl w:val="0"/>
                          <w:numId w:val="11"/>
                        </w:numPr>
                        <w:spacing w:after="80"/>
                        <w:contextualSpacing w:val="0"/>
                        <w:rPr>
                          <w:rFonts w:cs="Calibri"/>
                          <w:szCs w:val="22"/>
                        </w:rPr>
                      </w:pPr>
                      <w:r w:rsidRPr="007771B2">
                        <w:rPr>
                          <w:rFonts w:cs="Calibri"/>
                          <w:szCs w:val="22"/>
                        </w:rPr>
                        <w:t>Donation and transplantation data that can support and promote Aboriginal and Torres Strait Islander health should be used to monitor outcomes of donation and transplantation, report progress and developments in donation and transplantation, and inform Aboriginal and Torres Strait Islander people of activities and outcomes directed toward reducing inequities in donation and transplantation for Aboriginal and Torres Strait Islander people.</w:t>
                      </w:r>
                    </w:p>
                    <w:p w14:paraId="71A95296" w14:textId="77777777" w:rsidR="00457B32" w:rsidRPr="007771B2" w:rsidRDefault="00457B32" w:rsidP="005E037B">
                      <w:pPr>
                        <w:pStyle w:val="ListParagraph"/>
                        <w:numPr>
                          <w:ilvl w:val="0"/>
                          <w:numId w:val="11"/>
                        </w:numPr>
                        <w:spacing w:after="80"/>
                        <w:contextualSpacing w:val="0"/>
                        <w:rPr>
                          <w:rFonts w:cs="Calibri"/>
                          <w:szCs w:val="22"/>
                        </w:rPr>
                      </w:pPr>
                      <w:r w:rsidRPr="007771B2">
                        <w:rPr>
                          <w:rFonts w:cs="Calibri"/>
                          <w:szCs w:val="22"/>
                        </w:rPr>
                        <w:t>Data should be routinely collected and reported to help inform estimates of needs for transplantation and to evaluate performance of donation and transplantation activities.</w:t>
                      </w:r>
                    </w:p>
                    <w:p w14:paraId="07D23616" w14:textId="67945967" w:rsidR="00457B32" w:rsidRPr="007771B2" w:rsidRDefault="00457B32" w:rsidP="005E037B">
                      <w:pPr>
                        <w:pStyle w:val="FootnoteText1"/>
                        <w:numPr>
                          <w:ilvl w:val="1"/>
                          <w:numId w:val="11"/>
                        </w:numPr>
                        <w:spacing w:after="80"/>
                        <w:rPr>
                          <w:rFonts w:cs="Calibri"/>
                          <w:sz w:val="22"/>
                          <w:szCs w:val="22"/>
                        </w:rPr>
                      </w:pPr>
                      <w:r w:rsidRPr="007771B2">
                        <w:rPr>
                          <w:rFonts w:cs="Calibri"/>
                          <w:sz w:val="22"/>
                          <w:szCs w:val="22"/>
                        </w:rPr>
                        <w:t>Formal waiting lists for transplantation or equivalent methods to monitor demand for and use of cells, tissues and organs should be maintained.</w:t>
                      </w:r>
                    </w:p>
                    <w:p w14:paraId="2671AB8E" w14:textId="4136B808" w:rsidR="00457B32" w:rsidRPr="007771B2" w:rsidRDefault="00457B32" w:rsidP="005E037B">
                      <w:pPr>
                        <w:pStyle w:val="FootnoteText1"/>
                        <w:numPr>
                          <w:ilvl w:val="1"/>
                          <w:numId w:val="11"/>
                        </w:numPr>
                        <w:spacing w:after="80"/>
                        <w:rPr>
                          <w:rFonts w:cs="Calibri"/>
                          <w:sz w:val="22"/>
                          <w:szCs w:val="22"/>
                        </w:rPr>
                      </w:pPr>
                      <w:r w:rsidRPr="007771B2">
                        <w:rPr>
                          <w:rFonts w:cs="Calibri"/>
                          <w:sz w:val="22"/>
                          <w:szCs w:val="22"/>
                        </w:rPr>
                        <w:t>Data should be collected, for example, regarding prevalence of end stage organ failure in the population, unmatched candidates for haematopoietic stem cell transplantation, and clinical requests for tissues that cannot be met.</w:t>
                      </w:r>
                    </w:p>
                    <w:p w14:paraId="1DEA485D" w14:textId="15B4FAA6" w:rsidR="00457B32" w:rsidRPr="005E037B" w:rsidRDefault="00457B32" w:rsidP="005E037B">
                      <w:pPr>
                        <w:pStyle w:val="ListParagraph"/>
                        <w:numPr>
                          <w:ilvl w:val="1"/>
                          <w:numId w:val="11"/>
                        </w:numPr>
                        <w:spacing w:after="80"/>
                        <w:contextualSpacing w:val="0"/>
                        <w:rPr>
                          <w:rFonts w:cs="Calibri"/>
                          <w:szCs w:val="22"/>
                        </w:rPr>
                      </w:pPr>
                      <w:r w:rsidRPr="007771B2">
                        <w:rPr>
                          <w:rFonts w:cs="Calibri"/>
                          <w:szCs w:val="22"/>
                        </w:rPr>
                        <w:t>Policies and data should be open to public scrutiny in order to maintain accountability to the public.</w:t>
                      </w:r>
                    </w:p>
                  </w:txbxContent>
                </v:textbox>
                <w10:wrap type="square"/>
              </v:shape>
            </w:pict>
          </mc:Fallback>
        </mc:AlternateContent>
      </w:r>
    </w:p>
    <w:p w14:paraId="35763D58" w14:textId="109E532F" w:rsidR="006C6EBA" w:rsidRPr="006720E4" w:rsidRDefault="00457B32" w:rsidP="00EA22AE">
      <w:pPr>
        <w:spacing w:after="120"/>
        <w:rPr>
          <w:rFonts w:ascii="Calibri" w:hAnsi="Calibri" w:cs="Calibri"/>
          <w:highlight w:val="yellow"/>
          <w:lang w:eastAsia="en-AU"/>
        </w:rPr>
      </w:pPr>
      <w:r>
        <w:rPr>
          <w:noProof/>
        </w:rPr>
        <w:lastRenderedPageBreak/>
        <mc:AlternateContent>
          <mc:Choice Requires="wps">
            <w:drawing>
              <wp:anchor distT="0" distB="0" distL="114300" distR="114300" simplePos="0" relativeHeight="251658248" behindDoc="0" locked="0" layoutInCell="1" allowOverlap="1" wp14:anchorId="24E9EA46" wp14:editId="2DB6A271">
                <wp:simplePos x="0" y="0"/>
                <wp:positionH relativeFrom="column">
                  <wp:posOffset>0</wp:posOffset>
                </wp:positionH>
                <wp:positionV relativeFrom="paragraph">
                  <wp:posOffset>0</wp:posOffset>
                </wp:positionV>
                <wp:extent cx="1828800" cy="1828800"/>
                <wp:effectExtent l="12700" t="12700" r="19050" b="6985"/>
                <wp:wrapSquare wrapText="bothSides"/>
                <wp:docPr id="1314472576" name="Text Box 1314472576" descr="P2026TB9#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3117B1D2" w14:textId="77777777" w:rsidR="000E6063" w:rsidRPr="007771B2" w:rsidRDefault="000E6063" w:rsidP="000E6063">
                            <w:pPr>
                              <w:pStyle w:val="ListParagraph"/>
                              <w:numPr>
                                <w:ilvl w:val="0"/>
                                <w:numId w:val="11"/>
                              </w:numPr>
                              <w:spacing w:after="80"/>
                              <w:contextualSpacing w:val="0"/>
                              <w:rPr>
                                <w:rFonts w:cs="Calibri"/>
                                <w:szCs w:val="22"/>
                              </w:rPr>
                            </w:pPr>
                            <w:r w:rsidRPr="007771B2">
                              <w:rPr>
                                <w:rFonts w:cs="Calibri"/>
                                <w:szCs w:val="22"/>
                              </w:rPr>
                              <w:t>Registries of recipients of transplants should be established and maintained for the purpose of vigilance and surveillance and follow up care of transplant recipients and to assist in evaluating outcomes of allocation policies and decisions.</w:t>
                            </w:r>
                          </w:p>
                          <w:p w14:paraId="750D8640" w14:textId="77777777" w:rsidR="000E6063" w:rsidRPr="007771B2" w:rsidRDefault="000E6063" w:rsidP="000E6063">
                            <w:pPr>
                              <w:pStyle w:val="FootnoteText1"/>
                              <w:numPr>
                                <w:ilvl w:val="1"/>
                                <w:numId w:val="11"/>
                              </w:numPr>
                              <w:spacing w:after="80"/>
                              <w:rPr>
                                <w:rFonts w:cs="Calibri"/>
                                <w:sz w:val="22"/>
                                <w:szCs w:val="22"/>
                              </w:rPr>
                            </w:pPr>
                            <w:r w:rsidRPr="007771B2">
                              <w:rPr>
                                <w:rFonts w:cs="Calibri"/>
                                <w:sz w:val="22"/>
                                <w:szCs w:val="22"/>
                              </w:rPr>
                              <w:t xml:space="preserve">Registries reporting outcomes for living organ and HSC donors should be established and maintained, and used to evaluate policies guiding </w:t>
                            </w:r>
                            <w:r w:rsidRPr="007771B2">
                              <w:rPr>
                                <w:rFonts w:cs="Calibri"/>
                                <w:sz w:val="21"/>
                                <w:szCs w:val="21"/>
                              </w:rPr>
                              <w:t>selection</w:t>
                            </w:r>
                            <w:r w:rsidRPr="007771B2">
                              <w:rPr>
                                <w:rFonts w:cs="Calibri"/>
                                <w:sz w:val="22"/>
                                <w:szCs w:val="22"/>
                              </w:rPr>
                              <w:t>, management and follow up care of donors.</w:t>
                            </w:r>
                          </w:p>
                          <w:p w14:paraId="07E6820C" w14:textId="4BD0521C" w:rsidR="000E6063" w:rsidRPr="000E6063" w:rsidRDefault="000E6063" w:rsidP="000E6063">
                            <w:pPr>
                              <w:pStyle w:val="ListParagraph"/>
                              <w:numPr>
                                <w:ilvl w:val="1"/>
                                <w:numId w:val="11"/>
                              </w:numPr>
                              <w:spacing w:after="80"/>
                              <w:rPr>
                                <w:rFonts w:cs="Calibri"/>
                                <w:szCs w:val="22"/>
                              </w:rPr>
                            </w:pPr>
                            <w:r w:rsidRPr="007771B2">
                              <w:rPr>
                                <w:rFonts w:cs="Calibri"/>
                                <w:szCs w:val="22"/>
                              </w:rPr>
                              <w:t xml:space="preserve">Consideration should be given to mandatory reporting of kidney failure in living kidney donors.  </w:t>
                            </w:r>
                          </w:p>
                          <w:p w14:paraId="71E165AD" w14:textId="77777777" w:rsidR="00457B32" w:rsidRPr="007771B2" w:rsidRDefault="00457B32" w:rsidP="00457B32">
                            <w:pPr>
                              <w:pStyle w:val="ListParagraph"/>
                              <w:numPr>
                                <w:ilvl w:val="0"/>
                                <w:numId w:val="11"/>
                              </w:numPr>
                              <w:spacing w:after="80"/>
                              <w:contextualSpacing w:val="0"/>
                              <w:rPr>
                                <w:rFonts w:cs="Calibri"/>
                                <w:szCs w:val="22"/>
                              </w:rPr>
                            </w:pPr>
                            <w:r w:rsidRPr="007771B2">
                              <w:rPr>
                                <w:rFonts w:cs="Calibri"/>
                                <w:szCs w:val="22"/>
                              </w:rPr>
                              <w:t>Repositories of donation and transplantation data should be designed to facilitate sharing of data where appropriate to optimise the value of these data in informing donation and transplantation activities and decision-making.</w:t>
                            </w:r>
                          </w:p>
                          <w:p w14:paraId="6F069A4D" w14:textId="77777777" w:rsidR="00457B32" w:rsidRPr="007771B2" w:rsidRDefault="00457B32" w:rsidP="00457B32">
                            <w:pPr>
                              <w:pStyle w:val="ListParagraph"/>
                              <w:numPr>
                                <w:ilvl w:val="1"/>
                                <w:numId w:val="11"/>
                              </w:numPr>
                              <w:spacing w:after="80"/>
                              <w:contextualSpacing w:val="0"/>
                              <w:rPr>
                                <w:rFonts w:cs="Calibri"/>
                                <w:szCs w:val="22"/>
                              </w:rPr>
                            </w:pPr>
                            <w:r w:rsidRPr="007771B2">
                              <w:rPr>
                                <w:rFonts w:cs="Calibri"/>
                                <w:szCs w:val="22"/>
                              </w:rPr>
                              <w:t>Standardised nomenclature and consistent terminology should be used to assist in cross-linkage and comparison of data where relevant.</w:t>
                            </w:r>
                          </w:p>
                          <w:p w14:paraId="6B5A70EF" w14:textId="77777777" w:rsidR="00457B32" w:rsidRPr="007771B2" w:rsidRDefault="00457B32" w:rsidP="00457B32">
                            <w:pPr>
                              <w:pStyle w:val="ListParagraph"/>
                              <w:numPr>
                                <w:ilvl w:val="1"/>
                                <w:numId w:val="11"/>
                              </w:numPr>
                              <w:spacing w:after="80"/>
                              <w:contextualSpacing w:val="0"/>
                              <w:rPr>
                                <w:rFonts w:cs="Calibri"/>
                                <w:szCs w:val="22"/>
                              </w:rPr>
                            </w:pPr>
                            <w:r w:rsidRPr="007771B2">
                              <w:rPr>
                                <w:rFonts w:cs="Calibri"/>
                                <w:szCs w:val="22"/>
                              </w:rPr>
                              <w:t>National and international sharing of data should be facilitated where appropriate to better inform evaluation of local activities and to support ethical exchange of donated cells, tissues and organs.</w:t>
                            </w:r>
                          </w:p>
                          <w:p w14:paraId="07AB6F7F" w14:textId="77777777" w:rsidR="00457B32" w:rsidRPr="007771B2" w:rsidRDefault="00457B32" w:rsidP="00457B32">
                            <w:pPr>
                              <w:pStyle w:val="ListParagraph"/>
                              <w:numPr>
                                <w:ilvl w:val="1"/>
                                <w:numId w:val="11"/>
                              </w:numPr>
                              <w:spacing w:after="80"/>
                              <w:contextualSpacing w:val="0"/>
                              <w:rPr>
                                <w:rFonts w:cs="Calibri"/>
                                <w:szCs w:val="22"/>
                              </w:rPr>
                            </w:pPr>
                            <w:r w:rsidRPr="007771B2">
                              <w:rPr>
                                <w:rFonts w:cs="Calibri"/>
                                <w:szCs w:val="22"/>
                              </w:rPr>
                              <w:t>Access to and sharing of data should only occur when relevant safeguards are in place to protect privacy and security of data, and when data are shared in accordance with the values, goals and priorities of relevant governance frameworks.</w:t>
                            </w:r>
                          </w:p>
                          <w:p w14:paraId="56E1198D" w14:textId="77777777" w:rsidR="00457B32" w:rsidRPr="00EC4EF0" w:rsidRDefault="00457B32">
                            <w:pPr>
                              <w:pStyle w:val="ListParagraph"/>
                              <w:numPr>
                                <w:ilvl w:val="0"/>
                                <w:numId w:val="11"/>
                              </w:numPr>
                              <w:spacing w:after="80"/>
                              <w:rPr>
                                <w:rFonts w:cs="Calibri"/>
                                <w:szCs w:val="22"/>
                              </w:rPr>
                            </w:pPr>
                            <w:r w:rsidRPr="006720E4">
                              <w:rPr>
                                <w:rFonts w:cs="Calibri"/>
                                <w:szCs w:val="22"/>
                              </w:rPr>
                              <w:t>Regular audits should be conducted to review decision-making, outcomes of decisions, and policies and practices in donation and transplantation.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E9EA46" id="Text Box 1314472576" o:spid="_x0000_s1036" type="#_x0000_t202" alt="P2026TB9#y1" style="position:absolute;margin-left:0;margin-top:0;width:2in;height:2in;z-index:251658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" filled="f" strokecolor="black [3213]" strokeweight="1.5pt">
                <v:textbox style="mso-fit-shape-to-text:t">
                  <w:txbxContent>
                    <w:p w14:paraId="3117B1D2" w14:textId="77777777" w:rsidR="000E6063" w:rsidRPr="007771B2" w:rsidRDefault="000E6063" w:rsidP="000E6063">
                      <w:pPr>
                        <w:pStyle w:val="ListParagraph"/>
                        <w:numPr>
                          <w:ilvl w:val="0"/>
                          <w:numId w:val="11"/>
                        </w:numPr>
                        <w:spacing w:after="80"/>
                        <w:contextualSpacing w:val="0"/>
                        <w:rPr>
                          <w:rFonts w:cs="Calibri"/>
                          <w:szCs w:val="22"/>
                        </w:rPr>
                      </w:pPr>
                      <w:r w:rsidRPr="007771B2">
                        <w:rPr>
                          <w:rFonts w:cs="Calibri"/>
                          <w:szCs w:val="22"/>
                        </w:rPr>
                        <w:t>Registries of recipients of transplants should be established and maintained for the purpose of vigilance and surveillance and follow up care of transplant recipients and to assist in evaluating outcomes of allocation policies and decisions.</w:t>
                      </w:r>
                    </w:p>
                    <w:p w14:paraId="750D8640" w14:textId="77777777" w:rsidR="000E6063" w:rsidRPr="007771B2" w:rsidRDefault="000E6063" w:rsidP="000E6063">
                      <w:pPr>
                        <w:pStyle w:val="FootnoteText1"/>
                        <w:numPr>
                          <w:ilvl w:val="1"/>
                          <w:numId w:val="11"/>
                        </w:numPr>
                        <w:spacing w:after="80"/>
                        <w:rPr>
                          <w:rFonts w:cs="Calibri"/>
                          <w:sz w:val="22"/>
                          <w:szCs w:val="22"/>
                        </w:rPr>
                      </w:pPr>
                      <w:r w:rsidRPr="007771B2">
                        <w:rPr>
                          <w:rFonts w:cs="Calibri"/>
                          <w:sz w:val="22"/>
                          <w:szCs w:val="22"/>
                        </w:rPr>
                        <w:t xml:space="preserve">Registries reporting outcomes for living organ and HSC donors should be established and maintained, and used to evaluate policies guiding </w:t>
                      </w:r>
                      <w:r w:rsidRPr="007771B2">
                        <w:rPr>
                          <w:rFonts w:cs="Calibri"/>
                          <w:sz w:val="21"/>
                          <w:szCs w:val="21"/>
                        </w:rPr>
                        <w:t>selection</w:t>
                      </w:r>
                      <w:r w:rsidRPr="007771B2">
                        <w:rPr>
                          <w:rFonts w:cs="Calibri"/>
                          <w:sz w:val="22"/>
                          <w:szCs w:val="22"/>
                        </w:rPr>
                        <w:t>, management and follow up care of donors.</w:t>
                      </w:r>
                    </w:p>
                    <w:p w14:paraId="07E6820C" w14:textId="4BD0521C" w:rsidR="000E6063" w:rsidRPr="000E6063" w:rsidRDefault="000E6063" w:rsidP="000E6063">
                      <w:pPr>
                        <w:pStyle w:val="ListParagraph"/>
                        <w:numPr>
                          <w:ilvl w:val="1"/>
                          <w:numId w:val="11"/>
                        </w:numPr>
                        <w:spacing w:after="80"/>
                        <w:rPr>
                          <w:rFonts w:cs="Calibri"/>
                          <w:szCs w:val="22"/>
                        </w:rPr>
                      </w:pPr>
                      <w:r w:rsidRPr="007771B2">
                        <w:rPr>
                          <w:rFonts w:cs="Calibri"/>
                          <w:szCs w:val="22"/>
                        </w:rPr>
                        <w:t xml:space="preserve">Consideration should be given to mandatory reporting of kidney failure in living kidney donors.  </w:t>
                      </w:r>
                    </w:p>
                    <w:p w14:paraId="71E165AD" w14:textId="77777777" w:rsidR="00457B32" w:rsidRPr="007771B2" w:rsidRDefault="00457B32" w:rsidP="00457B32">
                      <w:pPr>
                        <w:pStyle w:val="ListParagraph"/>
                        <w:numPr>
                          <w:ilvl w:val="0"/>
                          <w:numId w:val="11"/>
                        </w:numPr>
                        <w:spacing w:after="80"/>
                        <w:contextualSpacing w:val="0"/>
                        <w:rPr>
                          <w:rFonts w:cs="Calibri"/>
                          <w:szCs w:val="22"/>
                        </w:rPr>
                      </w:pPr>
                      <w:r w:rsidRPr="007771B2">
                        <w:rPr>
                          <w:rFonts w:cs="Calibri"/>
                          <w:szCs w:val="22"/>
                        </w:rPr>
                        <w:t>Repositories of donation and transplantation data should be designed to facilitate sharing of data where appropriate to optimise the value of these data in informing donation and transplantation activities and decision-making.</w:t>
                      </w:r>
                    </w:p>
                    <w:p w14:paraId="6F069A4D" w14:textId="77777777" w:rsidR="00457B32" w:rsidRPr="007771B2" w:rsidRDefault="00457B32" w:rsidP="00457B32">
                      <w:pPr>
                        <w:pStyle w:val="ListParagraph"/>
                        <w:numPr>
                          <w:ilvl w:val="1"/>
                          <w:numId w:val="11"/>
                        </w:numPr>
                        <w:spacing w:after="80"/>
                        <w:contextualSpacing w:val="0"/>
                        <w:rPr>
                          <w:rFonts w:cs="Calibri"/>
                          <w:szCs w:val="22"/>
                        </w:rPr>
                      </w:pPr>
                      <w:r w:rsidRPr="007771B2">
                        <w:rPr>
                          <w:rFonts w:cs="Calibri"/>
                          <w:szCs w:val="22"/>
                        </w:rPr>
                        <w:t>Standardised nomenclature and consistent terminology should be used to assist in cross-linkage and comparison of data where relevant.</w:t>
                      </w:r>
                    </w:p>
                    <w:p w14:paraId="6B5A70EF" w14:textId="77777777" w:rsidR="00457B32" w:rsidRPr="007771B2" w:rsidRDefault="00457B32" w:rsidP="00457B32">
                      <w:pPr>
                        <w:pStyle w:val="ListParagraph"/>
                        <w:numPr>
                          <w:ilvl w:val="1"/>
                          <w:numId w:val="11"/>
                        </w:numPr>
                        <w:spacing w:after="80"/>
                        <w:contextualSpacing w:val="0"/>
                        <w:rPr>
                          <w:rFonts w:cs="Calibri"/>
                          <w:szCs w:val="22"/>
                        </w:rPr>
                      </w:pPr>
                      <w:r w:rsidRPr="007771B2">
                        <w:rPr>
                          <w:rFonts w:cs="Calibri"/>
                          <w:szCs w:val="22"/>
                        </w:rPr>
                        <w:t>National and international sharing of data should be facilitated where appropriate to better inform evaluation of local activities and to support ethical exchange of donated cells, tissues and organs.</w:t>
                      </w:r>
                    </w:p>
                    <w:p w14:paraId="07AB6F7F" w14:textId="77777777" w:rsidR="00457B32" w:rsidRPr="007771B2" w:rsidRDefault="00457B32" w:rsidP="00457B32">
                      <w:pPr>
                        <w:pStyle w:val="ListParagraph"/>
                        <w:numPr>
                          <w:ilvl w:val="1"/>
                          <w:numId w:val="11"/>
                        </w:numPr>
                        <w:spacing w:after="80"/>
                        <w:contextualSpacing w:val="0"/>
                        <w:rPr>
                          <w:rFonts w:cs="Calibri"/>
                          <w:szCs w:val="22"/>
                        </w:rPr>
                      </w:pPr>
                      <w:r w:rsidRPr="007771B2">
                        <w:rPr>
                          <w:rFonts w:cs="Calibri"/>
                          <w:szCs w:val="22"/>
                        </w:rPr>
                        <w:t>Access to and sharing of data should only occur when relevant safeguards are in place to protect privacy and security of data, and when data are shared in accordance with the values, goals and priorities of relevant governance frameworks.</w:t>
                      </w:r>
                    </w:p>
                    <w:p w14:paraId="56E1198D" w14:textId="77777777" w:rsidR="00457B32" w:rsidRPr="00EC4EF0" w:rsidRDefault="00457B32">
                      <w:pPr>
                        <w:pStyle w:val="ListParagraph"/>
                        <w:numPr>
                          <w:ilvl w:val="0"/>
                          <w:numId w:val="11"/>
                        </w:numPr>
                        <w:spacing w:after="80"/>
                        <w:rPr>
                          <w:rFonts w:cs="Calibri"/>
                          <w:szCs w:val="22"/>
                        </w:rPr>
                      </w:pPr>
                      <w:r w:rsidRPr="006720E4">
                        <w:rPr>
                          <w:rFonts w:cs="Calibri"/>
                          <w:szCs w:val="22"/>
                        </w:rPr>
                        <w:t>Regular audits should be conducted to review decision-making, outcomes of decisions, and policies and practices in donation and transplantation.</w:t>
                      </w:r>
                    </w:p>
                  </w:txbxContent>
                </v:textbox>
                <w10:wrap type="square"/>
              </v:shape>
            </w:pict>
          </mc:Fallback>
        </mc:AlternateContent>
      </w:r>
    </w:p>
    <w:p w14:paraId="141C29D2" w14:textId="77777777" w:rsidR="006C6EBA" w:rsidRPr="006720E4" w:rsidRDefault="006C6EBA" w:rsidP="00EA22AE">
      <w:pPr>
        <w:spacing w:after="120"/>
        <w:rPr>
          <w:rFonts w:ascii="Calibri" w:hAnsi="Calibri" w:cs="Calibri"/>
          <w:lang w:eastAsia="en-AU"/>
        </w:rPr>
      </w:pPr>
    </w:p>
    <w:p w14:paraId="177D1065" w14:textId="77777777" w:rsidR="006C6EBA" w:rsidRPr="006720E4" w:rsidRDefault="006C6EBA" w:rsidP="00EA22AE">
      <w:pPr>
        <w:spacing w:after="120"/>
        <w:rPr>
          <w:rFonts w:ascii="Calibri" w:hAnsi="Calibri" w:cs="Calibri"/>
          <w:sz w:val="22"/>
          <w:szCs w:val="22"/>
        </w:rPr>
      </w:pPr>
      <w:bookmarkStart w:id="3308" w:name="_Anonymity_in_donation"/>
      <w:bookmarkEnd w:id="3308"/>
      <w:r w:rsidRPr="006720E4">
        <w:rPr>
          <w:rFonts w:ascii="Calibri" w:hAnsi="Calibri" w:cs="Calibri"/>
          <w:sz w:val="22"/>
          <w:szCs w:val="22"/>
        </w:rPr>
        <w:br w:type="page"/>
      </w:r>
    </w:p>
    <w:p w14:paraId="33EAA186" w14:textId="71B9AA32" w:rsidR="006C6EBA" w:rsidRPr="006720E4" w:rsidRDefault="006C6EBA" w:rsidP="00EA22AE">
      <w:pPr>
        <w:pStyle w:val="Heading1"/>
      </w:pPr>
      <w:bookmarkStart w:id="3309" w:name="_Equity_in_opportunities"/>
      <w:bookmarkStart w:id="3310" w:name="_Toc63683449"/>
      <w:bookmarkStart w:id="3311" w:name="_Toc70241794"/>
      <w:bookmarkStart w:id="3312" w:name="_Toc70243429"/>
      <w:bookmarkStart w:id="3313" w:name="_Toc70328750"/>
      <w:bookmarkStart w:id="3314" w:name="_Toc70333980"/>
      <w:bookmarkStart w:id="3315" w:name="_Toc70414911"/>
      <w:bookmarkStart w:id="3316" w:name="_Toc70844229"/>
      <w:bookmarkStart w:id="3317" w:name="_Toc70859003"/>
      <w:bookmarkStart w:id="3318" w:name="_Toc70861104"/>
      <w:bookmarkStart w:id="3319" w:name="_Toc70876589"/>
      <w:bookmarkStart w:id="3320" w:name="_Toc72615162"/>
      <w:bookmarkStart w:id="3321" w:name="_Toc73129884"/>
      <w:bookmarkStart w:id="3322" w:name="_Toc73301756"/>
      <w:bookmarkStart w:id="3323" w:name="_Toc73302262"/>
      <w:bookmarkStart w:id="3324" w:name="_Toc73303395"/>
      <w:bookmarkStart w:id="3325" w:name="_Toc73303622"/>
      <w:bookmarkStart w:id="3326" w:name="_Toc74080739"/>
      <w:bookmarkStart w:id="3327" w:name="_Toc74081047"/>
      <w:bookmarkStart w:id="3328" w:name="_Toc74081277"/>
      <w:bookmarkStart w:id="3329" w:name="_Toc74081540"/>
      <w:bookmarkStart w:id="3330" w:name="_Toc74171108"/>
      <w:bookmarkStart w:id="3331" w:name="_Toc74172317"/>
      <w:bookmarkStart w:id="3332" w:name="_Toc74172853"/>
      <w:bookmarkStart w:id="3333" w:name="_Toc74238782"/>
      <w:bookmarkStart w:id="3334" w:name="_Toc78304778"/>
      <w:bookmarkStart w:id="3335" w:name="_Toc79330871"/>
      <w:bookmarkStart w:id="3336" w:name="_Toc79331251"/>
      <w:bookmarkStart w:id="3337" w:name="_Toc79406420"/>
      <w:bookmarkStart w:id="3338" w:name="_Toc82773645"/>
      <w:bookmarkStart w:id="3339" w:name="_Toc82773998"/>
      <w:bookmarkStart w:id="3340" w:name="_Toc128314220"/>
      <w:bookmarkStart w:id="3341" w:name="_Toc135131465"/>
      <w:bookmarkEnd w:id="3309"/>
      <w:r w:rsidRPr="006720E4">
        <w:lastRenderedPageBreak/>
        <w:t>Equity in opportunities for donation and transplantation</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p>
    <w:p w14:paraId="4B435950" w14:textId="7F7CE01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Justice is a primary ethical and social concern of individuals and communities, especially when there are insufficient supplies of vital goods such as healthcare resources to provide for all those who need them. The right to health means that everyone has an equal right to benefit from healthcare resources if necessary. This in turn means that if not all needs can be met, the inevitable inequalities in access to these resources should be as fair as possible. </w:t>
      </w:r>
    </w:p>
    <w:p w14:paraId="71C61E69" w14:textId="72E9B9B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setting of donation and transplantation, concern for justice or fairness is particularly acute because the population directly contributes to meeting needs via donation of cells, tissues, and organs. Consequently, society has a fundamental interest in ensuring that the distribution of benefits and burdens of donation and transplantation is fair or </w:t>
      </w:r>
      <w:hyperlink w:anchor="_Glossary_2" w:history="1">
        <w:r w:rsidRPr="006720E4">
          <w:rPr>
            <w:rStyle w:val="Hyperlink"/>
            <w:rFonts w:ascii="Calibri" w:hAnsi="Calibri" w:cs="Calibri"/>
            <w:sz w:val="22"/>
            <w:szCs w:val="22"/>
          </w:rPr>
          <w:t>equitable</w:t>
        </w:r>
      </w:hyperlink>
      <w:r w:rsidRPr="006720E4">
        <w:rPr>
          <w:rFonts w:ascii="Calibri" w:hAnsi="Calibri" w:cs="Calibri"/>
          <w:sz w:val="22"/>
          <w:szCs w:val="22"/>
        </w:rPr>
        <w:t xml:space="preserve">. </w:t>
      </w:r>
    </w:p>
    <w:p w14:paraId="5889A5DE" w14:textId="35EB446E" w:rsidR="006C6EBA" w:rsidRPr="006720E4" w:rsidRDefault="005F7698" w:rsidP="00EA22AE">
      <w:pPr>
        <w:spacing w:after="120"/>
        <w:rPr>
          <w:rFonts w:ascii="Calibri" w:hAnsi="Calibri" w:cs="Calibri"/>
          <w:sz w:val="22"/>
          <w:szCs w:val="22"/>
        </w:rPr>
      </w:pPr>
      <w:r>
        <w:rPr>
          <w:rFonts w:ascii="Calibri" w:hAnsi="Calibri" w:cs="Calibri"/>
          <w:sz w:val="22"/>
          <w:szCs w:val="22"/>
        </w:rPr>
        <w:t xml:space="preserve">Promotion of justice is a foundational value underpinning donation and transplantation in Australia </w:t>
      </w:r>
      <w:r w:rsidRPr="00CB6A46">
        <w:rPr>
          <w:rFonts w:ascii="Calibri" w:hAnsi="Calibri" w:cs="Calibri"/>
          <w:sz w:val="22"/>
          <w:szCs w:val="22"/>
        </w:rPr>
        <w:t xml:space="preserve">(see </w:t>
      </w:r>
      <w:hyperlink w:anchor="_Promotion_of_justice" w:history="1">
        <w:r w:rsidRPr="00CB6A46">
          <w:rPr>
            <w:rStyle w:val="Hyperlink"/>
            <w:rFonts w:ascii="Calibri" w:hAnsi="Calibri" w:cs="Calibri"/>
            <w:sz w:val="22"/>
            <w:szCs w:val="22"/>
          </w:rPr>
          <w:t>Chapter 3.2.3</w:t>
        </w:r>
      </w:hyperlink>
      <w:r w:rsidRPr="00CB6A46">
        <w:rPr>
          <w:rFonts w:ascii="Calibri" w:hAnsi="Calibri" w:cs="Calibri"/>
          <w:sz w:val="22"/>
          <w:szCs w:val="22"/>
        </w:rPr>
        <w:t xml:space="preserve">). </w:t>
      </w:r>
      <w:r w:rsidR="006C6EBA" w:rsidRPr="00CB6A46">
        <w:rPr>
          <w:rFonts w:ascii="Calibri" w:hAnsi="Calibri" w:cs="Calibri"/>
          <w:sz w:val="22"/>
          <w:szCs w:val="22"/>
        </w:rPr>
        <w:t>Concerns</w:t>
      </w:r>
      <w:r w:rsidR="006C6EBA" w:rsidRPr="006720E4">
        <w:rPr>
          <w:rFonts w:ascii="Calibri" w:hAnsi="Calibri" w:cs="Calibri"/>
          <w:sz w:val="22"/>
          <w:szCs w:val="22"/>
        </w:rPr>
        <w:t xml:space="preserve"> for fairness in the allocation or distribution of goods (e.g., healthcare resources), services or opportunities (e.g., access to healthcare) are considered matters of </w:t>
      </w:r>
      <w:r w:rsidR="006C6EBA" w:rsidRPr="006720E4">
        <w:rPr>
          <w:rFonts w:ascii="Calibri" w:hAnsi="Calibri" w:cs="Calibri"/>
          <w:b/>
          <w:bCs/>
          <w:sz w:val="22"/>
          <w:szCs w:val="22"/>
        </w:rPr>
        <w:t>distributive justice</w:t>
      </w:r>
      <w:r w:rsidR="006C6EBA" w:rsidRPr="006720E4">
        <w:rPr>
          <w:rFonts w:ascii="Calibri" w:hAnsi="Calibri" w:cs="Calibri"/>
          <w:sz w:val="22"/>
          <w:szCs w:val="22"/>
        </w:rPr>
        <w:t xml:space="preserve">. These intersect with concerns for </w:t>
      </w:r>
      <w:r w:rsidR="006C6EBA" w:rsidRPr="006720E4">
        <w:rPr>
          <w:rFonts w:ascii="Calibri" w:hAnsi="Calibri" w:cs="Calibri"/>
          <w:b/>
          <w:bCs/>
          <w:sz w:val="22"/>
          <w:szCs w:val="22"/>
        </w:rPr>
        <w:t>procedural justice,</w:t>
      </w:r>
      <w:r w:rsidR="006C6EBA" w:rsidRPr="006720E4">
        <w:rPr>
          <w:rFonts w:ascii="Calibri" w:hAnsi="Calibri" w:cs="Calibri"/>
          <w:sz w:val="22"/>
          <w:szCs w:val="22"/>
        </w:rPr>
        <w:t xml:space="preserve"> or fairness in the processes of decision-making, implementation of policies, and practices in which justice may be enacted. </w:t>
      </w:r>
    </w:p>
    <w:p w14:paraId="33AD1C14" w14:textId="79F2D21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procedural justice requires that there are mechanisms for people to review, question and revise guidelines for allocation of health resources when these may be unfairly designed or when they may result in unfair outcomes. More broadly, </w:t>
      </w:r>
      <w:r w:rsidRPr="006720E4">
        <w:rPr>
          <w:rFonts w:ascii="Calibri" w:hAnsi="Calibri" w:cs="Calibri"/>
          <w:b/>
          <w:bCs/>
          <w:sz w:val="22"/>
          <w:szCs w:val="22"/>
        </w:rPr>
        <w:t>social justice</w:t>
      </w:r>
      <w:r w:rsidRPr="006720E4">
        <w:rPr>
          <w:rFonts w:ascii="Calibri" w:hAnsi="Calibri" w:cs="Calibri"/>
          <w:sz w:val="22"/>
          <w:szCs w:val="22"/>
        </w:rPr>
        <w:t xml:space="preserve"> concerns fairness and the avoidance of unfair inequalities within society, which often influence inequities in health.</w:t>
      </w:r>
    </w:p>
    <w:p w14:paraId="41DE3567" w14:textId="3B0B277B" w:rsidR="006C6EBA" w:rsidRPr="005F7698" w:rsidRDefault="006C6EBA" w:rsidP="00EA22AE">
      <w:pPr>
        <w:spacing w:after="120"/>
        <w:rPr>
          <w:rFonts w:ascii="Calibri" w:hAnsi="Calibri" w:cs="Calibri"/>
          <w:sz w:val="22"/>
          <w:szCs w:val="22"/>
          <w:highlight w:val="yellow"/>
        </w:rPr>
      </w:pPr>
      <w:r w:rsidRPr="006720E4">
        <w:rPr>
          <w:rFonts w:ascii="Calibri" w:hAnsi="Calibri" w:cs="Calibri"/>
          <w:sz w:val="22"/>
          <w:szCs w:val="22"/>
        </w:rPr>
        <w:t xml:space="preserve">This chapter explores some of the foundational concerns of justice in the setting of donation and </w:t>
      </w:r>
      <w:r w:rsidRPr="005F7698">
        <w:rPr>
          <w:rFonts w:ascii="Calibri" w:hAnsi="Calibri" w:cs="Calibri"/>
          <w:sz w:val="22"/>
          <w:szCs w:val="22"/>
        </w:rPr>
        <w:t>transplantation and provides information about key considerations for donation and transplantation decision-making in particular contexts</w:t>
      </w:r>
      <w:r w:rsidR="005F7698" w:rsidRPr="005F7698">
        <w:rPr>
          <w:rFonts w:ascii="Calibri" w:hAnsi="Calibri" w:cs="Calibri"/>
          <w:sz w:val="22"/>
          <w:szCs w:val="22"/>
        </w:rPr>
        <w:t xml:space="preserve">. </w:t>
      </w:r>
      <w:bookmarkStart w:id="3342" w:name="_The_concept_of"/>
      <w:bookmarkStart w:id="3343" w:name="_Toc72615163"/>
      <w:bookmarkStart w:id="3344" w:name="_Toc73129885"/>
      <w:bookmarkStart w:id="3345" w:name="_Toc73301757"/>
      <w:bookmarkStart w:id="3346" w:name="_Toc73302263"/>
      <w:bookmarkStart w:id="3347" w:name="_Toc73303396"/>
      <w:bookmarkStart w:id="3348" w:name="_Toc73303623"/>
      <w:bookmarkStart w:id="3349" w:name="_Toc74080740"/>
      <w:bookmarkStart w:id="3350" w:name="_Toc74081048"/>
      <w:bookmarkStart w:id="3351" w:name="_Toc74081278"/>
      <w:bookmarkStart w:id="3352" w:name="_Toc74081541"/>
      <w:bookmarkStart w:id="3353" w:name="_Toc74171109"/>
      <w:bookmarkStart w:id="3354" w:name="_Toc74172318"/>
      <w:bookmarkStart w:id="3355" w:name="_Toc74172854"/>
      <w:bookmarkStart w:id="3356" w:name="_Toc74238783"/>
      <w:bookmarkStart w:id="3357" w:name="_Toc78304779"/>
      <w:bookmarkStart w:id="3358" w:name="_Toc63683450"/>
      <w:bookmarkStart w:id="3359" w:name="_Toc70241795"/>
      <w:bookmarkStart w:id="3360" w:name="_Toc70243430"/>
      <w:bookmarkStart w:id="3361" w:name="_Toc70328751"/>
      <w:bookmarkStart w:id="3362" w:name="_Toc70333981"/>
      <w:bookmarkStart w:id="3363" w:name="_Toc70414912"/>
      <w:bookmarkStart w:id="3364" w:name="_Toc70844230"/>
      <w:bookmarkStart w:id="3365" w:name="_Toc70859004"/>
      <w:bookmarkStart w:id="3366" w:name="_Toc70861105"/>
      <w:bookmarkStart w:id="3367" w:name="_Toc70876590"/>
      <w:bookmarkEnd w:id="3342"/>
    </w:p>
    <w:p w14:paraId="04B380BF" w14:textId="1214618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Further readings and resources of relevant to this chapter can be found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755EC812" w14:textId="04D8C4EE" w:rsidR="006C6EBA" w:rsidRPr="006720E4" w:rsidRDefault="006C6EBA" w:rsidP="00EA22AE">
      <w:pPr>
        <w:pStyle w:val="Heading2"/>
        <w:spacing w:after="120"/>
      </w:pPr>
      <w:bookmarkStart w:id="3368" w:name="_The_concept_of_1"/>
      <w:bookmarkStart w:id="3369" w:name="_Toc79330872"/>
      <w:bookmarkStart w:id="3370" w:name="_Toc79331252"/>
      <w:bookmarkStart w:id="3371" w:name="_Toc79406421"/>
      <w:bookmarkStart w:id="3372" w:name="_Toc82773646"/>
      <w:bookmarkStart w:id="3373" w:name="_Toc82773999"/>
      <w:bookmarkStart w:id="3374" w:name="_Toc128314221"/>
      <w:bookmarkStart w:id="3375" w:name="_Toc135131466"/>
      <w:bookmarkEnd w:id="3368"/>
      <w:r w:rsidRPr="006720E4">
        <w:t>The concept of equity in health</w:t>
      </w:r>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69"/>
      <w:bookmarkEnd w:id="3370"/>
      <w:bookmarkEnd w:id="3371"/>
      <w:bookmarkEnd w:id="3372"/>
      <w:bookmarkEnd w:id="3373"/>
      <w:bookmarkEnd w:id="3374"/>
      <w:bookmarkEnd w:id="3375"/>
    </w:p>
    <w:p w14:paraId="502E4C94" w14:textId="3D95E8E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terms just, fair, and equitable - or justice, fairness, and equity - are often used interchangeably in ethical discussions about the allocation of resources, or distributions of health outcomes. It is important to note that equality is not synonymous with equity. Although equality is often a key consideration of justice, and justice in health is grounded in the recognition that everyone has an equal right to health, this doesn’t mean that giving everyone an equal share of resources or aiming to achieve equality in health outcomes is necessarily fair or possible.</w:t>
      </w:r>
    </w:p>
    <w:p w14:paraId="1B3CB54A" w14:textId="29BCEBB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Equity in health is a term that is used to describe a distribution of health outcomes or healthcare resources, in which inequalities are unavoidable, necessary or fair.</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{"citationItems":[{"id":"ITEM-1","itemData":{"author":[{"dropping-particle":"","family":"PwC","given":"","non-dropping-particle":"","parse-names":false,"suffix":""}],"id":"ITEM-1","issue":"November","issued":{"date-parts":[["2016"]]},"title":"Final report Analysis of the Australian tissue sector","type":"report"},"uris":["http://www.mendeley.com/documents/?uuid=8975474a-f666-474a-b291-09d973255cbd"]}],"mendeley":{"formattedCitation":"(125)","plainTextFormattedCitation":"(125)","previouslyFormattedCitation":"(125)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(125)</w:t>
      </w:r>
      <w:r w:rsidRPr="006720E4">
        <w:rPr>
          <w:rFonts w:ascii="Calibri" w:hAnsi="Calibri" w:cs="Calibri"/>
          <w:sz w:val="22"/>
          <w:szCs w:val="22"/>
        </w:rPr>
        <w:fldChar w:fldCharType="end"/>
      </w:r>
      <w:r w:rsidRPr="006720E4">
        <w:rPr>
          <w:rFonts w:ascii="Calibri" w:hAnsi="Calibri" w:cs="Calibri"/>
          <w:sz w:val="22"/>
          <w:szCs w:val="22"/>
        </w:rPr>
        <w:t xml:space="preserve"> Conversely, inequity refers to the presence of inequalities – or differences between groups – that may be avoidable, unnecessary and unfair.</w:t>
      </w:r>
    </w:p>
    <w:p w14:paraId="0303A477" w14:textId="3CC4CE9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Promoting and sustaining equity in donation and transplantation means taking steps to eliminate or reduce inequalities that are avoidable, unnecessary, or unfair. For example, if some groups are more likely to develop the need for kidney transplantation, this may result in an unequal distribution of needs for transplantation. If those needs can be prevented, then this is an inequity that should be addressed. If some groups are less likely to receive a tissue transplant, due to higher rates of poor health literacy or reduced access to specific healthcare services, then efforts should be made to address these barriers to care, reducing inequalities and improving equity of access. Some examples of potential inequities and equitable inequalities in donation and transplantation are described in </w:t>
      </w:r>
      <w:hyperlink w:anchor="_Examples_of_potential" w:history="1">
        <w:r w:rsidRPr="005F7698">
          <w:rPr>
            <w:rStyle w:val="Hyperlink"/>
            <w:rFonts w:ascii="Calibri" w:hAnsi="Calibri" w:cs="Calibri"/>
            <w:sz w:val="22"/>
            <w:szCs w:val="22"/>
          </w:rPr>
          <w:t xml:space="preserve">Chapter </w:t>
        </w:r>
        <w:r w:rsidR="005F7698" w:rsidRPr="005F7698">
          <w:rPr>
            <w:rStyle w:val="Hyperlink"/>
            <w:rFonts w:ascii="Calibri" w:hAnsi="Calibri" w:cs="Calibri"/>
            <w:sz w:val="22"/>
            <w:szCs w:val="22"/>
          </w:rPr>
          <w:t>8</w:t>
        </w:r>
        <w:r w:rsidRPr="005F7698">
          <w:rPr>
            <w:rStyle w:val="Hyperlink"/>
            <w:rFonts w:ascii="Calibri" w:hAnsi="Calibri" w:cs="Calibri"/>
            <w:sz w:val="22"/>
            <w:szCs w:val="22"/>
          </w:rPr>
          <w:t>.1.1</w:t>
        </w:r>
      </w:hyperlink>
      <w:r w:rsidRPr="005F7698">
        <w:rPr>
          <w:rFonts w:ascii="Calibri" w:hAnsi="Calibri" w:cs="Calibri"/>
          <w:sz w:val="22"/>
          <w:szCs w:val="22"/>
        </w:rPr>
        <w:t xml:space="preserve"> and </w:t>
      </w:r>
      <w:hyperlink w:anchor="_Examples_of_potential_1" w:history="1">
        <w:r w:rsidRPr="005F7698">
          <w:rPr>
            <w:rStyle w:val="Hyperlink"/>
            <w:rFonts w:ascii="Calibri" w:hAnsi="Calibri" w:cs="Calibri"/>
            <w:sz w:val="22"/>
            <w:szCs w:val="22"/>
          </w:rPr>
          <w:t xml:space="preserve">Chapter </w:t>
        </w:r>
        <w:r w:rsidR="005F7698" w:rsidRPr="005F7698">
          <w:rPr>
            <w:rStyle w:val="Hyperlink"/>
            <w:rFonts w:ascii="Calibri" w:hAnsi="Calibri" w:cs="Calibri"/>
            <w:sz w:val="22"/>
            <w:szCs w:val="22"/>
          </w:rPr>
          <w:t>8</w:t>
        </w:r>
        <w:r w:rsidRPr="005F7698">
          <w:rPr>
            <w:rStyle w:val="Hyperlink"/>
            <w:rFonts w:ascii="Calibri" w:hAnsi="Calibri" w:cs="Calibri"/>
            <w:sz w:val="22"/>
            <w:szCs w:val="22"/>
          </w:rPr>
          <w:t>.1.2</w:t>
        </w:r>
      </w:hyperlink>
      <w:r w:rsidRPr="005F7698">
        <w:rPr>
          <w:rFonts w:ascii="Calibri" w:hAnsi="Calibri" w:cs="Calibri"/>
          <w:sz w:val="22"/>
          <w:szCs w:val="22"/>
        </w:rPr>
        <w:t xml:space="preserve"> respectively.</w:t>
      </w:r>
    </w:p>
    <w:p w14:paraId="3DC90EC5" w14:textId="6C19787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Determining which principles or criteria to use to guide resource allocation or policymaking aimed at improving equity, and the relative weight to place on specific principles or criteria requires value </w:t>
      </w:r>
      <w:r w:rsidRPr="006720E4">
        <w:rPr>
          <w:rFonts w:ascii="Calibri" w:hAnsi="Calibri" w:cs="Calibri"/>
          <w:sz w:val="22"/>
          <w:szCs w:val="22"/>
        </w:rPr>
        <w:lastRenderedPageBreak/>
        <w:t xml:space="preserve">judgements; it also requires consideration of empirical evidence. In comparison with ethical decision-making about specific treatments for individual patients, decision-making about resource allocation and policy making tends to be more ethically complicated as it not only affects large populations but often requires more complex analysis and management of competing ethical goals and values. Potential goals, principles and values that may be used in decision-making are explored </w:t>
      </w:r>
      <w:r w:rsidRPr="005F7698">
        <w:rPr>
          <w:rFonts w:ascii="Calibri" w:hAnsi="Calibri" w:cs="Calibri"/>
          <w:sz w:val="22"/>
          <w:szCs w:val="22"/>
        </w:rPr>
        <w:t xml:space="preserve">in </w:t>
      </w:r>
      <w:hyperlink w:anchor="_Principles_of_justice_1" w:history="1">
        <w:r w:rsidRPr="005F7698">
          <w:rPr>
            <w:rStyle w:val="Hyperlink"/>
            <w:rFonts w:ascii="Calibri" w:hAnsi="Calibri" w:cs="Calibri"/>
            <w:sz w:val="22"/>
            <w:szCs w:val="22"/>
          </w:rPr>
          <w:t xml:space="preserve">Chapter </w:t>
        </w:r>
        <w:r w:rsidR="005F7698" w:rsidRPr="005F7698">
          <w:rPr>
            <w:rStyle w:val="Hyperlink"/>
            <w:rFonts w:ascii="Calibri" w:hAnsi="Calibri" w:cs="Calibri"/>
            <w:sz w:val="22"/>
            <w:szCs w:val="22"/>
          </w:rPr>
          <w:t>8</w:t>
        </w:r>
        <w:r w:rsidRPr="005F7698">
          <w:rPr>
            <w:rStyle w:val="Hyperlink"/>
            <w:rFonts w:ascii="Calibri" w:hAnsi="Calibri" w:cs="Calibri"/>
            <w:sz w:val="22"/>
            <w:szCs w:val="22"/>
          </w:rPr>
          <w:t>.2</w:t>
        </w:r>
      </w:hyperlink>
      <w:r w:rsidRPr="005F7698">
        <w:rPr>
          <w:rFonts w:ascii="Calibri" w:hAnsi="Calibri" w:cs="Calibri"/>
          <w:sz w:val="22"/>
          <w:szCs w:val="22"/>
        </w:rPr>
        <w:t>.</w:t>
      </w:r>
      <w:r w:rsidRPr="006720E4">
        <w:rPr>
          <w:rFonts w:ascii="Calibri" w:hAnsi="Calibri" w:cs="Calibri"/>
          <w:sz w:val="22"/>
          <w:szCs w:val="22"/>
        </w:rPr>
        <w:t xml:space="preserve"> </w:t>
      </w:r>
    </w:p>
    <w:p w14:paraId="6548757B" w14:textId="77777777" w:rsidR="006C6EBA" w:rsidRPr="006720E4" w:rsidRDefault="006C6EBA" w:rsidP="00EA22AE">
      <w:pPr>
        <w:pStyle w:val="Heading3"/>
        <w:spacing w:after="120"/>
      </w:pPr>
      <w:bookmarkStart w:id="3376" w:name="_Examples_of_potential"/>
      <w:bookmarkStart w:id="3377" w:name="_Toc79406423"/>
      <w:bookmarkStart w:id="3378" w:name="_Toc82773647"/>
      <w:bookmarkStart w:id="3379" w:name="_Toc82774000"/>
      <w:bookmarkStart w:id="3380" w:name="_Toc79406422"/>
      <w:bookmarkEnd w:id="3376"/>
      <w:r w:rsidRPr="006720E4">
        <w:t>Examples of potential unfair (inequitable) and fair (equitable) inequalities in donation</w:t>
      </w:r>
      <w:bookmarkEnd w:id="3377"/>
      <w:bookmarkEnd w:id="3378"/>
      <w:bookmarkEnd w:id="3379"/>
    </w:p>
    <w:p w14:paraId="27CFDF5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Many factors may underpin inequalities in living or deceased donation of cells, tissues, and organs. Concerns may be raised about inequalities in the distribution of donors due to fear that some individuals or groups might receive an unfair share of the potential burdens or risks of donation. There may also be concerns that some individuals or groups are unfairly excluded or disadvantaged in accessing opportunities for donation and hence the benefits of donation. </w:t>
      </w:r>
    </w:p>
    <w:p w14:paraId="6CB765B7" w14:textId="0BEE584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inequalities in donation may be </w:t>
      </w:r>
      <w:r w:rsidRPr="006720E4">
        <w:rPr>
          <w:rFonts w:ascii="Calibri" w:hAnsi="Calibri" w:cs="Calibri"/>
          <w:i/>
          <w:iCs/>
          <w:sz w:val="22"/>
          <w:szCs w:val="22"/>
        </w:rPr>
        <w:t>unavoidable</w:t>
      </w:r>
      <w:r w:rsidRPr="006720E4">
        <w:rPr>
          <w:rFonts w:ascii="Calibri" w:hAnsi="Calibri" w:cs="Calibri"/>
          <w:sz w:val="22"/>
          <w:szCs w:val="22"/>
        </w:rPr>
        <w:t xml:space="preserve">. For example, a person may wish to donate their organs and tissues after death, but they may not be clinically eligible to donate as a result of damage or disease which makes their organs and tissues unsuitable for transplantation. </w:t>
      </w:r>
    </w:p>
    <w:p w14:paraId="52C6134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Other factors may be avoidable but </w:t>
      </w:r>
      <w:r w:rsidRPr="006720E4">
        <w:rPr>
          <w:rFonts w:ascii="Calibri" w:hAnsi="Calibri" w:cs="Calibri"/>
          <w:i/>
          <w:iCs/>
          <w:sz w:val="22"/>
          <w:szCs w:val="22"/>
        </w:rPr>
        <w:t xml:space="preserve">necessary, </w:t>
      </w:r>
      <w:r w:rsidRPr="006720E4">
        <w:rPr>
          <w:rFonts w:ascii="Calibri" w:hAnsi="Calibri" w:cs="Calibri"/>
          <w:sz w:val="22"/>
          <w:szCs w:val="22"/>
        </w:rPr>
        <w:t>for example to achieve a greater good. For example, it may be possible to overcome some barriers to deceased donation in remote parts of Australia by transporting people via plane to retrieve tissues or even organs from individuals who die in remote places. However, there would likely be significant costs associated with such efforts, including the costs of sending trained health professionals who might otherwise be providing essential care to patients, and the benefits may be limited, for example if a team is sent which then discovers the potential donor is unsuitable. Investing in removal of some barriers to donation may, for example, come at the expense of efforts to address other barriers that would have a bigger impact on more people.</w:t>
      </w:r>
    </w:p>
    <w:p w14:paraId="13DE063A" w14:textId="21A1AF4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inequalities are unavoidable or necessary, they may be equitable. Nevertheless, some inequalities in donation may be avoidable, unnecessary and unfair, and hence result in inequities. Often, such barriers reflect common barriers in access to healthcare including financial costs of accessing care, poor health literacy, racism, and other forms of bias and </w:t>
      </w:r>
      <w:r w:rsidRPr="005F7698">
        <w:rPr>
          <w:rFonts w:ascii="Calibri" w:hAnsi="Calibri" w:cs="Calibri"/>
          <w:sz w:val="22"/>
          <w:szCs w:val="22"/>
        </w:rPr>
        <w:t xml:space="preserve">discrimination (see </w:t>
      </w:r>
      <w:hyperlink w:anchor="_Structural_barriers_" w:history="1">
        <w:r w:rsidRPr="005F7698">
          <w:rPr>
            <w:rStyle w:val="Hyperlink"/>
            <w:rFonts w:ascii="Calibri" w:hAnsi="Calibri" w:cs="Calibri"/>
            <w:sz w:val="22"/>
            <w:szCs w:val="22"/>
          </w:rPr>
          <w:t xml:space="preserve">Chapter </w:t>
        </w:r>
        <w:r w:rsidR="005F7698" w:rsidRPr="005F7698">
          <w:rPr>
            <w:rStyle w:val="Hyperlink"/>
            <w:rFonts w:ascii="Calibri" w:hAnsi="Calibri" w:cs="Calibri"/>
            <w:sz w:val="22"/>
            <w:szCs w:val="22"/>
          </w:rPr>
          <w:t>8</w:t>
        </w:r>
        <w:r w:rsidRPr="005F7698">
          <w:rPr>
            <w:rStyle w:val="Hyperlink"/>
            <w:rFonts w:ascii="Calibri" w:hAnsi="Calibri" w:cs="Calibri"/>
            <w:sz w:val="22"/>
            <w:szCs w:val="22"/>
          </w:rPr>
          <w:t>.3.1</w:t>
        </w:r>
      </w:hyperlink>
      <w:r w:rsidRPr="005F7698">
        <w:rPr>
          <w:rFonts w:ascii="Calibri" w:hAnsi="Calibri" w:cs="Calibri"/>
          <w:sz w:val="22"/>
          <w:szCs w:val="22"/>
        </w:rPr>
        <w:t>)</w:t>
      </w:r>
    </w:p>
    <w:p w14:paraId="47A18F79" w14:textId="77777777" w:rsidR="006C6EBA"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if a donor coordinator fails to raise the possibility of deceased donation with a family because they incorrectly assume the potential donor is “too old”, or an organ transplant coordinator fails to inform a transplant candidate of the possibility of a living donor transplant because they believe the family’s “culture wouldn’t support this”, this unfairly discriminates against individuals and groups who may miss opportunities for donation or transplantation as a result. </w:t>
      </w:r>
    </w:p>
    <w:p w14:paraId="1C09FBD6" w14:textId="77777777" w:rsidR="006C6EBA" w:rsidRPr="006720E4" w:rsidRDefault="006C6EBA" w:rsidP="00EA22AE">
      <w:pPr>
        <w:pStyle w:val="Heading3"/>
        <w:spacing w:after="120"/>
      </w:pPr>
      <w:bookmarkStart w:id="3381" w:name="_Examples_of_potential_1"/>
      <w:bookmarkStart w:id="3382" w:name="_Toc82773648"/>
      <w:bookmarkStart w:id="3383" w:name="_Toc82774001"/>
      <w:bookmarkEnd w:id="3381"/>
      <w:r w:rsidRPr="006720E4">
        <w:t>Examples of potential unfair (inequitable) and fair (equitable) inequalities in transplantation</w:t>
      </w:r>
      <w:bookmarkEnd w:id="3380"/>
      <w:bookmarkEnd w:id="3382"/>
      <w:bookmarkEnd w:id="3383"/>
    </w:p>
    <w:p w14:paraId="460F0347" w14:textId="413B96C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allocating transplant resources in the form of donor cells, tissues, or organs, some inequalities may be </w:t>
      </w:r>
      <w:r w:rsidRPr="006720E4">
        <w:rPr>
          <w:rFonts w:ascii="Calibri" w:hAnsi="Calibri" w:cs="Calibri"/>
          <w:b/>
          <w:bCs/>
          <w:sz w:val="22"/>
          <w:szCs w:val="22"/>
        </w:rPr>
        <w:t>necessary</w:t>
      </w:r>
      <w:r w:rsidRPr="006720E4">
        <w:rPr>
          <w:rFonts w:ascii="Calibri" w:hAnsi="Calibri" w:cs="Calibri"/>
          <w:sz w:val="22"/>
          <w:szCs w:val="22"/>
        </w:rPr>
        <w:t xml:space="preserve"> and not unfair due to elements that might be thought of as luck (or bad luck). For example, an individual might miss out on all opportunities for organ transplantation as a result of having rare immunological or anatomical characteristics which require a specifically matched organ that never becomes available. Similarly, some people have a much lower chance of finding a precisely tissue-typed match with a non-directed HSC donor via the ABMDR because there are fewer registered donors of some ethnicities. </w:t>
      </w:r>
    </w:p>
    <w:p w14:paraId="48FDA005" w14:textId="7CF6795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To some extent, these types of inequalities may be avoidable. For example, efforts to increase the size and diversity of relevant donor populations using targeted recruitment campaigns may help to reduce the extent of inequalities making the distribution of transplants more equitable. The ABMDR, for example, also reduces such inequalities via collaboration with the global network of HSC donor </w:t>
      </w:r>
      <w:r w:rsidRPr="006720E4">
        <w:rPr>
          <w:rFonts w:ascii="Calibri" w:hAnsi="Calibri" w:cs="Calibri"/>
          <w:sz w:val="22"/>
          <w:szCs w:val="22"/>
        </w:rPr>
        <w:lastRenderedPageBreak/>
        <w:t>registries so that people in need of HSC transplants within Australia can access donations from around the world.</w:t>
      </w:r>
    </w:p>
    <w:p w14:paraId="44F0C8DE"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inequalities may be </w:t>
      </w:r>
      <w:r w:rsidRPr="006720E4">
        <w:rPr>
          <w:rFonts w:ascii="Calibri" w:hAnsi="Calibri" w:cs="Calibri"/>
          <w:b/>
          <w:bCs/>
          <w:sz w:val="22"/>
          <w:szCs w:val="22"/>
        </w:rPr>
        <w:t xml:space="preserve">unavoidable, </w:t>
      </w:r>
      <w:r w:rsidRPr="006720E4">
        <w:rPr>
          <w:rFonts w:ascii="Calibri" w:hAnsi="Calibri" w:cs="Calibri"/>
          <w:sz w:val="22"/>
          <w:szCs w:val="22"/>
        </w:rPr>
        <w:t>at least for a period of time.</w:t>
      </w:r>
      <w:r w:rsidRPr="006720E4">
        <w:rPr>
          <w:rFonts w:ascii="Calibri" w:hAnsi="Calibri" w:cs="Calibri"/>
          <w:b/>
          <w:bCs/>
          <w:sz w:val="22"/>
          <w:szCs w:val="22"/>
        </w:rPr>
        <w:t xml:space="preserve"> </w:t>
      </w:r>
      <w:r w:rsidRPr="006720E4">
        <w:rPr>
          <w:rFonts w:ascii="Calibri" w:hAnsi="Calibri" w:cs="Calibri"/>
          <w:sz w:val="22"/>
          <w:szCs w:val="22"/>
        </w:rPr>
        <w:t xml:space="preserve">For example, there are usually insufficient deceased donor organs to meet the needs of all people for whom an organ transplant would be beneficial. This means that when allocating the available organs, some people will necessarily miss out. </w:t>
      </w:r>
    </w:p>
    <w:p w14:paraId="6456B97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Imagine, for example, that two donor organs are available for transplantation. There is a group of 100 people, all of whom require organ transplantation. Only two of the group are suitable matches for the available organs, and thus receive transplants. 98 do not receive a transplant, indicating an </w:t>
      </w:r>
      <w:r w:rsidRPr="006720E4">
        <w:rPr>
          <w:rFonts w:ascii="Calibri" w:hAnsi="Calibri" w:cs="Calibri"/>
          <w:b/>
          <w:bCs/>
          <w:sz w:val="22"/>
          <w:szCs w:val="22"/>
        </w:rPr>
        <w:t>inequality</w:t>
      </w:r>
      <w:r w:rsidRPr="006720E4">
        <w:rPr>
          <w:rFonts w:ascii="Calibri" w:hAnsi="Calibri" w:cs="Calibri"/>
          <w:sz w:val="22"/>
          <w:szCs w:val="22"/>
        </w:rPr>
        <w:t xml:space="preserve"> in the distribution of organ transplants. However, this is </w:t>
      </w:r>
      <w:r w:rsidRPr="006720E4">
        <w:rPr>
          <w:rFonts w:ascii="Calibri" w:hAnsi="Calibri" w:cs="Calibri"/>
          <w:b/>
          <w:bCs/>
          <w:sz w:val="22"/>
          <w:szCs w:val="22"/>
        </w:rPr>
        <w:t>not an inequity</w:t>
      </w:r>
      <w:r w:rsidRPr="006720E4">
        <w:rPr>
          <w:rFonts w:ascii="Calibri" w:hAnsi="Calibri" w:cs="Calibri"/>
          <w:sz w:val="22"/>
          <w:szCs w:val="22"/>
        </w:rPr>
        <w:t>, as the allocation to the two suitably matched candidates was necessary and fair; that is, there was a valid reason for providing these two matched individuals with the organs, as the organs would not have benefited any of the other transplant candidates.</w:t>
      </w:r>
    </w:p>
    <w:p w14:paraId="6E15519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On the other hand, imagine a third member of the group was also a suitable match for one of the available organs, but was not considered for transplantation because they lacked the money to pay for the transplant operation. This </w:t>
      </w:r>
      <w:r w:rsidRPr="006720E4">
        <w:rPr>
          <w:rFonts w:ascii="Calibri" w:hAnsi="Calibri" w:cs="Calibri"/>
          <w:i/>
          <w:iCs/>
          <w:sz w:val="22"/>
          <w:szCs w:val="22"/>
        </w:rPr>
        <w:t>would</w:t>
      </w:r>
      <w:r w:rsidRPr="006720E4">
        <w:rPr>
          <w:rFonts w:ascii="Calibri" w:hAnsi="Calibri" w:cs="Calibri"/>
          <w:sz w:val="22"/>
          <w:szCs w:val="22"/>
        </w:rPr>
        <w:t xml:space="preserve"> represent </w:t>
      </w:r>
      <w:r w:rsidRPr="006720E4">
        <w:rPr>
          <w:rFonts w:ascii="Calibri" w:hAnsi="Calibri" w:cs="Calibri"/>
          <w:b/>
          <w:bCs/>
          <w:sz w:val="22"/>
          <w:szCs w:val="22"/>
        </w:rPr>
        <w:t>an inequity</w:t>
      </w:r>
      <w:r w:rsidRPr="006720E4">
        <w:rPr>
          <w:rFonts w:ascii="Calibri" w:hAnsi="Calibri" w:cs="Calibri"/>
          <w:sz w:val="22"/>
          <w:szCs w:val="22"/>
        </w:rPr>
        <w:t xml:space="preserve"> in Australia, where it is agreed that a patient’s financial status should not influence decision-making or determine access to organ transplantation. </w:t>
      </w:r>
    </w:p>
    <w:p w14:paraId="42E7B50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That is, while it may be fair to discriminate between individuals when allocating resources according to some criteria – such as level of therapeutic need, capacity to benefit due to appropriate matching – it may be unfair to discriminate on other grounds, such as financial status, religion, gender, or race. </w:t>
      </w:r>
    </w:p>
    <w:p w14:paraId="4E1940D6" w14:textId="77777777" w:rsidR="006C6EBA" w:rsidRPr="006720E4" w:rsidRDefault="006C6EBA" w:rsidP="00EA22AE">
      <w:pPr>
        <w:pStyle w:val="Heading2"/>
        <w:spacing w:after="120"/>
      </w:pPr>
      <w:bookmarkStart w:id="3384" w:name="_Principles_of_justice"/>
      <w:bookmarkStart w:id="3385" w:name="_Principles_of_justice_1"/>
      <w:bookmarkStart w:id="3386" w:name="_Toc72615164"/>
      <w:bookmarkStart w:id="3387" w:name="_Toc73129886"/>
      <w:bookmarkStart w:id="3388" w:name="_Toc73301758"/>
      <w:bookmarkStart w:id="3389" w:name="_Toc73302264"/>
      <w:bookmarkStart w:id="3390" w:name="_Toc73303397"/>
      <w:bookmarkStart w:id="3391" w:name="_Toc73303624"/>
      <w:bookmarkStart w:id="3392" w:name="_Toc74080741"/>
      <w:bookmarkStart w:id="3393" w:name="_Toc74081049"/>
      <w:bookmarkStart w:id="3394" w:name="_Toc74081279"/>
      <w:bookmarkStart w:id="3395" w:name="_Toc74081542"/>
      <w:bookmarkStart w:id="3396" w:name="_Toc74171110"/>
      <w:bookmarkStart w:id="3397" w:name="_Toc74172319"/>
      <w:bookmarkStart w:id="3398" w:name="_Toc74172855"/>
      <w:bookmarkStart w:id="3399" w:name="_Toc74238784"/>
      <w:bookmarkStart w:id="3400" w:name="_Toc78304780"/>
      <w:bookmarkStart w:id="3401" w:name="_Toc79330873"/>
      <w:bookmarkStart w:id="3402" w:name="_Toc79331253"/>
      <w:bookmarkStart w:id="3403" w:name="_Toc79406424"/>
      <w:bookmarkStart w:id="3404" w:name="_Toc82773649"/>
      <w:bookmarkStart w:id="3405" w:name="_Toc82774002"/>
      <w:bookmarkStart w:id="3406" w:name="_Toc128314222"/>
      <w:bookmarkStart w:id="3407" w:name="_Toc135131467"/>
      <w:bookmarkEnd w:id="3384"/>
      <w:bookmarkEnd w:id="3385"/>
      <w:r w:rsidRPr="006720E4">
        <w:t>Principles of justice</w:t>
      </w:r>
      <w:bookmarkEnd w:id="3358"/>
      <w:bookmarkEnd w:id="3359"/>
      <w:bookmarkEnd w:id="3360"/>
      <w:bookmarkEnd w:id="3361"/>
      <w:bookmarkEnd w:id="3362"/>
      <w:bookmarkEnd w:id="3363"/>
      <w:bookmarkEnd w:id="3364"/>
      <w:bookmarkEnd w:id="3365"/>
      <w:bookmarkEnd w:id="3366"/>
      <w:bookmarkEnd w:id="3367"/>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p>
    <w:p w14:paraId="39D9236A" w14:textId="16CB0FA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starting point for justice is the recognition that individuals are moral equals, by virtue of their inherent value as human beings. This provides the basis for fundamental human rights including the human right to health. The right to be treated justly or fairly does not mean that everyone should necessarily receive an equal share of resources, but it does mean that when inequalities are necessary or unavoidable, inequalities should be distributed in ways that are fair. </w:t>
      </w:r>
    </w:p>
    <w:p w14:paraId="5A3072E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distributing - sharing - healthcare resources or opportunities, justice requires that we aim to reduce or eliminate unfair inequalities (inequities). The challenge lies in determining when specific inequalities may be unfair, and/or which criteria, values or principles should be used to discriminate between individuals or groups when discrimination is necessary. </w:t>
      </w:r>
    </w:p>
    <w:p w14:paraId="0FB4AFC8" w14:textId="77777777" w:rsidR="006C6EBA" w:rsidRPr="006720E4" w:rsidRDefault="006C6EBA" w:rsidP="00EA22AE">
      <w:pPr>
        <w:spacing w:after="120"/>
        <w:rPr>
          <w:rFonts w:ascii="Calibri" w:hAnsi="Calibri" w:cs="Calibri"/>
          <w:sz w:val="22"/>
          <w:szCs w:val="22"/>
        </w:rPr>
      </w:pPr>
      <w:bookmarkStart w:id="3408" w:name="_Toc63683451"/>
      <w:bookmarkStart w:id="3409" w:name="_Toc70241796"/>
      <w:bookmarkStart w:id="3410" w:name="_Toc70243431"/>
      <w:bookmarkStart w:id="3411" w:name="_Toc70414913"/>
      <w:bookmarkStart w:id="3412" w:name="_Toc70844231"/>
      <w:r w:rsidRPr="006720E4">
        <w:rPr>
          <w:rFonts w:ascii="Calibri" w:hAnsi="Calibri" w:cs="Calibri"/>
          <w:sz w:val="22"/>
          <w:szCs w:val="22"/>
        </w:rPr>
        <w:t xml:space="preserve">In practice, a range of factors are used to guide decision-making, with differing weights given to specific factors in particular settings. The factors which are selected are informed by the overarching goals of allocation in a particular setting, and the success of allocation guidelines or frameworks may be evaluated by examining the outcomes which result from their application. For example, if the primary goal of a particular allocation policy is to save as many lives as possible, the results of the policy’s implementation suggest that an alternative approach may in fact result in more lives being saved, this may indicate the need to revise the policy. </w:t>
      </w:r>
    </w:p>
    <w:p w14:paraId="21C8576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At times, specific goals of allocation, and values or principles of relevance in allocation decisions may conflict with one another. In practice, compromises are often necessary to best satisfy the core goals and values that may be considered relevant in a particular context. This is one reason why it is particularly important to ensure that individuals and members of communities who may be affected by allocation decisions are able to participate in the development of allocation policies so that their values and preferences will be reflected in the policies that affect them.</w:t>
      </w:r>
    </w:p>
    <w:p w14:paraId="1DCE2320" w14:textId="77777777" w:rsidR="006C6EBA" w:rsidRPr="006720E4" w:rsidRDefault="006C6EBA" w:rsidP="00EA22AE">
      <w:pPr>
        <w:pStyle w:val="Heading3"/>
        <w:spacing w:after="120"/>
      </w:pPr>
      <w:bookmarkStart w:id="3413" w:name="_Goals,_principles_and"/>
      <w:bookmarkStart w:id="3414" w:name="_Toc72615165"/>
      <w:bookmarkStart w:id="3415" w:name="_Toc73129887"/>
      <w:bookmarkStart w:id="3416" w:name="_Toc73301759"/>
      <w:bookmarkStart w:id="3417" w:name="_Toc73302265"/>
      <w:bookmarkStart w:id="3418" w:name="_Toc73303398"/>
      <w:bookmarkStart w:id="3419" w:name="_Toc73303625"/>
      <w:bookmarkStart w:id="3420" w:name="_Toc74080742"/>
      <w:bookmarkStart w:id="3421" w:name="_Toc74081050"/>
      <w:bookmarkStart w:id="3422" w:name="_Toc74081280"/>
      <w:bookmarkStart w:id="3423" w:name="_Toc74081543"/>
      <w:bookmarkStart w:id="3424" w:name="_Toc74171111"/>
      <w:bookmarkStart w:id="3425" w:name="_Toc74172320"/>
      <w:bookmarkStart w:id="3426" w:name="_Toc74172856"/>
      <w:bookmarkStart w:id="3427" w:name="_Toc74238785"/>
      <w:bookmarkStart w:id="3428" w:name="_Toc79406425"/>
      <w:bookmarkStart w:id="3429" w:name="_Toc82773650"/>
      <w:bookmarkStart w:id="3430" w:name="_Toc82774003"/>
      <w:bookmarkEnd w:id="3413"/>
      <w:r w:rsidRPr="006720E4">
        <w:lastRenderedPageBreak/>
        <w:t>Goals, principles, and values of distributive justice</w:t>
      </w:r>
      <w:bookmarkEnd w:id="3408"/>
      <w:bookmarkEnd w:id="3409"/>
      <w:bookmarkEnd w:id="3410"/>
      <w:bookmarkEnd w:id="3411"/>
      <w:bookmarkEnd w:id="3412"/>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14:paraId="08263D2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of the goals, values and principles that </w:t>
      </w:r>
      <w:r w:rsidRPr="006720E4">
        <w:rPr>
          <w:rFonts w:ascii="Calibri" w:hAnsi="Calibri" w:cs="Calibri"/>
          <w:sz w:val="22"/>
          <w:szCs w:val="22"/>
          <w:u w:val="single"/>
        </w:rPr>
        <w:t>may</w:t>
      </w:r>
      <w:r w:rsidRPr="006720E4">
        <w:rPr>
          <w:rFonts w:ascii="Calibri" w:hAnsi="Calibri" w:cs="Calibri"/>
          <w:sz w:val="22"/>
          <w:szCs w:val="22"/>
        </w:rPr>
        <w:t xml:space="preserve"> be considered relevant in decision-making about donation and transplantation resources are explained briefly in the following sections.</w:t>
      </w:r>
    </w:p>
    <w:p w14:paraId="3E0488F6" w14:textId="77777777" w:rsidR="006C6EBA" w:rsidRPr="006720E4" w:rsidRDefault="006C6EBA" w:rsidP="00EA22AE">
      <w:pPr>
        <w:pStyle w:val="Heading4"/>
        <w:spacing w:after="120"/>
      </w:pPr>
      <w:bookmarkStart w:id="3431" w:name="_Equality_of_opportunity"/>
      <w:bookmarkEnd w:id="3431"/>
      <w:r w:rsidRPr="006720E4">
        <w:t xml:space="preserve"> </w:t>
      </w:r>
      <w:bookmarkStart w:id="3432" w:name="_Toc82773651"/>
      <w:bookmarkStart w:id="3433" w:name="_Toc82774004"/>
      <w:r w:rsidRPr="006720E4">
        <w:t>Equality of opportunity</w:t>
      </w:r>
      <w:bookmarkEnd w:id="3432"/>
      <w:bookmarkEnd w:id="3433"/>
    </w:p>
    <w:p w14:paraId="4F071B02" w14:textId="07236E28"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Grounded in respect for the equal right to health, this principle or goal primarily supports efforts to remove barriers that may prevent individuals or groups from accessing donation or transplantation, and to maximise equality of access to the benefits of transplantation. </w:t>
      </w:r>
    </w:p>
    <w:p w14:paraId="5EA40D2B" w14:textId="77777777"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When opportunities for transplantation, for example, are limited, equality of opportunity might be achieved by allocating resources in a way that gives transplant candidates an equal chance of receiving a transplant. </w:t>
      </w:r>
    </w:p>
    <w:p w14:paraId="569A049C" w14:textId="566856A4"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Using a lottery approach to allocation of deceased donor organs, for example, has been proposed by philosophers as one way to achieve true equality in opportunities for transplantation, or in resource allocation more generally.</w:t>
      </w:r>
      <w:r w:rsidRPr="006720E4">
        <w:rPr>
          <w:rFonts w:ascii="Calibri" w:hAnsi="Calibri" w:cs="Calibri"/>
          <w:sz w:val="22"/>
          <w:szCs w:val="21"/>
        </w:rPr>
        <w:fldChar w:fldCharType="begin" w:fldLock="1"/>
      </w:r>
      <w:r w:rsidR="00EB088B">
        <w:rPr>
          <w:rFonts w:ascii="Calibri" w:hAnsi="Calibri" w:cs="Calibri"/>
          <w:sz w:val="22"/>
          <w:szCs w:val="21"/>
        </w:rPr>
        <w:instrText>ADDIN CSL_CITATION {"citationItems":[{"id":"ITEM-1","itemData":{"DOI":"10.1016/S0140-6736(09)60137-9","ISSN":"01406736","PMID":"19186274","abstract":"Allocation of very scarce medical interventions such as organs and vaccines is a persistent ethical challenge. We evaluate eight simple allocation principles that can be classified into four categories: treating people equally, favouring the worst-off, maximising total benefits, and promoting and rewarding social usefulness. No single principle is sufficient to incorporate all morally relevant considerations and therefore individual principles must be combined into multiprinciple allocation systems. We evaluate three systems: the United Network for Organ Sharing points systems, quality-adjusted life-years, and disability-adjusted life-years. We recommend an alternative system-the complete lives system-which prioritises younger people who have not yet lived a complete life, and also incorporates prognosis, save the most lives, lottery, and instrumental value principles. © 2009 Elsevier Ltd. All rights reserved.","author":[{"dropping-particle":"","family":"Persad","given":"Govind","non-dropping-particle":"","parse-names":false,"suffix":""},{"dropping-particle":"","family":"Wertheimer","given":"Alan","non-dropping-particle":"","parse-names":false,"suffix":""},{"dropping-particle":"","family":"Emanuel","given":"Ezekiel J.","non-dropping-particle":"","parse-names":false,"suffix":""}],"container-title":"The Lancet","id":"ITEM-1","issue":"9661","issued":{"date-parts":[["2009"]]},"page":"423-431","title":"Principles for allocation of scarce medical interventions","type":"article-journal","volume":"373"},"uris":["http://www.mendeley.com/documents/?uuid=ad04a6fc-a492-4730-b4b9-587dc9219a98"]}],"mendeley":{"formattedCitation":"(126)","plainTextFormattedCitation":"(126)","previouslyFormattedCitation":"(126)"},"properties":{"noteIndex":0},"schema":"https://github.com/citation-style-language/schema/raw/master/csl-citation.json"}</w:instrText>
      </w:r>
      <w:r w:rsidRPr="006720E4">
        <w:rPr>
          <w:rFonts w:ascii="Calibri" w:hAnsi="Calibri" w:cs="Calibri"/>
          <w:sz w:val="22"/>
          <w:szCs w:val="21"/>
        </w:rPr>
        <w:fldChar w:fldCharType="separate"/>
      </w:r>
      <w:r w:rsidR="00BA3D76" w:rsidRPr="00BA3D76">
        <w:rPr>
          <w:rFonts w:ascii="Calibri" w:hAnsi="Calibri" w:cs="Calibri"/>
          <w:noProof/>
          <w:sz w:val="22"/>
          <w:szCs w:val="21"/>
        </w:rPr>
        <w:t>(126)</w:t>
      </w:r>
      <w:r w:rsidRPr="006720E4">
        <w:rPr>
          <w:rFonts w:ascii="Calibri" w:hAnsi="Calibri" w:cs="Calibri"/>
          <w:sz w:val="22"/>
          <w:szCs w:val="21"/>
        </w:rPr>
        <w:fldChar w:fldCharType="end"/>
      </w:r>
      <w:r w:rsidRPr="006720E4">
        <w:rPr>
          <w:rFonts w:ascii="Calibri" w:hAnsi="Calibri" w:cs="Calibri"/>
          <w:sz w:val="22"/>
          <w:szCs w:val="21"/>
        </w:rPr>
        <w:t xml:space="preserve"> A lottery would give each transplant candidate an equal chance of receiving a transplant – assuming that the available organs were clinically suitable for all the participants in the lottery. Lack of support for such an idea shows that although equality of opportunity is considered important in health resource allocation, other ethical principles or values are also considered important.</w:t>
      </w:r>
    </w:p>
    <w:p w14:paraId="6DAFB447" w14:textId="77777777" w:rsidR="006C6EBA" w:rsidRPr="006720E4" w:rsidRDefault="006C6EBA" w:rsidP="00EA22AE">
      <w:pPr>
        <w:pStyle w:val="Heading4"/>
        <w:spacing w:after="120"/>
      </w:pPr>
      <w:bookmarkStart w:id="3434" w:name="_“fair_innings”"/>
      <w:bookmarkStart w:id="3435" w:name="_Toc82773652"/>
      <w:bookmarkStart w:id="3436" w:name="_Toc82774005"/>
      <w:bookmarkEnd w:id="3434"/>
      <w:r w:rsidRPr="006720E4">
        <w:t>“fair innings”</w:t>
      </w:r>
      <w:bookmarkEnd w:id="3435"/>
      <w:bookmarkEnd w:id="3436"/>
    </w:p>
    <w:p w14:paraId="08A3FF4F" w14:textId="77777777"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The “fair innings principle” holds that healthcare resources should be distributed in way that help to promote equality in life span across populations, or to ensure that people can live a “normal” life span. </w:t>
      </w:r>
    </w:p>
    <w:p w14:paraId="16862263" w14:textId="75459FC3" w:rsidR="006C6EBA" w:rsidRPr="006720E4" w:rsidRDefault="006C6EBA" w:rsidP="00EA22AE">
      <w:pPr>
        <w:spacing w:after="120"/>
        <w:rPr>
          <w:rFonts w:ascii="Calibri" w:hAnsi="Calibri" w:cs="Calibri"/>
          <w:sz w:val="22"/>
          <w:szCs w:val="22"/>
        </w:rPr>
      </w:pPr>
      <w:r w:rsidRPr="006720E4">
        <w:rPr>
          <w:rFonts w:ascii="Calibri" w:hAnsi="Calibri" w:cs="Calibri"/>
          <w:sz w:val="22"/>
          <w:szCs w:val="21"/>
        </w:rPr>
        <w:t>Application of this principle might, for example, justify prioritisation of younger people for life saving transplants over those who have already “enjoyed” an average life span.</w:t>
      </w:r>
    </w:p>
    <w:p w14:paraId="32E1FBA5" w14:textId="77777777" w:rsidR="006C6EBA" w:rsidRPr="006720E4" w:rsidRDefault="006C6EBA" w:rsidP="00EA22AE">
      <w:pPr>
        <w:pStyle w:val="Heading4"/>
        <w:spacing w:after="120"/>
      </w:pPr>
      <w:bookmarkStart w:id="3437" w:name="_Toc82773653"/>
      <w:bookmarkStart w:id="3438" w:name="_Toc82774006"/>
      <w:r w:rsidRPr="006720E4">
        <w:t>“Maximin” or “</w:t>
      </w:r>
      <w:proofErr w:type="spellStart"/>
      <w:r w:rsidRPr="006720E4">
        <w:t>prioritarianism</w:t>
      </w:r>
      <w:proofErr w:type="spellEnd"/>
      <w:r w:rsidRPr="006720E4">
        <w:t>”</w:t>
      </w:r>
      <w:bookmarkEnd w:id="3437"/>
      <w:bookmarkEnd w:id="3438"/>
    </w:p>
    <w:p w14:paraId="227FADF4" w14:textId="77777777" w:rsidR="006C6EBA" w:rsidRPr="006720E4" w:rsidRDefault="006C6EBA" w:rsidP="00EA22AE">
      <w:pPr>
        <w:pStyle w:val="Bullet"/>
        <w:numPr>
          <w:ilvl w:val="0"/>
          <w:numId w:val="0"/>
        </w:numPr>
        <w:spacing w:after="120"/>
        <w:ind w:left="2"/>
        <w:contextualSpacing w:val="0"/>
        <w:rPr>
          <w:rFonts w:cs="Calibri"/>
          <w:szCs w:val="22"/>
        </w:rPr>
      </w:pPr>
      <w:r w:rsidRPr="006720E4">
        <w:rPr>
          <w:rFonts w:cs="Calibri"/>
          <w:szCs w:val="22"/>
        </w:rPr>
        <w:t>The “maximin” principle is also known as “</w:t>
      </w:r>
      <w:proofErr w:type="spellStart"/>
      <w:r w:rsidRPr="006720E4">
        <w:rPr>
          <w:rFonts w:cs="Calibri"/>
          <w:szCs w:val="22"/>
        </w:rPr>
        <w:t>prioritarianism</w:t>
      </w:r>
      <w:proofErr w:type="spellEnd"/>
      <w:r w:rsidRPr="006720E4">
        <w:rPr>
          <w:rFonts w:cs="Calibri"/>
          <w:szCs w:val="22"/>
        </w:rPr>
        <w:t xml:space="preserve">”, and is based on the work of philosopher John Rawls. Rawls argued that justice requires inequalities to be arranged so that they are to the advantage (or overall benefit) of those who are worst off. </w:t>
      </w:r>
    </w:p>
    <w:p w14:paraId="17412849" w14:textId="77777777" w:rsidR="006C6EBA" w:rsidRPr="006720E4" w:rsidRDefault="006C6EBA" w:rsidP="00EA22AE">
      <w:pPr>
        <w:pStyle w:val="Bullet"/>
        <w:numPr>
          <w:ilvl w:val="0"/>
          <w:numId w:val="0"/>
        </w:numPr>
        <w:spacing w:after="120"/>
        <w:ind w:left="2"/>
        <w:contextualSpacing w:val="0"/>
        <w:rPr>
          <w:rFonts w:cs="Calibri"/>
          <w:szCs w:val="22"/>
        </w:rPr>
      </w:pPr>
      <w:r w:rsidRPr="006720E4">
        <w:rPr>
          <w:rFonts w:cs="Calibri"/>
          <w:szCs w:val="22"/>
        </w:rPr>
        <w:t xml:space="preserve">In the context of donation and transplantation, application of this principle might mean that priority should be given in some cases to those who are already more disadvantaged in terms of experiencing poor health outcomes. It could also mean that specific distributions are considered fair, even if there are significant inequalities, as long as the distribution overall is better for those who are worst off. </w:t>
      </w:r>
    </w:p>
    <w:p w14:paraId="39B3264D" w14:textId="4E1726C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although allowing deceased donors to direct their donations to specific groups of people might exacerbate inequalities in access to transplantation </w:t>
      </w:r>
      <w:r w:rsidRPr="005E037B">
        <w:rPr>
          <w:rFonts w:ascii="Calibri" w:hAnsi="Calibri" w:cs="Calibri"/>
          <w:sz w:val="22"/>
          <w:szCs w:val="22"/>
        </w:rPr>
        <w:t xml:space="preserve">(see </w:t>
      </w:r>
      <w:hyperlink w:anchor="_Toc70415003" w:history="1">
        <w:r w:rsidRPr="005E037B">
          <w:rPr>
            <w:rStyle w:val="Hyperlink"/>
            <w:rFonts w:ascii="Calibri" w:hAnsi="Calibri" w:cs="Calibri"/>
            <w:sz w:val="22"/>
            <w:szCs w:val="22"/>
          </w:rPr>
          <w:t>Chapter 1</w:t>
        </w:r>
        <w:r w:rsidR="005E037B">
          <w:rPr>
            <w:rStyle w:val="Hyperlink"/>
            <w:rFonts w:ascii="Calibri" w:hAnsi="Calibri" w:cs="Calibri"/>
            <w:sz w:val="22"/>
            <w:szCs w:val="22"/>
          </w:rPr>
          <w:t>2</w:t>
        </w:r>
        <w:r w:rsidRPr="005E037B">
          <w:rPr>
            <w:rStyle w:val="Hyperlink"/>
            <w:rFonts w:ascii="Calibri" w:hAnsi="Calibri" w:cs="Calibri"/>
            <w:sz w:val="22"/>
            <w:szCs w:val="22"/>
          </w:rPr>
          <w:t>.3</w:t>
        </w:r>
      </w:hyperlink>
      <w:r w:rsidRPr="005E037B">
        <w:rPr>
          <w:rFonts w:ascii="Calibri" w:hAnsi="Calibri" w:cs="Calibri"/>
          <w:sz w:val="22"/>
          <w:szCs w:val="22"/>
        </w:rPr>
        <w:t>), some</w:t>
      </w:r>
      <w:r w:rsidRPr="006720E4">
        <w:rPr>
          <w:rFonts w:ascii="Calibri" w:hAnsi="Calibri" w:cs="Calibri"/>
          <w:sz w:val="22"/>
          <w:szCs w:val="22"/>
        </w:rPr>
        <w:t xml:space="preserve"> have argued that this could result in more people getting transplants overall, which might be fair according to the maximin principle.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{"citationItems":[{"id":"ITEM-1","itemData":{"DOI":"10.2190/986L-LHQ6-2VTE-YRRN","ISSN":"00207314","PMID":"1644507","abstract":"In 1984, the 32 member states of the World Health Organization European Region took a remarkable step forward in agreeing unanimously on 38 targets for a common health policy for the Region. Not only was equity the subject of the first of these targets, but it was also seen as a fundamental theme running right through the policy as a whole. However, equity can mean different things to different people. This article looks at the concepts and principles of equity as understood in the context of the World Health Organization's Health for All policy. After considering the possible causes of the differences in health observed in populations-some of them inevitable and some unnecessary and unfair-the author discusses equity in relation to health care, concentrating on issues of access to care, utilization, and quality. Lastly, seven principles for action are outlined, stemming from these concepts, to be borne in mind when designing or implementing policies, so that greater equity in health and health care can be promoted.","author":[{"dropping-particle":"","family":"Whitehead","given":"M.","non-dropping-particle":"","parse-names":false,"suffix":""}],"container-title":"International Journal of Health Services","id":"ITEM-1","issue":"3","issued":{"date-parts":[["1992"]]},"page":"429-445","title":"The concepts and principles of equity and health","type":"article-journal","volume":"22"},"uris":["http://www.mendeley.com/documents/?uuid=67d2040c-08c3-4ad8-838f-8f3f6739028c"]}],"mendeley":{"formattedCitation":"(127)","plainTextFormattedCitation":"(127)","previouslyFormattedCitation":"(127)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(127)</w:t>
      </w:r>
      <w:r w:rsidRPr="006720E4">
        <w:rPr>
          <w:rFonts w:ascii="Calibri" w:hAnsi="Calibri" w:cs="Calibri"/>
          <w:sz w:val="22"/>
          <w:szCs w:val="22"/>
        </w:rPr>
        <w:fldChar w:fldCharType="end"/>
      </w:r>
    </w:p>
    <w:p w14:paraId="28D13124" w14:textId="77777777" w:rsidR="006C6EBA" w:rsidRPr="006720E4" w:rsidRDefault="006C6EBA" w:rsidP="00EA22AE">
      <w:pPr>
        <w:pStyle w:val="Heading4"/>
        <w:spacing w:after="120"/>
      </w:pPr>
      <w:bookmarkStart w:id="3439" w:name="_Necessity"/>
      <w:bookmarkStart w:id="3440" w:name="_Toc82773654"/>
      <w:bookmarkStart w:id="3441" w:name="_Toc82774007"/>
      <w:bookmarkEnd w:id="3439"/>
      <w:r w:rsidRPr="006720E4">
        <w:t>Necessity</w:t>
      </w:r>
      <w:bookmarkEnd w:id="3440"/>
      <w:bookmarkEnd w:id="3441"/>
    </w:p>
    <w:p w14:paraId="7C56EB6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resources are limited, the principle of necessity is a valuable reminder that resources should only be allocated when they are needed. Reference to necessity usually implies that there is no alternative way of meeting the needs.</w:t>
      </w:r>
    </w:p>
    <w:p w14:paraId="2D91802C" w14:textId="0B0EF4A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if some people’s needs for heart valve replacement can be met using animal derived or mechanical valves, whereas other people require a human tissue valve replacement, it would be unfair to allocate scarce human donor valves to people who have the option of receiving a mechanical valve. </w:t>
      </w:r>
    </w:p>
    <w:p w14:paraId="41EEE2D7" w14:textId="77777777" w:rsidR="006C6EBA" w:rsidRPr="006720E4" w:rsidRDefault="006C6EBA" w:rsidP="00EA22AE">
      <w:pPr>
        <w:spacing w:after="120"/>
        <w:rPr>
          <w:rFonts w:ascii="Calibri" w:hAnsi="Calibri" w:cs="Calibri"/>
        </w:rPr>
      </w:pPr>
      <w:r w:rsidRPr="006720E4">
        <w:rPr>
          <w:rFonts w:ascii="Calibri" w:hAnsi="Calibri" w:cs="Calibri"/>
          <w:sz w:val="22"/>
          <w:szCs w:val="22"/>
        </w:rPr>
        <w:lastRenderedPageBreak/>
        <w:t>Similarly, in the broader context of resource allocation issues, efforts should be made to prevent needs for transplantation where possible, to ensure that when needs are unavoidable, we are better able to meet them. Investment in public health measures that reduce the incidence of end stage organ failure, for example, is a vital component of efforts to meet needs for organ transplantation.</w:t>
      </w:r>
    </w:p>
    <w:p w14:paraId="04811731" w14:textId="43CF8F49" w:rsidR="006C6EBA" w:rsidRPr="006720E4" w:rsidRDefault="006C6EBA" w:rsidP="00EA22AE">
      <w:pPr>
        <w:pStyle w:val="Heading4"/>
        <w:spacing w:after="120"/>
      </w:pPr>
      <w:bookmarkStart w:id="3442" w:name="_Reciprocity"/>
      <w:bookmarkStart w:id="3443" w:name="_Reciprocity_and_solidarity"/>
      <w:bookmarkStart w:id="3444" w:name="_Toc82773655"/>
      <w:bookmarkStart w:id="3445" w:name="_Toc82774008"/>
      <w:bookmarkEnd w:id="3442"/>
      <w:bookmarkEnd w:id="3443"/>
      <w:r w:rsidRPr="006720E4">
        <w:t>Reciprocity</w:t>
      </w:r>
      <w:bookmarkEnd w:id="3444"/>
      <w:bookmarkEnd w:id="3445"/>
      <w:r w:rsidR="005F7698">
        <w:t xml:space="preserve"> and solidarity</w:t>
      </w:r>
    </w:p>
    <w:p w14:paraId="0D09E86C" w14:textId="6217F39B" w:rsidR="000A224F" w:rsidRPr="00A963CF" w:rsidRDefault="005F7698" w:rsidP="00EA22AE">
      <w:pPr>
        <w:spacing w:after="120"/>
        <w:rPr>
          <w:rFonts w:ascii="Calibri" w:hAnsi="Calibri" w:cs="Calibri"/>
          <w:sz w:val="22"/>
          <w:szCs w:val="22"/>
        </w:rPr>
      </w:pPr>
      <w:r w:rsidRPr="00A963CF">
        <w:rPr>
          <w:rFonts w:ascii="Calibri" w:hAnsi="Calibri" w:cs="Calibri"/>
          <w:sz w:val="22"/>
          <w:szCs w:val="22"/>
        </w:rPr>
        <w:t>Reciprocity and solidarity are core values underpinning donation and transplantation in Australia, as outlined in</w:t>
      </w:r>
      <w:r w:rsidR="00A963CF" w:rsidRPr="00A963CF">
        <w:rPr>
          <w:rFonts w:ascii="Calibri" w:hAnsi="Calibri" w:cs="Calibri"/>
          <w:sz w:val="22"/>
          <w:szCs w:val="22"/>
        </w:rPr>
        <w:t xml:space="preserve"> more detail in</w:t>
      </w:r>
      <w:r w:rsidR="000A224F" w:rsidRPr="00A963CF">
        <w:rPr>
          <w:rFonts w:ascii="Calibri" w:hAnsi="Calibri" w:cs="Calibri"/>
          <w:sz w:val="22"/>
          <w:szCs w:val="22"/>
        </w:rPr>
        <w:t xml:space="preserve"> </w:t>
      </w:r>
      <w:hyperlink w:anchor="_Promotion_of_solidarity" w:history="1">
        <w:r w:rsidR="001466E0" w:rsidRPr="00A963CF">
          <w:rPr>
            <w:rStyle w:val="Hyperlink"/>
            <w:rFonts w:ascii="Calibri" w:hAnsi="Calibri" w:cs="Calibri"/>
            <w:sz w:val="22"/>
            <w:szCs w:val="21"/>
            <w:lang w:val="en-GB"/>
          </w:rPr>
          <w:t>Chapter 3.1.4</w:t>
        </w:r>
      </w:hyperlink>
      <w:r w:rsidRPr="00A963CF">
        <w:rPr>
          <w:rFonts w:ascii="Calibri" w:hAnsi="Calibri" w:cs="Calibri"/>
          <w:sz w:val="22"/>
          <w:szCs w:val="21"/>
          <w:u w:color="0000FF"/>
          <w:lang w:val="en-GB"/>
        </w:rPr>
        <w:t xml:space="preserve">. When applied as a principle of justice, reciprocity reflects the idea </w:t>
      </w:r>
      <w:r w:rsidR="00A963CF" w:rsidRPr="00A963CF">
        <w:rPr>
          <w:rFonts w:ascii="Calibri" w:hAnsi="Calibri" w:cs="Calibri"/>
          <w:sz w:val="22"/>
          <w:szCs w:val="21"/>
          <w:u w:color="0000FF"/>
          <w:lang w:val="en-GB"/>
        </w:rPr>
        <w:t xml:space="preserve">of balance between obligations to contribute to </w:t>
      </w:r>
      <w:r w:rsidRPr="00A963CF">
        <w:rPr>
          <w:rFonts w:ascii="Calibri" w:hAnsi="Calibri" w:cs="Calibri"/>
          <w:sz w:val="22"/>
          <w:szCs w:val="21"/>
          <w:u w:color="0000FF"/>
          <w:lang w:val="en-GB"/>
        </w:rPr>
        <w:t xml:space="preserve">the achievement of some good </w:t>
      </w:r>
      <w:r w:rsidR="00A963CF" w:rsidRPr="00A963CF">
        <w:rPr>
          <w:rFonts w:ascii="Calibri" w:hAnsi="Calibri" w:cs="Calibri"/>
          <w:sz w:val="22"/>
          <w:szCs w:val="21"/>
          <w:u w:color="0000FF"/>
          <w:lang w:val="en-GB"/>
        </w:rPr>
        <w:t>and</w:t>
      </w:r>
      <w:r w:rsidRPr="00A963CF">
        <w:rPr>
          <w:rFonts w:ascii="Calibri" w:hAnsi="Calibri" w:cs="Calibri"/>
          <w:sz w:val="22"/>
          <w:szCs w:val="21"/>
          <w:u w:color="0000FF"/>
          <w:lang w:val="en-GB"/>
        </w:rPr>
        <w:t xml:space="preserve"> </w:t>
      </w:r>
      <w:r w:rsidR="00A963CF" w:rsidRPr="00A963CF">
        <w:rPr>
          <w:rFonts w:ascii="Calibri" w:hAnsi="Calibri" w:cs="Calibri"/>
          <w:sz w:val="22"/>
          <w:szCs w:val="21"/>
          <w:u w:color="0000FF"/>
          <w:lang w:val="en-GB"/>
        </w:rPr>
        <w:t>rights to benefit from that good and is commonly considered in the context of individual rights and obligations with regards to donation and transplantation. Solidarity refers more to collective efforts to help meet shared needs.</w:t>
      </w:r>
    </w:p>
    <w:p w14:paraId="41AE8422" w14:textId="77777777" w:rsidR="006C6EBA" w:rsidRPr="006720E4" w:rsidRDefault="006C6EBA" w:rsidP="00EA22AE">
      <w:pPr>
        <w:pStyle w:val="Heading4"/>
        <w:spacing w:after="120"/>
      </w:pPr>
      <w:bookmarkStart w:id="3446" w:name="_Toc82773656"/>
      <w:bookmarkStart w:id="3447" w:name="_Toc82774009"/>
      <w:r w:rsidRPr="006720E4">
        <w:t>Rule of rescue</w:t>
      </w:r>
      <w:bookmarkEnd w:id="3446"/>
      <w:bookmarkEnd w:id="3447"/>
    </w:p>
    <w:p w14:paraId="5F0FD6D4" w14:textId="3E7D85CC" w:rsidR="006C6EBA" w:rsidRPr="006720E4" w:rsidRDefault="006C6EBA" w:rsidP="00EA22AE">
      <w:pPr>
        <w:spacing w:after="120"/>
        <w:rPr>
          <w:rFonts w:ascii="Calibri" w:hAnsi="Calibri" w:cs="Calibri"/>
        </w:rPr>
      </w:pPr>
      <w:r w:rsidRPr="006720E4">
        <w:rPr>
          <w:rFonts w:ascii="Calibri" w:hAnsi="Calibri" w:cs="Calibri"/>
          <w:sz w:val="22"/>
          <w:szCs w:val="22"/>
        </w:rPr>
        <w:t xml:space="preserve">This principle encourages allocations that prioritise the needs of those at immediate risk of death or severe disability. Although emotionally compelling, if applied in isolation this principle can – counter-intuitively - lead to significant loss of life and disability. This is because efforts to rescue those at immediate risk may sometimes be futile – unlikely to be successful – and may occur at the expense of efforts to save others who would indeed benefit from </w:t>
      </w:r>
      <w:r w:rsidRPr="00A963CF">
        <w:rPr>
          <w:rFonts w:ascii="Calibri" w:hAnsi="Calibri" w:cs="Calibri"/>
          <w:sz w:val="22"/>
          <w:szCs w:val="22"/>
        </w:rPr>
        <w:t xml:space="preserve">treatment. See </w:t>
      </w:r>
      <w:hyperlink w:anchor="_Avoidance_of_futile" w:history="1">
        <w:r w:rsidR="00A963CF" w:rsidRPr="00A963CF">
          <w:rPr>
            <w:rStyle w:val="Hyperlink"/>
            <w:rFonts w:ascii="Calibri" w:hAnsi="Calibri" w:cs="Calibri"/>
            <w:sz w:val="22"/>
            <w:szCs w:val="22"/>
          </w:rPr>
          <w:t>Chapter 8.2.1.8</w:t>
        </w:r>
      </w:hyperlink>
      <w:r w:rsidR="00A963CF" w:rsidRPr="00A963CF">
        <w:rPr>
          <w:rStyle w:val="Hyperlink"/>
          <w:rFonts w:ascii="Calibri" w:hAnsi="Calibri" w:cs="Calibri"/>
          <w:sz w:val="22"/>
          <w:szCs w:val="22"/>
        </w:rPr>
        <w:t>.</w:t>
      </w:r>
    </w:p>
    <w:p w14:paraId="49C07D0F" w14:textId="77777777" w:rsidR="006C6EBA" w:rsidRPr="006720E4" w:rsidRDefault="006C6EBA" w:rsidP="00EA22AE">
      <w:pPr>
        <w:pStyle w:val="Heading4"/>
        <w:spacing w:after="120"/>
      </w:pPr>
      <w:bookmarkStart w:id="3448" w:name="_Solidarity"/>
      <w:bookmarkStart w:id="3449" w:name="_Utility"/>
      <w:bookmarkStart w:id="3450" w:name="_Toc82773658"/>
      <w:bookmarkStart w:id="3451" w:name="_Toc82774011"/>
      <w:bookmarkEnd w:id="3448"/>
      <w:bookmarkEnd w:id="3449"/>
      <w:r w:rsidRPr="006720E4">
        <w:t>Utility</w:t>
      </w:r>
      <w:bookmarkEnd w:id="3450"/>
      <w:bookmarkEnd w:id="3451"/>
    </w:p>
    <w:p w14:paraId="73C7A621" w14:textId="637A9EBC" w:rsidR="00D6613B" w:rsidRDefault="006C6EBA" w:rsidP="00EA22AE">
      <w:pPr>
        <w:spacing w:after="120"/>
        <w:rPr>
          <w:rFonts w:ascii="Calibri" w:hAnsi="Calibri" w:cs="Calibri"/>
          <w:sz w:val="22"/>
          <w:szCs w:val="22"/>
        </w:rPr>
      </w:pPr>
      <w:r w:rsidRPr="006720E4">
        <w:rPr>
          <w:rFonts w:ascii="Calibri" w:hAnsi="Calibri" w:cs="Calibri"/>
          <w:sz w:val="22"/>
          <w:szCs w:val="22"/>
        </w:rPr>
        <w:t>Utility may broadly refer to the potential beneficial outcomes of a particular allocation framework or more specifically to the potential therapeutic benefits of an individual receiving a specific transplant.</w:t>
      </w:r>
      <w:r w:rsidR="00D6613B">
        <w:rPr>
          <w:rFonts w:ascii="Calibri" w:hAnsi="Calibri" w:cs="Calibri"/>
          <w:sz w:val="22"/>
          <w:szCs w:val="22"/>
        </w:rPr>
        <w:t xml:space="preserve"> This means that when used as principle to guide resource allocation, allocation decisions aim to maximise utility overall, or at the level of individual transplants. </w:t>
      </w:r>
    </w:p>
    <w:p w14:paraId="5DADE8C5" w14:textId="722874C0" w:rsidR="00D6613B" w:rsidRPr="00D6613B" w:rsidRDefault="00D6613B" w:rsidP="00EA22AE">
      <w:pPr>
        <w:spacing w:after="120"/>
        <w:rPr>
          <w:rFonts w:ascii="Calibri" w:hAnsi="Calibri" w:cs="Calibri"/>
          <w:kern w:val="2"/>
          <w:sz w:val="22"/>
          <w:szCs w:val="22"/>
        </w:rPr>
      </w:pPr>
      <w:r>
        <w:rPr>
          <w:rFonts w:ascii="Calibri" w:hAnsi="Calibri" w:cs="Calibri"/>
          <w:sz w:val="22"/>
          <w:szCs w:val="22"/>
        </w:rPr>
        <w:t>Although maximising utility is a common consideration in allocation of donated organs, cells, or tissues, it is rarely the only consideration.</w:t>
      </w:r>
    </w:p>
    <w:p w14:paraId="40C6891F" w14:textId="3336D8C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How utility is measured plays an important role in resource allocation decisions. For example, the utility of individual A receiving a kidney transplant from donor B might be measured by the expected duration of graft survival. Alternatively, utility might be measured by the impact of this transplant, including expected graft survival, on A’s physical, social and psychological wellbeing. A’s wellbeing may in turn impact the lives and wellbeing of others, such as family members, and so on. The healthcare system for example, may save considerable costs associated with dialysis if A receives a transplant.</w:t>
      </w:r>
    </w:p>
    <w:p w14:paraId="1B873CE9" w14:textId="7D902FA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Finally, utility might also be evaluated by considering the potential loss of utility that could result from specific allocations. For example, if A doesn’t receive the kidney transplant, this could result in a significant loss of utility for A and for others. </w:t>
      </w:r>
    </w:p>
    <w:p w14:paraId="2E387789" w14:textId="1F820B2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utility is used as a consideration in resource allocation or policy making, it is essential to define – and agree upon - what is being measured as utility, and how utility is to be measured. It may also be difficult to accurately predict which actions or choices may lead to outcomes that maximise utility overall.</w:t>
      </w:r>
    </w:p>
    <w:p w14:paraId="474E81C9" w14:textId="77777777" w:rsidR="006C6EBA" w:rsidRPr="006720E4" w:rsidRDefault="006C6EBA" w:rsidP="00EA22AE">
      <w:pPr>
        <w:pStyle w:val="Heading4"/>
        <w:spacing w:after="120"/>
      </w:pPr>
      <w:bookmarkStart w:id="3452" w:name="_Avoidance_of_futile"/>
      <w:bookmarkStart w:id="3453" w:name="_Toc82773659"/>
      <w:bookmarkStart w:id="3454" w:name="_Toc82774012"/>
      <w:bookmarkEnd w:id="3452"/>
      <w:r w:rsidRPr="006720E4">
        <w:t>Avoidance of futile treatment</w:t>
      </w:r>
      <w:bookmarkEnd w:id="3453"/>
      <w:bookmarkEnd w:id="3454"/>
    </w:p>
    <w:p w14:paraId="29D5CCA5" w14:textId="79AC9A2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principle refers to the duty to avoid allocating healthcare resources in treatments that are not expected to work </w:t>
      </w:r>
      <w:r w:rsidR="00A963CF">
        <w:rPr>
          <w:rFonts w:ascii="Calibri" w:hAnsi="Calibri" w:cs="Calibri"/>
          <w:sz w:val="22"/>
          <w:szCs w:val="22"/>
        </w:rPr>
        <w:t>n</w:t>
      </w:r>
      <w:r w:rsidRPr="006720E4">
        <w:rPr>
          <w:rFonts w:ascii="Calibri" w:hAnsi="Calibri" w:cs="Calibri"/>
          <w:sz w:val="22"/>
          <w:szCs w:val="22"/>
        </w:rPr>
        <w:t xml:space="preserve">or to achieve the goals of treatment. For example, performing a bone transplant aimed at improving mobility in a person who is otherwise critically ill, unable to mobilise and expected to die shortly regardless of treatment would be futile. This is because the goal of the bone transplant – improving mobility function in the recipient - is not expected to be realised. </w:t>
      </w:r>
    </w:p>
    <w:p w14:paraId="0A189A81" w14:textId="77777777" w:rsidR="006C6EBA" w:rsidRPr="006720E4" w:rsidRDefault="006C6EBA" w:rsidP="00EA22AE">
      <w:pPr>
        <w:pStyle w:val="Heading3"/>
        <w:spacing w:after="120"/>
      </w:pPr>
      <w:bookmarkStart w:id="3455" w:name="_Toc72615166"/>
      <w:bookmarkStart w:id="3456" w:name="_Toc73129888"/>
      <w:bookmarkStart w:id="3457" w:name="_Toc73301760"/>
      <w:bookmarkStart w:id="3458" w:name="_Toc73302266"/>
      <w:bookmarkStart w:id="3459" w:name="_Toc73303399"/>
      <w:bookmarkStart w:id="3460" w:name="_Toc73303626"/>
      <w:bookmarkStart w:id="3461" w:name="_Toc74080743"/>
      <w:bookmarkStart w:id="3462" w:name="_Toc74081051"/>
      <w:bookmarkStart w:id="3463" w:name="_Toc74081281"/>
      <w:bookmarkStart w:id="3464" w:name="_Toc74081544"/>
      <w:bookmarkStart w:id="3465" w:name="_Toc74171112"/>
      <w:bookmarkStart w:id="3466" w:name="_Toc74172321"/>
      <w:bookmarkStart w:id="3467" w:name="_Toc74172857"/>
      <w:bookmarkStart w:id="3468" w:name="_Toc74238786"/>
      <w:bookmarkStart w:id="3469" w:name="_Toc79406426"/>
      <w:bookmarkStart w:id="3470" w:name="_Toc82773660"/>
      <w:bookmarkStart w:id="3471" w:name="_Toc82774013"/>
      <w:bookmarkStart w:id="3472" w:name="_Toc63683452"/>
      <w:bookmarkStart w:id="3473" w:name="_Toc70241797"/>
      <w:bookmarkStart w:id="3474" w:name="_Toc70243432"/>
      <w:bookmarkStart w:id="3475" w:name="_Toc70414914"/>
      <w:bookmarkStart w:id="3476" w:name="_Toc70844232"/>
      <w:r w:rsidRPr="006720E4">
        <w:lastRenderedPageBreak/>
        <w:t>Balancing competing principles and goals in resource allocation</w:t>
      </w:r>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p>
    <w:p w14:paraId="6CEC020E" w14:textId="066BA8C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only one principle were used to guide resource allocation, then decision-makers could simply strive to allocate resources in ways that would maximise utility overall, or optimise equality of opportunity for transplantation and so on. However, the consequences of such approaches are usually undesirable; in most cases people recognize the importance of considering a number of values or allocation goals. For example, people often have an interest in maximising utility </w:t>
      </w:r>
      <w:r w:rsidRPr="006720E4">
        <w:rPr>
          <w:rFonts w:ascii="Calibri" w:hAnsi="Calibri" w:cs="Calibri"/>
          <w:sz w:val="22"/>
          <w:szCs w:val="22"/>
          <w:u w:val="single"/>
        </w:rPr>
        <w:t>and</w:t>
      </w:r>
      <w:r w:rsidRPr="006720E4">
        <w:rPr>
          <w:rFonts w:ascii="Calibri" w:hAnsi="Calibri" w:cs="Calibri"/>
          <w:sz w:val="22"/>
          <w:szCs w:val="22"/>
        </w:rPr>
        <w:t xml:space="preserve"> in promoting equality of opportunity when allocating transplantation resources, given that some groups may otherwise be consistently disadvantaged and excluded </w:t>
      </w:r>
      <w:r w:rsidRPr="00A963CF">
        <w:rPr>
          <w:rFonts w:ascii="Calibri" w:hAnsi="Calibri" w:cs="Calibri"/>
          <w:sz w:val="22"/>
          <w:szCs w:val="22"/>
        </w:rPr>
        <w:t xml:space="preserve">(see </w:t>
      </w:r>
      <w:hyperlink w:anchor="_Tensions__between" w:history="1">
        <w:r w:rsidRPr="00A963CF">
          <w:rPr>
            <w:rStyle w:val="Hyperlink"/>
            <w:rFonts w:ascii="Calibri" w:hAnsi="Calibri" w:cs="Calibri"/>
            <w:sz w:val="22"/>
            <w:szCs w:val="22"/>
          </w:rPr>
          <w:t xml:space="preserve">Chapter </w:t>
        </w:r>
        <w:r w:rsidR="00A963CF" w:rsidRPr="00A963CF">
          <w:rPr>
            <w:rStyle w:val="Hyperlink"/>
            <w:rFonts w:ascii="Calibri" w:hAnsi="Calibri" w:cs="Calibri"/>
            <w:sz w:val="22"/>
            <w:szCs w:val="22"/>
          </w:rPr>
          <w:t>8</w:t>
        </w:r>
        <w:r w:rsidRPr="00A963CF">
          <w:rPr>
            <w:rStyle w:val="Hyperlink"/>
            <w:rFonts w:ascii="Calibri" w:hAnsi="Calibri" w:cs="Calibri"/>
            <w:sz w:val="22"/>
            <w:szCs w:val="22"/>
          </w:rPr>
          <w:t>.2.2.1</w:t>
        </w:r>
      </w:hyperlink>
      <w:r w:rsidRPr="00A963CF">
        <w:rPr>
          <w:rFonts w:ascii="Calibri" w:hAnsi="Calibri" w:cs="Calibri"/>
          <w:sz w:val="22"/>
          <w:szCs w:val="22"/>
        </w:rPr>
        <w:t>).</w:t>
      </w:r>
    </w:p>
    <w:p w14:paraId="3517BFF5" w14:textId="185B47C6"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Frameworks used to support decision-making about allocation of resources usually incorporate several principles. They also include more specific principles and criteria that help to guide decision-making in ways that align with the overarching goals or principles. For example, a resource allocation framework that aims to promote utility may include a principle recommending that futile treatment be avoided and set out clinical criteria to determine when a person may or may not benefit from a particular treatment.</w:t>
      </w:r>
    </w:p>
    <w:p w14:paraId="6B2BF0FE" w14:textId="3C44A04A"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 xml:space="preserve">In order to balance consideration of potentially competing principles or goals, decision-making frameworks may also provide guidance on which principles should take priority when there is a potential conflict, or give specific weight or priority to particular criteria. Specific “tiebreaker rules” </w:t>
      </w:r>
      <w:r w:rsidRPr="00A963CF">
        <w:rPr>
          <w:rFonts w:ascii="Calibri" w:hAnsi="Calibri" w:cs="Calibri"/>
          <w:sz w:val="22"/>
          <w:szCs w:val="21"/>
        </w:rPr>
        <w:t xml:space="preserve">may be used to decide between competing claims on resources that are otherwise equal (see </w:t>
      </w:r>
      <w:hyperlink w:anchor="_Use__of" w:history="1">
        <w:r w:rsidRPr="00A963CF">
          <w:rPr>
            <w:rStyle w:val="Hyperlink"/>
            <w:rFonts w:ascii="Calibri" w:hAnsi="Calibri" w:cs="Calibri"/>
            <w:sz w:val="22"/>
            <w:szCs w:val="21"/>
          </w:rPr>
          <w:t xml:space="preserve">Chapter </w:t>
        </w:r>
        <w:r w:rsidR="00A963CF" w:rsidRPr="00A963CF">
          <w:rPr>
            <w:rStyle w:val="Hyperlink"/>
            <w:rFonts w:ascii="Calibri" w:hAnsi="Calibri" w:cs="Calibri"/>
            <w:sz w:val="22"/>
            <w:szCs w:val="21"/>
          </w:rPr>
          <w:t>8</w:t>
        </w:r>
        <w:r w:rsidRPr="00A963CF">
          <w:rPr>
            <w:rStyle w:val="Hyperlink"/>
            <w:rFonts w:ascii="Calibri" w:hAnsi="Calibri" w:cs="Calibri"/>
            <w:sz w:val="22"/>
            <w:szCs w:val="21"/>
          </w:rPr>
          <w:t>.2.2.2</w:t>
        </w:r>
      </w:hyperlink>
      <w:r w:rsidRPr="00A963CF">
        <w:rPr>
          <w:rFonts w:ascii="Calibri" w:hAnsi="Calibri" w:cs="Calibri"/>
          <w:sz w:val="22"/>
          <w:szCs w:val="21"/>
        </w:rPr>
        <w:t>).</w:t>
      </w:r>
      <w:r w:rsidR="003D03F9">
        <w:rPr>
          <w:rFonts w:ascii="Calibri" w:hAnsi="Calibri" w:cs="Calibri"/>
          <w:sz w:val="22"/>
          <w:szCs w:val="21"/>
        </w:rPr>
        <w:t xml:space="preserve"> See </w:t>
      </w:r>
      <w:r w:rsidR="003D03F9" w:rsidRPr="003D03F9">
        <w:rPr>
          <w:rFonts w:ascii="Calibri" w:hAnsi="Calibri" w:cs="Calibri"/>
          <w:b/>
          <w:bCs/>
          <w:sz w:val="22"/>
          <w:szCs w:val="21"/>
        </w:rPr>
        <w:t>Box 8.1</w:t>
      </w:r>
      <w:r w:rsidR="003D03F9">
        <w:rPr>
          <w:rFonts w:ascii="Calibri" w:hAnsi="Calibri" w:cs="Calibri"/>
          <w:sz w:val="22"/>
          <w:szCs w:val="21"/>
        </w:rPr>
        <w:t xml:space="preserve"> for a summary of recommendations for ethical policy making in the allocation of organs, cells and tissues.</w:t>
      </w:r>
    </w:p>
    <w:p w14:paraId="0FC93C0F" w14:textId="00DD2BC2" w:rsidR="006C6EBA" w:rsidRPr="006720E4" w:rsidRDefault="006C6EBA" w:rsidP="00EA22AE">
      <w:pPr>
        <w:pStyle w:val="Heading4"/>
        <w:spacing w:after="120"/>
      </w:pPr>
      <w:bookmarkStart w:id="3477" w:name="_Tensions__between"/>
      <w:bookmarkStart w:id="3478" w:name="_Toc82773661"/>
      <w:bookmarkStart w:id="3479" w:name="_Toc82774014"/>
      <w:bookmarkEnd w:id="3477"/>
      <w:r w:rsidRPr="006720E4">
        <w:t>Tensions between promotion of utility and equality of opportunity</w:t>
      </w:r>
      <w:bookmarkEnd w:id="3478"/>
      <w:bookmarkEnd w:id="3479"/>
      <w:r w:rsidRPr="006720E4">
        <w:t xml:space="preserve"> </w:t>
      </w:r>
    </w:p>
    <w:p w14:paraId="3611C1A0" w14:textId="3FE4672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Resource allocation frameworks that aim to maximise the utility produced by distributing healthcare resources may further disadvantage</w:t>
      </w:r>
      <w:r w:rsidRPr="006720E4">
        <w:rPr>
          <w:rFonts w:ascii="Calibri" w:hAnsi="Calibri" w:cs="Calibri"/>
          <w:b/>
          <w:bCs/>
          <w:sz w:val="22"/>
          <w:szCs w:val="22"/>
        </w:rPr>
        <w:t xml:space="preserve"> </w:t>
      </w:r>
      <w:r w:rsidRPr="006720E4">
        <w:rPr>
          <w:rFonts w:ascii="Calibri" w:hAnsi="Calibri" w:cs="Calibri"/>
          <w:sz w:val="22"/>
          <w:szCs w:val="22"/>
        </w:rPr>
        <w:t xml:space="preserve">individuals and groups who are already worst off with regards to health, unless other goals are given consideration. In particular, the goal of maximising utility is often in tension with the goal of promoting equality of opportunity to benefit from transplantation, because prioritising transplantation of those who may be most likely to experience a significant therapeutic benefit may result in systematic exclusion of individuals or groups who are comparatively less likely to benefit from transplantation. </w:t>
      </w:r>
    </w:p>
    <w:p w14:paraId="623DD71D" w14:textId="32B5FEBF"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 xml:space="preserve">For example, depending on which measures are used to evaluate utility, prioritisation of healthier transplant candidates may lead to nominally better outcomes of transplantation and thus increase utility. Efforts to maximise utility of health resources may thus systematically disadvantage and exclude those who are already unwell or who may suffer from poorer quality of life and who may thus be seen as less likely to produce utility if they receive a transplant. </w:t>
      </w:r>
    </w:p>
    <w:p w14:paraId="79725204" w14:textId="167CD93C"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This is sometimes referred to as “double jeopardy”, especially when utility is measured by calculating the duration and quality of life that an individual is expected to gain, if they receive a specific treatment.</w:t>
      </w:r>
      <w:r w:rsidRPr="006720E4">
        <w:rPr>
          <w:rFonts w:ascii="Calibri" w:hAnsi="Calibri" w:cs="Calibri"/>
          <w:sz w:val="22"/>
          <w:szCs w:val="21"/>
        </w:rPr>
        <w:fldChar w:fldCharType="begin" w:fldLock="1"/>
      </w:r>
      <w:r w:rsidR="00EB088B">
        <w:rPr>
          <w:rFonts w:ascii="Calibri" w:hAnsi="Calibri" w:cs="Calibri"/>
          <w:sz w:val="22"/>
          <w:szCs w:val="21"/>
        </w:rPr>
        <w:instrText>ADDIN CSL_CITATION {"citationItems":[{"id":"ITEM-1","itemData":{"DOI":"10.1136/jme.21.3.144","ISSN":"03066800","PMID":"7674278","abstract":"The use of the Quality Adjusted Life-Year (QALY) as a measure of the benefit obtained from health care expenditure has been attacked on the ground that it gives a lower value to preserving the lives of people with a permanent disability or illness than to preserving the lives of those who are healthy and not disabled. The reason for this is that the quality of life of those with illness or disability is ranked, on the QALY scale, below that of someone without a disability or illness. Hence we can, other things being equal, gain more QALYs by saving the lives of those without a permanent disability or illness than by saving the lives of those who are disadvantaged in these ways. But to do so puts these disadvantaged people under a kind of double jeopardy. Not only do they suffer from the disability or illness, but because of it, a low priority is given to forms of health care that can preserve their lives. This, so the objection runs, is unjust or unfair. This article assesses this objection to the use of QALYs as a basis for allocating health care resources. It seeks to determine what is sound in the double jeopardy objection, and then to show that the defender of QALYs has an adequate response to it.","author":[{"dropping-particle":"","family":"Singer","given":"P.","non-dropping-particle":"","parse-names":false,"suffix":""},{"dropping-particle":"","family":"McKie","given":"J.","non-dropping-particle":"","parse-names":false,"suffix":""},{"dropping-particle":"","family":"Kuhse","given":"H.","non-dropping-particle":"","parse-names":false,"suffix":""},{"dropping-particle":"","family":"Richardson","given":"J.","non-dropping-particle":"","parse-names":false,"suffix":""}],"container-title":"Journal of Medical Ethics","id":"ITEM-1","issue":"3","issued":{"date-parts":[["1995"]]},"page":"144-157","title":"Double jeopardy and the use of QALYs in health care allocation","type":"article-journal","volume":"21"},"uris":["http://www.mendeley.com/documents/?uuid=70e3c268-aed4-492c-8b3d-9b372eac7d27"]}],"mendeley":{"formattedCitation":"(128)","plainTextFormattedCitation":"(128)","previouslyFormattedCitation":"(128)"},"properties":{"noteIndex":0},"schema":"https://github.com/citation-style-language/schema/raw/master/csl-citation.json"}</w:instrText>
      </w:r>
      <w:r w:rsidRPr="006720E4">
        <w:rPr>
          <w:rFonts w:ascii="Calibri" w:hAnsi="Calibri" w:cs="Calibri"/>
          <w:sz w:val="22"/>
          <w:szCs w:val="21"/>
        </w:rPr>
        <w:fldChar w:fldCharType="separate"/>
      </w:r>
      <w:r w:rsidR="00BA3D76" w:rsidRPr="00BA3D76">
        <w:rPr>
          <w:rFonts w:ascii="Calibri" w:hAnsi="Calibri" w:cs="Calibri"/>
          <w:noProof/>
          <w:sz w:val="22"/>
          <w:szCs w:val="21"/>
        </w:rPr>
        <w:t>(128)</w:t>
      </w:r>
      <w:r w:rsidRPr="006720E4">
        <w:rPr>
          <w:rFonts w:ascii="Calibri" w:hAnsi="Calibri" w:cs="Calibri"/>
          <w:sz w:val="22"/>
          <w:szCs w:val="21"/>
        </w:rPr>
        <w:fldChar w:fldCharType="end"/>
      </w:r>
      <w:r w:rsidRPr="006720E4">
        <w:rPr>
          <w:rFonts w:ascii="Calibri" w:hAnsi="Calibri" w:cs="Calibri"/>
          <w:sz w:val="22"/>
          <w:szCs w:val="21"/>
        </w:rPr>
        <w:t xml:space="preserve">  Saving the life of an individuals who is deemed to have a lower quality of life due to the presence of disability or chronic health conditions will produce less perceived utility than a person who has better health, assuming that both would have a similar life expectancy if they received treatment.  </w:t>
      </w:r>
    </w:p>
    <w:p w14:paraId="31C16588" w14:textId="77777777" w:rsidR="006C6EBA" w:rsidRPr="006720E4" w:rsidRDefault="006C6EBA" w:rsidP="00EA22AE">
      <w:pPr>
        <w:pStyle w:val="Heading4"/>
        <w:spacing w:after="120"/>
      </w:pPr>
      <w:bookmarkStart w:id="3480" w:name="_Use__of"/>
      <w:bookmarkStart w:id="3481" w:name="_Toc72615167"/>
      <w:bookmarkStart w:id="3482" w:name="_Toc73129889"/>
      <w:bookmarkStart w:id="3483" w:name="_Toc73301761"/>
      <w:bookmarkStart w:id="3484" w:name="_Toc73302267"/>
      <w:bookmarkStart w:id="3485" w:name="_Toc73303400"/>
      <w:bookmarkStart w:id="3486" w:name="_Toc74081545"/>
      <w:bookmarkStart w:id="3487" w:name="_Toc74172322"/>
      <w:bookmarkStart w:id="3488" w:name="_Toc74172858"/>
      <w:bookmarkStart w:id="3489" w:name="_Toc82773662"/>
      <w:bookmarkStart w:id="3490" w:name="_Toc82774015"/>
      <w:bookmarkEnd w:id="3480"/>
      <w:r w:rsidRPr="006720E4">
        <w:t>Use of “tiebreakers” in allocation</w:t>
      </w:r>
      <w:bookmarkEnd w:id="3472"/>
      <w:bookmarkEnd w:id="3473"/>
      <w:bookmarkEnd w:id="3474"/>
      <w:bookmarkEnd w:id="3475"/>
      <w:bookmarkEnd w:id="3476"/>
      <w:bookmarkEnd w:id="3481"/>
      <w:bookmarkEnd w:id="3482"/>
      <w:bookmarkEnd w:id="3483"/>
      <w:bookmarkEnd w:id="3484"/>
      <w:bookmarkEnd w:id="3485"/>
      <w:bookmarkEnd w:id="3486"/>
      <w:bookmarkEnd w:id="3487"/>
      <w:bookmarkEnd w:id="3488"/>
      <w:r w:rsidRPr="006720E4">
        <w:t xml:space="preserve"> of donor organs and tissue</w:t>
      </w:r>
      <w:bookmarkEnd w:id="3489"/>
      <w:bookmarkEnd w:id="3490"/>
    </w:p>
    <w:p w14:paraId="6360D27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Australia, specific allocation criteria or policies are required for distribution of scarce transplant resources such as deceased donor organs and some tissues from living and deceased donors, in order to discriminate fairly between potentially competing needs. </w:t>
      </w:r>
    </w:p>
    <w:p w14:paraId="14772B0D" w14:textId="26EFD8C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Allocation of donor organs or tissues in Australia is commonly guided by consideration of utility and how this may be maximised, as well as equality of opportunities for transplantation. The rule of rescue may also play a role, giving a degree of priority to those in need of life saving treatment, or of treatment to prevent or address more severe illness or disability. </w:t>
      </w:r>
    </w:p>
    <w:p w14:paraId="3ABB42F4" w14:textId="5A5C5B5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In many cases, more than one individual might have the same capacity to benefit from a particular transplant that is available, and a decision must be made regarding which candidate should be prioritised. This requires use of some form of “tiebreaker” or method of discriminating between cases of equivalent potential utility without undermining equality of opportunity. </w:t>
      </w:r>
    </w:p>
    <w:p w14:paraId="3D044B14" w14:textId="637B5E9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theory, equality of opportunity might be achieved by tossing a coin, for example, or using a lottery so that </w:t>
      </w:r>
      <w:r w:rsidRPr="00A963CF">
        <w:rPr>
          <w:rFonts w:ascii="Calibri" w:hAnsi="Calibri" w:cs="Calibri"/>
          <w:sz w:val="22"/>
          <w:szCs w:val="22"/>
        </w:rPr>
        <w:t xml:space="preserve">everyone eligible for a particular transplant has an equal chance of receiving it (see </w:t>
      </w:r>
      <w:hyperlink w:anchor="_Equality_of_opportunity" w:history="1">
        <w:r w:rsidRPr="00A963CF">
          <w:rPr>
            <w:rStyle w:val="Hyperlink"/>
            <w:rFonts w:ascii="Calibri" w:hAnsi="Calibri" w:cs="Calibri"/>
            <w:sz w:val="22"/>
            <w:szCs w:val="22"/>
          </w:rPr>
          <w:t xml:space="preserve">Chapter </w:t>
        </w:r>
        <w:r w:rsidR="00A963CF" w:rsidRPr="00A963CF">
          <w:rPr>
            <w:rStyle w:val="Hyperlink"/>
            <w:rFonts w:ascii="Calibri" w:hAnsi="Calibri" w:cs="Calibri"/>
            <w:sz w:val="22"/>
            <w:szCs w:val="22"/>
          </w:rPr>
          <w:t>8</w:t>
        </w:r>
        <w:r w:rsidRPr="00A963CF">
          <w:rPr>
            <w:rStyle w:val="Hyperlink"/>
            <w:rFonts w:ascii="Calibri" w:hAnsi="Calibri" w:cs="Calibri"/>
            <w:sz w:val="22"/>
            <w:szCs w:val="22"/>
          </w:rPr>
          <w:t>.2.1.1</w:t>
        </w:r>
      </w:hyperlink>
      <w:r w:rsidRPr="00A963CF">
        <w:rPr>
          <w:rFonts w:ascii="Calibri" w:hAnsi="Calibri" w:cs="Calibri"/>
          <w:sz w:val="22"/>
          <w:szCs w:val="22"/>
        </w:rPr>
        <w:t>). However, in practice, potential candidates for transplantation are routinely differentiated using a more pragmatic</w:t>
      </w:r>
      <w:r w:rsidRPr="006720E4">
        <w:rPr>
          <w:rFonts w:ascii="Calibri" w:hAnsi="Calibri" w:cs="Calibri"/>
          <w:sz w:val="22"/>
          <w:szCs w:val="22"/>
        </w:rPr>
        <w:t xml:space="preserve"> criterion, that of “time waiting”. </w:t>
      </w:r>
    </w:p>
    <w:p w14:paraId="68C12032" w14:textId="34B9E8D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Candidates for corneal transplantation, for example, will be offered a transplant according to ‘time waiting’ from the moment when they are referred for a corneal transplant and a request is made to obtain donor tissue for them, unless a particular candidate has a clinically urgent need. Organ transplant candidates instead join a queue in the form of a waiting list, with time spent on the waiting list taken into consideration together with other clinical variables that are deemed to align with goals such as maximising of </w:t>
      </w:r>
      <w:r w:rsidRPr="00D11BFA">
        <w:rPr>
          <w:rFonts w:ascii="Calibri" w:hAnsi="Calibri" w:cs="Calibri"/>
          <w:sz w:val="22"/>
          <w:szCs w:val="22"/>
        </w:rPr>
        <w:t xml:space="preserve">utility (see </w:t>
      </w:r>
      <w:hyperlink w:anchor="_The_role_and"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.2.3</w:t>
        </w:r>
      </w:hyperlink>
      <w:r w:rsidRPr="00D11BFA">
        <w:rPr>
          <w:rFonts w:ascii="Calibri" w:hAnsi="Calibri" w:cs="Calibri"/>
          <w:sz w:val="22"/>
          <w:szCs w:val="22"/>
        </w:rPr>
        <w:t>).</w:t>
      </w:r>
      <w:r w:rsidRPr="006720E4">
        <w:rPr>
          <w:rFonts w:ascii="Calibri" w:hAnsi="Calibri" w:cs="Calibri"/>
          <w:sz w:val="22"/>
          <w:szCs w:val="22"/>
        </w:rPr>
        <w:t xml:space="preserve"> </w:t>
      </w:r>
    </w:p>
    <w:p w14:paraId="53FD0783" w14:textId="5263836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HSCs from non-directed donors are necessarily collected and distributed only when a tissue-typed match is found for a person in need of transplantation. Due to the difficulties of HSC matching, the chances of an individual donor being a suitable match for more than one person in need of HSC transplantation at a particular time is vanishingly small. This means that HSC transplant recipients are not competing, as it were, for resources.</w:t>
      </w:r>
    </w:p>
    <w:p w14:paraId="068B85F2" w14:textId="3A0C5D81" w:rsidR="000B298E"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alternative types of tiebreakers sometimes used in transplantation include the prioritisation of people who have previously donated or registered to donate organs and tissues, which is discussed </w:t>
      </w:r>
      <w:r w:rsidRPr="00D11BFA">
        <w:rPr>
          <w:rFonts w:ascii="Calibri" w:hAnsi="Calibri" w:cs="Calibri"/>
          <w:sz w:val="22"/>
          <w:szCs w:val="22"/>
        </w:rPr>
        <w:t xml:space="preserve">in </w:t>
      </w:r>
      <w:hyperlink w:anchor="_Prioritisation_of_living_1"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.4.2.3</w:t>
        </w:r>
      </w:hyperlink>
      <w:r w:rsidRPr="00D11BFA">
        <w:rPr>
          <w:rFonts w:ascii="Calibri" w:hAnsi="Calibri" w:cs="Calibri"/>
          <w:sz w:val="22"/>
          <w:szCs w:val="22"/>
        </w:rPr>
        <w:t>.</w:t>
      </w:r>
    </w:p>
    <w:p w14:paraId="433AA207" w14:textId="2704EBE2" w:rsidR="006C6EBA" w:rsidRPr="006720E4" w:rsidRDefault="006C6EBA" w:rsidP="00EA22AE">
      <w:pPr>
        <w:pStyle w:val="Heading3"/>
        <w:spacing w:after="120"/>
      </w:pPr>
      <w:bookmarkStart w:id="3491" w:name="_The_role_and"/>
      <w:bookmarkStart w:id="3492" w:name="_Toc72615168"/>
      <w:bookmarkStart w:id="3493" w:name="_Toc73129890"/>
      <w:bookmarkStart w:id="3494" w:name="_Toc73301762"/>
      <w:bookmarkStart w:id="3495" w:name="_Toc73302268"/>
      <w:bookmarkStart w:id="3496" w:name="_Toc73303401"/>
      <w:bookmarkStart w:id="3497" w:name="_Toc73303627"/>
      <w:bookmarkStart w:id="3498" w:name="_Toc74080744"/>
      <w:bookmarkStart w:id="3499" w:name="_Toc74081052"/>
      <w:bookmarkStart w:id="3500" w:name="_Toc74081282"/>
      <w:bookmarkStart w:id="3501" w:name="_Toc74081546"/>
      <w:bookmarkStart w:id="3502" w:name="_Toc74171113"/>
      <w:bookmarkStart w:id="3503" w:name="_Toc74172323"/>
      <w:bookmarkStart w:id="3504" w:name="_Toc74172859"/>
      <w:bookmarkStart w:id="3505" w:name="_Toc74238787"/>
      <w:bookmarkStart w:id="3506" w:name="_Toc79406427"/>
      <w:bookmarkStart w:id="3507" w:name="_Toc82773663"/>
      <w:bookmarkStart w:id="3508" w:name="_Toc82774016"/>
      <w:bookmarkEnd w:id="3491"/>
      <w:r w:rsidRPr="006720E4">
        <w:t xml:space="preserve">The role and potential limitations of ‘objective’ criteria </w:t>
      </w:r>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r w:rsidRPr="006720E4">
        <w:t>in allocation policies</w:t>
      </w:r>
      <w:bookmarkEnd w:id="3506"/>
      <w:bookmarkEnd w:id="3507"/>
      <w:bookmarkEnd w:id="3508"/>
    </w:p>
    <w:p w14:paraId="3B66B598" w14:textId="28C9971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Several clinical, demographic and social criteria may be considered for use in health resource allocation policies. Such criteria are used to inform and guide allocation decisions in ways that will achieve normative goals such as maximising utility, saving lives or addressing known inequities. </w:t>
      </w:r>
    </w:p>
    <w:p w14:paraId="6E5153E5" w14:textId="4DC6768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Use of allocation criteria that are considered purely clinical or “objective” are sometimes thought to promote fairer decision making, as they appear less likely to be influenced by subjective values or biases. </w:t>
      </w:r>
    </w:p>
    <w:p w14:paraId="410C6390" w14:textId="774DD3A7" w:rsidR="006C6EBA" w:rsidRPr="00D11BFA" w:rsidRDefault="006C6EBA" w:rsidP="00EA22AE">
      <w:pPr>
        <w:spacing w:after="120"/>
        <w:rPr>
          <w:rFonts w:ascii="Calibri" w:hAnsi="Calibri" w:cs="Calibri"/>
          <w:sz w:val="22"/>
          <w:szCs w:val="22"/>
        </w:rPr>
      </w:pPr>
      <w:r w:rsidRPr="00D11BFA">
        <w:rPr>
          <w:rFonts w:ascii="Calibri" w:hAnsi="Calibri" w:cs="Calibri"/>
          <w:sz w:val="22"/>
          <w:szCs w:val="22"/>
        </w:rPr>
        <w:t>For example, a liver transplant candidate who has a higher Model for End stage Liver Disease (MELD) score than another candidate, may seem to be in more clinically urgent need of a transplant, and should thus be offered a transplant if it becomes available, despite both candidates being a suitable match. Alternatively, a kidney transplant candidate who has been waiting longer than another candidate might be given priority for a transplant.</w:t>
      </w:r>
    </w:p>
    <w:p w14:paraId="13547065" w14:textId="7FBDA04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Criteria that involve independently measurable information rather than more qualitative judgements do play a vital role in decision-making about resource allocation. Drawing on a robust evidence base to inform decision-making is essential. However, it is important to reflect critically on all allocation criteria, regardless of how objective they may appear to be. For several reasons, the use of objective criteria may be prone to biases and influences, just like more overtly value-laden criteria and principles:</w:t>
      </w:r>
    </w:p>
    <w:p w14:paraId="29688771" w14:textId="28BBCD3E" w:rsidR="006C6EBA" w:rsidRPr="006720E4" w:rsidRDefault="006C6EBA" w:rsidP="00C3783C">
      <w:pPr>
        <w:pStyle w:val="ListParagraph"/>
        <w:numPr>
          <w:ilvl w:val="0"/>
          <w:numId w:val="32"/>
        </w:numPr>
        <w:spacing w:after="120"/>
        <w:contextualSpacing w:val="0"/>
        <w:rPr>
          <w:rFonts w:cs="Calibri"/>
          <w:szCs w:val="22"/>
        </w:rPr>
      </w:pPr>
      <w:r w:rsidRPr="006720E4">
        <w:rPr>
          <w:rFonts w:cs="Calibri"/>
          <w:szCs w:val="22"/>
        </w:rPr>
        <w:t xml:space="preserve">The choice of criteria, and the weight given to specific criteria in decision-making is itself a </w:t>
      </w:r>
      <w:r w:rsidRPr="006720E4">
        <w:rPr>
          <w:rFonts w:cs="Calibri"/>
          <w:b/>
          <w:bCs/>
          <w:szCs w:val="22"/>
        </w:rPr>
        <w:t>value-based judgement</w:t>
      </w:r>
      <w:r w:rsidRPr="006720E4">
        <w:rPr>
          <w:rFonts w:cs="Calibri"/>
          <w:szCs w:val="22"/>
        </w:rPr>
        <w:t>. Thus, prioritising liver transplant candidates with higher MELD scores may reflect an ethical commitment to the principle of “rule of rescue”.</w:t>
      </w:r>
    </w:p>
    <w:p w14:paraId="2A20CF19" w14:textId="77777777" w:rsidR="006C6EBA" w:rsidRPr="006720E4" w:rsidRDefault="006C6EBA" w:rsidP="00C3783C">
      <w:pPr>
        <w:pStyle w:val="ListParagraph"/>
        <w:numPr>
          <w:ilvl w:val="0"/>
          <w:numId w:val="32"/>
        </w:numPr>
        <w:spacing w:after="120"/>
        <w:contextualSpacing w:val="0"/>
        <w:rPr>
          <w:rFonts w:cs="Calibri"/>
          <w:szCs w:val="22"/>
        </w:rPr>
      </w:pPr>
      <w:r w:rsidRPr="006720E4">
        <w:rPr>
          <w:rFonts w:cs="Calibri"/>
          <w:szCs w:val="22"/>
        </w:rPr>
        <w:t xml:space="preserve">Commonly used tools may not always be the most </w:t>
      </w:r>
      <w:r w:rsidRPr="006720E4">
        <w:rPr>
          <w:rFonts w:cs="Calibri"/>
          <w:b/>
          <w:bCs/>
          <w:szCs w:val="22"/>
        </w:rPr>
        <w:t>effective</w:t>
      </w:r>
      <w:r w:rsidRPr="006720E4">
        <w:rPr>
          <w:rFonts w:cs="Calibri"/>
          <w:szCs w:val="22"/>
        </w:rPr>
        <w:t xml:space="preserve"> way of measuring particular criteria.</w:t>
      </w:r>
    </w:p>
    <w:p w14:paraId="47B5ABC7" w14:textId="47BD9592" w:rsidR="006C6EBA" w:rsidRPr="006720E4" w:rsidRDefault="006C6EBA" w:rsidP="00EA22AE">
      <w:pPr>
        <w:pStyle w:val="ListParagraph"/>
        <w:spacing w:after="120"/>
        <w:ind w:left="362"/>
        <w:contextualSpacing w:val="0"/>
        <w:rPr>
          <w:rFonts w:cs="Calibri"/>
          <w:szCs w:val="22"/>
        </w:rPr>
      </w:pPr>
      <w:r w:rsidRPr="006720E4">
        <w:rPr>
          <w:rFonts w:cs="Calibri"/>
          <w:szCs w:val="22"/>
        </w:rPr>
        <w:lastRenderedPageBreak/>
        <w:t xml:space="preserve">For example, the MELD score may not be the most accurate measure of severity of need for liver transplantation in all populations, or consideration of other clinical features of specific cases might help to improve accuracy. </w:t>
      </w:r>
    </w:p>
    <w:p w14:paraId="1F8BC5E4" w14:textId="4F1FD7E8" w:rsidR="006C6EBA" w:rsidRPr="006720E4" w:rsidRDefault="006C6EBA" w:rsidP="00C3783C">
      <w:pPr>
        <w:pStyle w:val="ListParagraph"/>
        <w:numPr>
          <w:ilvl w:val="0"/>
          <w:numId w:val="32"/>
        </w:numPr>
        <w:spacing w:after="120"/>
        <w:contextualSpacing w:val="0"/>
        <w:rPr>
          <w:rFonts w:cs="Calibri"/>
          <w:szCs w:val="22"/>
        </w:rPr>
      </w:pPr>
      <w:r w:rsidRPr="006720E4">
        <w:rPr>
          <w:rFonts w:cs="Calibri"/>
          <w:szCs w:val="22"/>
        </w:rPr>
        <w:t xml:space="preserve">Some clinical criteria may also be prone to </w:t>
      </w:r>
      <w:r w:rsidRPr="006720E4">
        <w:rPr>
          <w:rFonts w:cs="Calibri"/>
          <w:b/>
          <w:bCs/>
          <w:szCs w:val="22"/>
        </w:rPr>
        <w:t>bias in clinical evaluation</w:t>
      </w:r>
      <w:r w:rsidRPr="006720E4">
        <w:rPr>
          <w:rFonts w:cs="Calibri"/>
          <w:szCs w:val="22"/>
        </w:rPr>
        <w:t>, for example when health professionals are assessing the likelihood of a transplant candidate adhering to follow up care or medication regimes.</w:t>
      </w:r>
    </w:p>
    <w:p w14:paraId="50337213" w14:textId="613576B9" w:rsidR="006C6EBA" w:rsidRPr="006720E4" w:rsidRDefault="006C6EBA" w:rsidP="00C3783C">
      <w:pPr>
        <w:pStyle w:val="ListParagraph"/>
        <w:numPr>
          <w:ilvl w:val="0"/>
          <w:numId w:val="32"/>
        </w:numPr>
        <w:spacing w:after="120"/>
        <w:contextualSpacing w:val="0"/>
        <w:rPr>
          <w:rFonts w:cs="Calibri"/>
          <w:szCs w:val="22"/>
        </w:rPr>
      </w:pPr>
      <w:r w:rsidRPr="006720E4">
        <w:rPr>
          <w:rFonts w:cs="Calibri"/>
          <w:szCs w:val="22"/>
        </w:rPr>
        <w:t xml:space="preserve">Criteria that seem to provide an impartial way of discriminating between competing needs, such as consideration of “time waiting” for transplantation, may in fact be heavily influenced by other factors such as </w:t>
      </w:r>
      <w:r w:rsidRPr="006720E4">
        <w:rPr>
          <w:rFonts w:cs="Calibri"/>
          <w:b/>
          <w:bCs/>
          <w:szCs w:val="22"/>
        </w:rPr>
        <w:t>structural inequities</w:t>
      </w:r>
      <w:r w:rsidRPr="006720E4">
        <w:rPr>
          <w:rFonts w:cs="Calibri"/>
          <w:szCs w:val="22"/>
        </w:rPr>
        <w:t xml:space="preserve"> in access to </w:t>
      </w:r>
      <w:r w:rsidRPr="00D11BFA">
        <w:rPr>
          <w:rFonts w:cs="Calibri"/>
          <w:szCs w:val="22"/>
        </w:rPr>
        <w:t xml:space="preserve">healthcare (see </w:t>
      </w:r>
      <w:hyperlink w:anchor="_Structural_barriers_" w:history="1">
        <w:r w:rsidRPr="00D11BFA">
          <w:rPr>
            <w:rStyle w:val="Hyperlink"/>
            <w:rFonts w:cs="Calibri"/>
            <w:szCs w:val="22"/>
          </w:rPr>
          <w:t xml:space="preserve">Chapter </w:t>
        </w:r>
        <w:r w:rsidR="00D11BFA" w:rsidRPr="00D11BFA">
          <w:rPr>
            <w:rStyle w:val="Hyperlink"/>
            <w:rFonts w:cs="Calibri"/>
            <w:szCs w:val="22"/>
          </w:rPr>
          <w:t>8</w:t>
        </w:r>
        <w:r w:rsidRPr="00D11BFA">
          <w:rPr>
            <w:rStyle w:val="Hyperlink"/>
            <w:rFonts w:cs="Calibri"/>
            <w:szCs w:val="22"/>
          </w:rPr>
          <w:t>.3.1</w:t>
        </w:r>
      </w:hyperlink>
      <w:r w:rsidRPr="00D11BFA">
        <w:rPr>
          <w:rFonts w:cs="Calibri"/>
          <w:szCs w:val="22"/>
        </w:rPr>
        <w:t>).</w:t>
      </w:r>
    </w:p>
    <w:p w14:paraId="2AD73F55" w14:textId="77777777" w:rsidR="00D11BFA" w:rsidRDefault="006C6EBA" w:rsidP="00C3783C">
      <w:pPr>
        <w:pStyle w:val="ListParagraph"/>
        <w:numPr>
          <w:ilvl w:val="0"/>
          <w:numId w:val="32"/>
        </w:numPr>
        <w:spacing w:after="120"/>
        <w:contextualSpacing w:val="0"/>
        <w:rPr>
          <w:rFonts w:cs="Calibri"/>
          <w:szCs w:val="22"/>
        </w:rPr>
      </w:pPr>
      <w:r w:rsidRPr="006720E4">
        <w:rPr>
          <w:rFonts w:cs="Calibri"/>
          <w:szCs w:val="22"/>
        </w:rPr>
        <w:t xml:space="preserve">Application of clinical criteria that in theory should promote the goals of a particular allocation framework, such as maximising utility and equality of opportunity, may in practice produce outcomes that undermine one or more of these goals. </w:t>
      </w:r>
    </w:p>
    <w:p w14:paraId="6EC14C52" w14:textId="77777777" w:rsidR="005E037B" w:rsidRPr="005E037B" w:rsidRDefault="005E037B" w:rsidP="005E037B">
      <w:pPr>
        <w:pStyle w:val="ListParagraph"/>
        <w:spacing w:after="120"/>
        <w:ind w:left="362"/>
        <w:rPr>
          <w:rFonts w:cs="Calibri"/>
          <w:szCs w:val="22"/>
        </w:rPr>
      </w:pPr>
      <w:r w:rsidRPr="005E037B">
        <w:rPr>
          <w:rFonts w:cs="Calibri"/>
          <w:szCs w:val="22"/>
        </w:rPr>
        <w:t>For example, maximising the utility of organ transplants may theoretically favour allocation rules that will minimise the distance that allocated organs are required to travel. In practice, this could mean that specific populations such as patients living far from major transplant hubs may have fewer opportunities for transplantation.</w:t>
      </w:r>
    </w:p>
    <w:p w14:paraId="7DF8B151" w14:textId="77777777" w:rsidR="005E037B" w:rsidRPr="006720E4" w:rsidRDefault="005E037B" w:rsidP="00C3783C">
      <w:pPr>
        <w:pStyle w:val="ListParagraph"/>
        <w:numPr>
          <w:ilvl w:val="0"/>
          <w:numId w:val="32"/>
        </w:numPr>
        <w:spacing w:after="120"/>
        <w:contextualSpacing w:val="0"/>
        <w:rPr>
          <w:rFonts w:cs="Calibri"/>
        </w:rPr>
      </w:pPr>
      <w:r w:rsidRPr="006720E4">
        <w:rPr>
          <w:rFonts w:cs="Calibri"/>
          <w:szCs w:val="22"/>
        </w:rPr>
        <w:t xml:space="preserve">Some criteria that indirectly or directly influence the allocation of resources are not considered within the scope of resource allocation frameworks, as they are presumed to be logistical constraints or elements that have no relevance to resource allocation per se. </w:t>
      </w:r>
    </w:p>
    <w:p w14:paraId="6E19CC58" w14:textId="7CACE89F" w:rsidR="005E037B" w:rsidRDefault="005E037B" w:rsidP="005E037B">
      <w:pPr>
        <w:pStyle w:val="ListParagraph"/>
        <w:spacing w:after="120"/>
        <w:ind w:left="362"/>
        <w:contextualSpacing w:val="0"/>
        <w:rPr>
          <w:rFonts w:cs="Calibri"/>
          <w:szCs w:val="22"/>
        </w:rPr>
      </w:pPr>
      <w:r w:rsidRPr="006720E4">
        <w:rPr>
          <w:rFonts w:cs="Calibri"/>
          <w:szCs w:val="22"/>
        </w:rPr>
        <w:t xml:space="preserve">These often include factors that influence an individual’s ability to access healthcare services. If these elements are not considered, their potential impact on equity in allocation may be inappropriately overlooked. Positive engagement with such elements in resource allocation policies may help to improve </w:t>
      </w:r>
      <w:r w:rsidRPr="00D11BFA">
        <w:rPr>
          <w:rFonts w:cs="Calibri"/>
          <w:szCs w:val="22"/>
        </w:rPr>
        <w:t xml:space="preserve">equity (see </w:t>
      </w:r>
      <w:hyperlink w:anchor="_Structural_barriers_" w:history="1">
        <w:r w:rsidRPr="00D11BFA">
          <w:rPr>
            <w:rStyle w:val="Hyperlink"/>
            <w:rFonts w:cs="Calibri"/>
            <w:szCs w:val="22"/>
          </w:rPr>
          <w:t>Chapter 8.3.1</w:t>
        </w:r>
      </w:hyperlink>
      <w:r w:rsidRPr="00D11BFA">
        <w:rPr>
          <w:rFonts w:cs="Calibri"/>
          <w:szCs w:val="22"/>
        </w:rPr>
        <w:t>).</w:t>
      </w:r>
      <w:r w:rsidRPr="006720E4">
        <w:rPr>
          <w:rFonts w:cs="Calibri"/>
          <w:szCs w:val="22"/>
        </w:rPr>
        <w:t xml:space="preserve">   </w:t>
      </w:r>
    </w:p>
    <w:p w14:paraId="4A3B0FE0" w14:textId="77777777" w:rsidR="005E037B" w:rsidRDefault="005E037B" w:rsidP="005E037B">
      <w:pPr>
        <w:pStyle w:val="ListParagraph"/>
        <w:spacing w:after="120"/>
        <w:ind w:left="362"/>
        <w:contextualSpacing w:val="0"/>
        <w:rPr>
          <w:rFonts w:cs="Calibri"/>
          <w:szCs w:val="22"/>
        </w:rPr>
      </w:pPr>
    </w:p>
    <w:p w14:paraId="4F8A9A0F" w14:textId="1881D8E2" w:rsidR="005E037B" w:rsidRPr="005E037B" w:rsidRDefault="005E037B" w:rsidP="005E037B">
      <w:pPr>
        <w:pStyle w:val="ListParagraph"/>
        <w:spacing w:after="120"/>
        <w:ind w:left="362"/>
        <w:contextualSpacing w:val="0"/>
        <w:rPr>
          <w:rFonts w:cs="Calibri"/>
          <w:szCs w:val="22"/>
        </w:rPr>
      </w:pPr>
      <w:r>
        <w:rPr>
          <w:noProof/>
        </w:rPr>
        <mc:AlternateContent>
          <mc:Choice Requires="wps">
            <w:drawing>
              <wp:anchor distT="0" distB="0" distL="114300" distR="114300" simplePos="0" relativeHeight="251658252" behindDoc="0" locked="0" layoutInCell="1" allowOverlap="1" wp14:anchorId="486A0694" wp14:editId="6CDAEA8D">
                <wp:simplePos x="0" y="0"/>
                <wp:positionH relativeFrom="column">
                  <wp:posOffset>0</wp:posOffset>
                </wp:positionH>
                <wp:positionV relativeFrom="paragraph">
                  <wp:posOffset>0</wp:posOffset>
                </wp:positionV>
                <wp:extent cx="1828800" cy="1828800"/>
                <wp:effectExtent l="12700" t="12700" r="19050" b="10795"/>
                <wp:wrapSquare wrapText="bothSides"/>
                <wp:docPr id="1391084645" name="Text Box 1391084645" descr="P2119TB13#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739EB645" w14:textId="77777777" w:rsidR="005E037B" w:rsidRPr="000B298E" w:rsidRDefault="005E037B" w:rsidP="005E037B">
                            <w:pPr>
                              <w:spacing w:after="80"/>
                              <w:rPr>
                                <w:rFonts w:ascii="Calibri" w:hAnsi="Calibri" w:cs="Calibri"/>
                                <w:b/>
                                <w:bCs/>
                                <w:sz w:val="22"/>
                                <w:szCs w:val="22"/>
                              </w:rPr>
                            </w:pPr>
                            <w:r w:rsidRPr="003D03F9">
                              <w:rPr>
                                <w:rFonts w:ascii="Calibri" w:hAnsi="Calibri" w:cs="Calibri"/>
                                <w:b/>
                                <w:bCs/>
                                <w:sz w:val="22"/>
                                <w:szCs w:val="22"/>
                              </w:rPr>
                              <w:t>Box 8.1</w:t>
                            </w:r>
                            <w:r w:rsidRPr="000B298E">
                              <w:rPr>
                                <w:rFonts w:ascii="Calibri" w:hAnsi="Calibri" w:cs="Calibri"/>
                                <w:b/>
                                <w:bCs/>
                                <w:sz w:val="22"/>
                                <w:szCs w:val="22"/>
                              </w:rPr>
                              <w:t xml:space="preserve"> General recommendations for allocation of organs, cells and tissues</w:t>
                            </w:r>
                          </w:p>
                          <w:p w14:paraId="2AC3714D" w14:textId="77777777" w:rsidR="005E037B" w:rsidRPr="006720E4" w:rsidRDefault="005E037B" w:rsidP="00C3783C">
                            <w:pPr>
                              <w:pStyle w:val="ListParagraph"/>
                              <w:numPr>
                                <w:ilvl w:val="0"/>
                                <w:numId w:val="122"/>
                              </w:numPr>
                              <w:spacing w:after="80"/>
                              <w:contextualSpacing w:val="0"/>
                              <w:rPr>
                                <w:rFonts w:cs="Calibri"/>
                                <w:szCs w:val="22"/>
                              </w:rPr>
                            </w:pPr>
                            <w:r w:rsidRPr="006720E4">
                              <w:rPr>
                                <w:rFonts w:cs="Calibri"/>
                                <w:szCs w:val="22"/>
                              </w:rPr>
                              <w:t>Allocation policies should articulate relevant goals, values and principles with clear and specific clinical criteria to guide decision-making in accordance with the normative framework.</w:t>
                            </w:r>
                          </w:p>
                          <w:p w14:paraId="26DE50BF"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 xml:space="preserve">When utility is used as a consideration in resource allocation or policy making, it is essential to define – and agree upon - </w:t>
                            </w:r>
                            <w:r w:rsidRPr="006720E4">
                              <w:rPr>
                                <w:rFonts w:cs="Calibri"/>
                                <w:i/>
                                <w:iCs/>
                                <w:szCs w:val="22"/>
                              </w:rPr>
                              <w:t>what</w:t>
                            </w:r>
                            <w:r w:rsidRPr="006720E4">
                              <w:rPr>
                                <w:rFonts w:cs="Calibri"/>
                                <w:szCs w:val="22"/>
                              </w:rPr>
                              <w:t xml:space="preserve"> is being measured as utility, e.g., “therapeutic benefits”, and </w:t>
                            </w:r>
                            <w:r w:rsidRPr="006720E4">
                              <w:rPr>
                                <w:rFonts w:cs="Calibri"/>
                                <w:i/>
                                <w:iCs/>
                                <w:szCs w:val="22"/>
                              </w:rPr>
                              <w:t>how</w:t>
                            </w:r>
                            <w:r w:rsidRPr="006720E4">
                              <w:rPr>
                                <w:rFonts w:cs="Calibri"/>
                                <w:szCs w:val="22"/>
                              </w:rPr>
                              <w:t xml:space="preserve"> utility is to be measured, e.g., using the outcome of duration of graft survival.</w:t>
                            </w:r>
                          </w:p>
                          <w:p w14:paraId="39CC6496"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In order to balance consideration of potentially competing principles or goals, decision-making frameworks for resource allocation should provide guidance on which principles should take priority when there is a potential conflict, or give specific weight or priority to particular criteria.</w:t>
                            </w:r>
                          </w:p>
                          <w:p w14:paraId="713BA6FB" w14:textId="77777777" w:rsidR="005E037B" w:rsidRDefault="005E037B" w:rsidP="00C3783C">
                            <w:pPr>
                              <w:pStyle w:val="ListParagraph"/>
                              <w:numPr>
                                <w:ilvl w:val="1"/>
                                <w:numId w:val="122"/>
                              </w:numPr>
                              <w:spacing w:after="80"/>
                              <w:rPr>
                                <w:rFonts w:cs="Calibri"/>
                                <w:szCs w:val="22"/>
                              </w:rPr>
                            </w:pPr>
                            <w:r w:rsidRPr="006720E4">
                              <w:rPr>
                                <w:rFonts w:cs="Calibri"/>
                                <w:szCs w:val="22"/>
                              </w:rPr>
                              <w:t>Criteria that may be used to discriminate between clinically equivalent candidates for transplantation should be carefully reviewed to ensure these do not unfairly disadvantage individuals or groups, for example those who may face structural barriers to accessing healthcare.</w:t>
                            </w:r>
                          </w:p>
                          <w:p w14:paraId="7F8D22F0" w14:textId="405FC849" w:rsidR="005E037B" w:rsidRPr="005E037B" w:rsidRDefault="005E037B" w:rsidP="005E037B">
                            <w:pPr>
                              <w:pStyle w:val="ListParagraph"/>
                              <w:spacing w:after="80"/>
                              <w:ind w:left="1080"/>
                              <w:contextualSpacing w:val="0"/>
                              <w:rPr>
                                <w:rFonts w:cs="Calibri"/>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6A0694" id="Text Box 1391084645" o:spid="_x0000_s1037" type="#_x0000_t202" alt="P2119TB13#y1" style="position:absolute;left:0;text-align:left;margin-left:0;margin-top:0;width:2in;height:2in;z-index:2516582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" filled="f" strokecolor="black [3213]" strokeweight="1.5pt">
                <v:textbox style="mso-fit-shape-to-text:t">
                  <w:txbxContent>
                    <w:p w14:paraId="739EB645" w14:textId="77777777" w:rsidR="005E037B" w:rsidRPr="000B298E" w:rsidRDefault="005E037B" w:rsidP="005E037B">
                      <w:pPr>
                        <w:spacing w:after="80"/>
                        <w:rPr>
                          <w:rFonts w:ascii="Calibri" w:hAnsi="Calibri" w:cs="Calibri"/>
                          <w:b/>
                          <w:bCs/>
                          <w:sz w:val="22"/>
                          <w:szCs w:val="22"/>
                        </w:rPr>
                      </w:pPr>
                      <w:r w:rsidRPr="003D03F9">
                        <w:rPr>
                          <w:rFonts w:ascii="Calibri" w:hAnsi="Calibri" w:cs="Calibri"/>
                          <w:b/>
                          <w:bCs/>
                          <w:sz w:val="22"/>
                          <w:szCs w:val="22"/>
                        </w:rPr>
                        <w:t>Box 8.1</w:t>
                      </w:r>
                      <w:r w:rsidRPr="000B298E">
                        <w:rPr>
                          <w:rFonts w:ascii="Calibri" w:hAnsi="Calibri" w:cs="Calibri"/>
                          <w:b/>
                          <w:bCs/>
                          <w:sz w:val="22"/>
                          <w:szCs w:val="22"/>
                        </w:rPr>
                        <w:t xml:space="preserve"> General recommendations for allocation of organs, cells and tissues</w:t>
                      </w:r>
                    </w:p>
                    <w:p w14:paraId="2AC3714D" w14:textId="77777777" w:rsidR="005E037B" w:rsidRPr="006720E4" w:rsidRDefault="005E037B" w:rsidP="00C3783C">
                      <w:pPr>
                        <w:pStyle w:val="ListParagraph"/>
                        <w:numPr>
                          <w:ilvl w:val="0"/>
                          <w:numId w:val="122"/>
                        </w:numPr>
                        <w:spacing w:after="80"/>
                        <w:contextualSpacing w:val="0"/>
                        <w:rPr>
                          <w:rFonts w:cs="Calibri"/>
                          <w:szCs w:val="22"/>
                        </w:rPr>
                      </w:pPr>
                      <w:r w:rsidRPr="006720E4">
                        <w:rPr>
                          <w:rFonts w:cs="Calibri"/>
                          <w:szCs w:val="22"/>
                        </w:rPr>
                        <w:t>Allocation policies should articulate relevant goals, values and principles with clear and specific clinical criteria to guide decision-making in accordance with the normative framework.</w:t>
                      </w:r>
                    </w:p>
                    <w:p w14:paraId="26DE50BF"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 xml:space="preserve">When utility is used as a consideration in resource allocation or policy making, it is essential to define – and agree upon - </w:t>
                      </w:r>
                      <w:r w:rsidRPr="006720E4">
                        <w:rPr>
                          <w:rFonts w:cs="Calibri"/>
                          <w:i/>
                          <w:iCs/>
                          <w:szCs w:val="22"/>
                        </w:rPr>
                        <w:t>what</w:t>
                      </w:r>
                      <w:r w:rsidRPr="006720E4">
                        <w:rPr>
                          <w:rFonts w:cs="Calibri"/>
                          <w:szCs w:val="22"/>
                        </w:rPr>
                        <w:t xml:space="preserve"> is being measured as utility, e.g., “therapeutic benefits”, and </w:t>
                      </w:r>
                      <w:r w:rsidRPr="006720E4">
                        <w:rPr>
                          <w:rFonts w:cs="Calibri"/>
                          <w:i/>
                          <w:iCs/>
                          <w:szCs w:val="22"/>
                        </w:rPr>
                        <w:t>how</w:t>
                      </w:r>
                      <w:r w:rsidRPr="006720E4">
                        <w:rPr>
                          <w:rFonts w:cs="Calibri"/>
                          <w:szCs w:val="22"/>
                        </w:rPr>
                        <w:t xml:space="preserve"> utility is to be measured, e.g., using the outcome of duration of graft survival.</w:t>
                      </w:r>
                    </w:p>
                    <w:p w14:paraId="39CC6496"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In order to balance consideration of potentially competing principles or goals, decision-making frameworks for resource allocation should provide guidance on which principles should take priority when there is a potential conflict, or give specific weight or priority to particular criteria.</w:t>
                      </w:r>
                    </w:p>
                    <w:p w14:paraId="713BA6FB" w14:textId="77777777" w:rsidR="005E037B" w:rsidRDefault="005E037B" w:rsidP="00C3783C">
                      <w:pPr>
                        <w:pStyle w:val="ListParagraph"/>
                        <w:numPr>
                          <w:ilvl w:val="1"/>
                          <w:numId w:val="122"/>
                        </w:numPr>
                        <w:spacing w:after="80"/>
                        <w:rPr>
                          <w:rFonts w:cs="Calibri"/>
                          <w:szCs w:val="22"/>
                        </w:rPr>
                      </w:pPr>
                      <w:r w:rsidRPr="006720E4">
                        <w:rPr>
                          <w:rFonts w:cs="Calibri"/>
                          <w:szCs w:val="22"/>
                        </w:rPr>
                        <w:t>Criteria that may be used to discriminate between clinically equivalent candidates for transplantation should be carefully reviewed to ensure these do not unfairly disadvantage individuals or groups, for example those who may face structural barriers to accessing healthcare.</w:t>
                      </w:r>
                    </w:p>
                    <w:p w14:paraId="7F8D22F0" w14:textId="405FC849" w:rsidR="005E037B" w:rsidRPr="005E037B" w:rsidRDefault="005E037B" w:rsidP="005E037B">
                      <w:pPr>
                        <w:pStyle w:val="ListParagraph"/>
                        <w:spacing w:after="80"/>
                        <w:ind w:left="1080"/>
                        <w:contextualSpacing w:val="0"/>
                        <w:rPr>
                          <w:rFonts w:cs="Calibri"/>
                          <w:szCs w:val="22"/>
                        </w:rPr>
                      </w:pPr>
                    </w:p>
                  </w:txbxContent>
                </v:textbox>
                <w10:wrap type="square"/>
              </v:shape>
            </w:pict>
          </mc:Fallback>
        </mc:AlternateContent>
      </w:r>
    </w:p>
    <w:p w14:paraId="539A6B1B" w14:textId="77777777" w:rsidR="003D03F9" w:rsidRDefault="003D03F9" w:rsidP="00EA22AE">
      <w:pPr>
        <w:pStyle w:val="ListParagraph"/>
        <w:spacing w:after="120"/>
        <w:ind w:left="362"/>
        <w:contextualSpacing w:val="0"/>
        <w:rPr>
          <w:rFonts w:cs="Calibri"/>
          <w:szCs w:val="22"/>
        </w:rPr>
      </w:pPr>
    </w:p>
    <w:p w14:paraId="6D897A35" w14:textId="11DE9A78" w:rsidR="003D03F9" w:rsidRPr="006720E4" w:rsidRDefault="003D03F9" w:rsidP="00EA22AE">
      <w:pPr>
        <w:pStyle w:val="ListParagraph"/>
        <w:spacing w:after="120"/>
        <w:ind w:left="0"/>
        <w:contextualSpacing w:val="0"/>
        <w:rPr>
          <w:rFonts w:cs="Calibri"/>
          <w:szCs w:val="22"/>
        </w:rPr>
      </w:pPr>
      <w:r>
        <w:rPr>
          <w:noProof/>
        </w:rPr>
        <w:lastRenderedPageBreak/>
        <mc:AlternateContent>
          <mc:Choice Requires="wps">
            <w:drawing>
              <wp:anchor distT="0" distB="0" distL="114300" distR="114300" simplePos="0" relativeHeight="251658249" behindDoc="0" locked="0" layoutInCell="1" allowOverlap="1" wp14:anchorId="23D8AF4F" wp14:editId="52829148">
                <wp:simplePos x="0" y="0"/>
                <wp:positionH relativeFrom="column">
                  <wp:posOffset>0</wp:posOffset>
                </wp:positionH>
                <wp:positionV relativeFrom="paragraph">
                  <wp:posOffset>111125</wp:posOffset>
                </wp:positionV>
                <wp:extent cx="1828800" cy="1828800"/>
                <wp:effectExtent l="12700" t="12700" r="19050" b="13970"/>
                <wp:wrapSquare wrapText="bothSides"/>
                <wp:docPr id="1772817755" name="Text Box 1772817755" descr="P2121TB10#y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schemeClr val="tx1"/>
                          </a:solidFill>
                        </a:ln>
                      </wps:spPr>
                      <wps:txbx>
                        <w:txbxContent>
                          <w:p w14:paraId="760CB447" w14:textId="77777777" w:rsidR="005E037B" w:rsidRPr="006720E4" w:rsidRDefault="005E037B" w:rsidP="00C3783C">
                            <w:pPr>
                              <w:pStyle w:val="ListParagraph"/>
                              <w:numPr>
                                <w:ilvl w:val="0"/>
                                <w:numId w:val="122"/>
                              </w:numPr>
                              <w:spacing w:after="80"/>
                              <w:contextualSpacing w:val="0"/>
                              <w:rPr>
                                <w:rFonts w:cs="Calibri"/>
                                <w:szCs w:val="22"/>
                              </w:rPr>
                            </w:pPr>
                            <w:r w:rsidRPr="006720E4">
                              <w:rPr>
                                <w:rFonts w:cs="Calibri"/>
                                <w:szCs w:val="22"/>
                              </w:rPr>
                              <w:t>Criteria used in allocation of donor organs or tissues should be carefully evaluated to ensure these are</w:t>
                            </w:r>
                            <w:r>
                              <w:rPr>
                                <w:rFonts w:cs="Calibri"/>
                                <w:szCs w:val="22"/>
                              </w:rPr>
                              <w:t>:</w:t>
                            </w:r>
                            <w:r w:rsidRPr="006720E4">
                              <w:rPr>
                                <w:rFonts w:cs="Calibri"/>
                                <w:szCs w:val="22"/>
                              </w:rPr>
                              <w:t xml:space="preserve"> </w:t>
                            </w:r>
                          </w:p>
                          <w:p w14:paraId="606D08E5"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informed by current evidence</w:t>
                            </w:r>
                            <w:r>
                              <w:rPr>
                                <w:rFonts w:cs="Calibri"/>
                                <w:szCs w:val="22"/>
                              </w:rPr>
                              <w:t>.</w:t>
                            </w:r>
                          </w:p>
                          <w:p w14:paraId="51FB11D5"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free from bias.</w:t>
                            </w:r>
                          </w:p>
                          <w:p w14:paraId="27E7EDA6"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explicitly aligned with relevant normative values or principles of the allocation policy</w:t>
                            </w:r>
                            <w:r>
                              <w:rPr>
                                <w:rFonts w:cs="Calibri"/>
                                <w:szCs w:val="22"/>
                              </w:rPr>
                              <w:t>.</w:t>
                            </w:r>
                          </w:p>
                          <w:p w14:paraId="35937C1A" w14:textId="68466FE4" w:rsidR="005E037B" w:rsidRPr="005E037B" w:rsidRDefault="005E037B" w:rsidP="00C3783C">
                            <w:pPr>
                              <w:pStyle w:val="ListParagraph"/>
                              <w:numPr>
                                <w:ilvl w:val="1"/>
                                <w:numId w:val="122"/>
                              </w:numPr>
                              <w:spacing w:after="80"/>
                              <w:contextualSpacing w:val="0"/>
                              <w:rPr>
                                <w:rFonts w:cs="Calibri"/>
                                <w:szCs w:val="22"/>
                              </w:rPr>
                            </w:pPr>
                            <w:r w:rsidRPr="006720E4">
                              <w:rPr>
                                <w:rFonts w:cs="Calibri"/>
                                <w:szCs w:val="22"/>
                              </w:rPr>
                              <w:t>regularly reviewed to ensure they are effectively measured or evaluated.</w:t>
                            </w:r>
                          </w:p>
                          <w:p w14:paraId="46EC4E77" w14:textId="77777777" w:rsidR="003D03F9" w:rsidRPr="006720E4" w:rsidRDefault="003D03F9" w:rsidP="00C3783C">
                            <w:pPr>
                              <w:pStyle w:val="ListParagraph"/>
                              <w:numPr>
                                <w:ilvl w:val="0"/>
                                <w:numId w:val="122"/>
                              </w:numPr>
                              <w:spacing w:after="80"/>
                              <w:contextualSpacing w:val="0"/>
                              <w:rPr>
                                <w:rFonts w:cs="Calibri"/>
                                <w:szCs w:val="22"/>
                              </w:rPr>
                            </w:pPr>
                            <w:r w:rsidRPr="006720E4">
                              <w:rPr>
                                <w:rFonts w:cs="Calibri"/>
                                <w:szCs w:val="22"/>
                              </w:rPr>
                              <w:t>Health professionals and policy makers responsible for design or implementation of resource allocation policies should support impartiality in decision-making about donation and transplantation through:</w:t>
                            </w:r>
                          </w:p>
                          <w:p w14:paraId="728B0A29" w14:textId="77777777" w:rsidR="003D03F9" w:rsidRPr="006720E4" w:rsidRDefault="003D03F9" w:rsidP="00C3783C">
                            <w:pPr>
                              <w:pStyle w:val="ListParagraph"/>
                              <w:numPr>
                                <w:ilvl w:val="1"/>
                                <w:numId w:val="122"/>
                              </w:numPr>
                              <w:spacing w:after="80"/>
                              <w:contextualSpacing w:val="0"/>
                              <w:rPr>
                                <w:rFonts w:cs="Calibri"/>
                                <w:szCs w:val="22"/>
                              </w:rPr>
                            </w:pPr>
                            <w:r w:rsidRPr="006720E4">
                              <w:rPr>
                                <w:rFonts w:cs="Calibri"/>
                                <w:szCs w:val="22"/>
                              </w:rPr>
                              <w:t>Routine and consistent implementation of up-to-date, evidence-based guidelines for evaluation of prospective transplant recipients and potential living or deceased donors.</w:t>
                            </w:r>
                          </w:p>
                          <w:p w14:paraId="5B11CC6A" w14:textId="77777777" w:rsidR="003D03F9" w:rsidRPr="006720E4" w:rsidRDefault="003D03F9" w:rsidP="00C3783C">
                            <w:pPr>
                              <w:pStyle w:val="ListParagraph"/>
                              <w:numPr>
                                <w:ilvl w:val="1"/>
                                <w:numId w:val="122"/>
                              </w:numPr>
                              <w:spacing w:after="80"/>
                              <w:contextualSpacing w:val="0"/>
                              <w:rPr>
                                <w:rFonts w:cs="Calibri"/>
                                <w:szCs w:val="22"/>
                              </w:rPr>
                            </w:pPr>
                            <w:r w:rsidRPr="006720E4">
                              <w:rPr>
                                <w:rFonts w:cs="Calibri"/>
                                <w:szCs w:val="22"/>
                              </w:rPr>
                              <w:t>Use of strategies to prevent and manage any potential conflicts of interest that may influence decision-making.</w:t>
                            </w:r>
                          </w:p>
                          <w:p w14:paraId="54DBF2B8" w14:textId="77777777" w:rsidR="003D03F9" w:rsidRPr="006720E4" w:rsidRDefault="003D03F9" w:rsidP="00C3783C">
                            <w:pPr>
                              <w:pStyle w:val="ListParagraph"/>
                              <w:numPr>
                                <w:ilvl w:val="1"/>
                                <w:numId w:val="122"/>
                              </w:numPr>
                              <w:spacing w:after="80"/>
                              <w:contextualSpacing w:val="0"/>
                              <w:rPr>
                                <w:rFonts w:cs="Calibri"/>
                                <w:szCs w:val="22"/>
                              </w:rPr>
                            </w:pPr>
                            <w:r w:rsidRPr="006720E4">
                              <w:rPr>
                                <w:rFonts w:cs="Calibri"/>
                                <w:szCs w:val="22"/>
                              </w:rPr>
                              <w:t xml:space="preserve">Routine provision of information to patients and substitute decision-makers on how to access independent professional sources of information and advice. </w:t>
                            </w:r>
                          </w:p>
                          <w:p w14:paraId="14FB727C" w14:textId="77777777" w:rsidR="003D03F9" w:rsidRPr="006720E4" w:rsidRDefault="003D03F9" w:rsidP="00C3783C">
                            <w:pPr>
                              <w:pStyle w:val="ListParagraph"/>
                              <w:numPr>
                                <w:ilvl w:val="0"/>
                                <w:numId w:val="122"/>
                              </w:numPr>
                              <w:spacing w:after="80"/>
                              <w:contextualSpacing w:val="0"/>
                              <w:rPr>
                                <w:rFonts w:cs="Calibri"/>
                                <w:szCs w:val="22"/>
                              </w:rPr>
                            </w:pPr>
                            <w:r w:rsidRPr="006720E4">
                              <w:rPr>
                                <w:rFonts w:cs="Calibri"/>
                                <w:szCs w:val="22"/>
                              </w:rPr>
                              <w:t>Prioritisation of some individuals or groups in allocation of some organs for transplantation may be appropriate where it serves to:</w:t>
                            </w:r>
                          </w:p>
                          <w:p w14:paraId="0D63B945" w14:textId="77777777" w:rsidR="003D03F9" w:rsidRPr="006720E4" w:rsidRDefault="003D03F9" w:rsidP="00C3783C">
                            <w:pPr>
                              <w:pStyle w:val="ListParagraph"/>
                              <w:numPr>
                                <w:ilvl w:val="1"/>
                                <w:numId w:val="122"/>
                              </w:numPr>
                              <w:spacing w:after="80"/>
                              <w:contextualSpacing w:val="0"/>
                              <w:rPr>
                                <w:rFonts w:cs="Calibri"/>
                                <w:szCs w:val="22"/>
                              </w:rPr>
                            </w:pPr>
                            <w:r w:rsidRPr="006720E4">
                              <w:rPr>
                                <w:rFonts w:cs="Calibri"/>
                                <w:szCs w:val="22"/>
                              </w:rPr>
                              <w:t>Address structural disadvantages or barriers to transplantation that disproportionately affect some groups, e.g., children for whom appropriately sized donor organs may be less readily available.</w:t>
                            </w:r>
                          </w:p>
                          <w:p w14:paraId="45C744B6" w14:textId="395D6AEE" w:rsidR="003D03F9" w:rsidRDefault="003D03F9" w:rsidP="00C3783C">
                            <w:pPr>
                              <w:pStyle w:val="ListParagraph"/>
                              <w:numPr>
                                <w:ilvl w:val="1"/>
                                <w:numId w:val="122"/>
                              </w:numPr>
                              <w:spacing w:after="80"/>
                              <w:contextualSpacing w:val="0"/>
                              <w:rPr>
                                <w:rFonts w:cs="Calibri"/>
                                <w:szCs w:val="22"/>
                              </w:rPr>
                            </w:pPr>
                            <w:r w:rsidRPr="006720E4">
                              <w:rPr>
                                <w:rFonts w:cs="Calibri"/>
                                <w:szCs w:val="22"/>
                              </w:rPr>
                              <w:t>Expand opportunities for transplantation without unduly disadvantaging other groups, e.g., survival matching of organs that enables efficient use of ex</w:t>
                            </w:r>
                            <w:r w:rsidR="00D84BE9">
                              <w:rPr>
                                <w:rFonts w:cs="Calibri"/>
                                <w:szCs w:val="22"/>
                              </w:rPr>
                              <w:t>tende</w:t>
                            </w:r>
                            <w:r w:rsidRPr="006720E4">
                              <w:rPr>
                                <w:rFonts w:cs="Calibri"/>
                                <w:szCs w:val="22"/>
                              </w:rPr>
                              <w:t>d criteria donor organs and reduces the need for repeat transplants in younger individuals.</w:t>
                            </w:r>
                          </w:p>
                          <w:p w14:paraId="08A3E040" w14:textId="77777777" w:rsidR="003D03F9" w:rsidRPr="00E8228F" w:rsidRDefault="003D03F9" w:rsidP="00C3783C">
                            <w:pPr>
                              <w:pStyle w:val="ListParagraph"/>
                              <w:numPr>
                                <w:ilvl w:val="0"/>
                                <w:numId w:val="122"/>
                              </w:numPr>
                              <w:spacing w:after="80"/>
                              <w:rPr>
                                <w:rFonts w:cs="Calibri"/>
                                <w:szCs w:val="22"/>
                              </w:rPr>
                            </w:pPr>
                            <w:r w:rsidRPr="000B298E">
                              <w:rPr>
                                <w:rFonts w:cs="Calibri"/>
                                <w:szCs w:val="22"/>
                              </w:rPr>
                              <w:t>Promote reciprocity and reduce potential barriers to living organ donation, e.g., prioritising prior living organ donors whose need for transplantation is a consequence of their donation, or kidney transplant candidates who have experienced a swap failure during participation in a paired organ exchange</w:t>
                            </w:r>
                            <w:r>
                              <w:rPr>
                                <w:rFonts w:cs="Calibri"/>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D8AF4F" id="Text Box 1772817755" o:spid="_x0000_s1038" type="#_x0000_t202" alt="P2121TB10#y1" style="position:absolute;margin-left:0;margin-top:8.75pt;width:2in;height:2in;z-index:2516582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" filled="f" strokecolor="black [3213]" strokeweight="1.5pt">
                <v:textbox style="mso-fit-shape-to-text:t">
                  <w:txbxContent>
                    <w:p w14:paraId="760CB447" w14:textId="77777777" w:rsidR="005E037B" w:rsidRPr="006720E4" w:rsidRDefault="005E037B" w:rsidP="00C3783C">
                      <w:pPr>
                        <w:pStyle w:val="ListParagraph"/>
                        <w:numPr>
                          <w:ilvl w:val="0"/>
                          <w:numId w:val="122"/>
                        </w:numPr>
                        <w:spacing w:after="80"/>
                        <w:contextualSpacing w:val="0"/>
                        <w:rPr>
                          <w:rFonts w:cs="Calibri"/>
                          <w:szCs w:val="22"/>
                        </w:rPr>
                      </w:pPr>
                      <w:r w:rsidRPr="006720E4">
                        <w:rPr>
                          <w:rFonts w:cs="Calibri"/>
                          <w:szCs w:val="22"/>
                        </w:rPr>
                        <w:t>Criteria used in allocation of donor organs or tissues should be carefully evaluated to ensure these are</w:t>
                      </w:r>
                      <w:r>
                        <w:rPr>
                          <w:rFonts w:cs="Calibri"/>
                          <w:szCs w:val="22"/>
                        </w:rPr>
                        <w:t>:</w:t>
                      </w:r>
                      <w:r w:rsidRPr="006720E4">
                        <w:rPr>
                          <w:rFonts w:cs="Calibri"/>
                          <w:szCs w:val="22"/>
                        </w:rPr>
                        <w:t xml:space="preserve"> </w:t>
                      </w:r>
                    </w:p>
                    <w:p w14:paraId="606D08E5"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informed by current evidence</w:t>
                      </w:r>
                      <w:r>
                        <w:rPr>
                          <w:rFonts w:cs="Calibri"/>
                          <w:szCs w:val="22"/>
                        </w:rPr>
                        <w:t>.</w:t>
                      </w:r>
                    </w:p>
                    <w:p w14:paraId="51FB11D5"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free from bias.</w:t>
                      </w:r>
                    </w:p>
                    <w:p w14:paraId="27E7EDA6" w14:textId="77777777" w:rsidR="005E037B" w:rsidRPr="006720E4" w:rsidRDefault="005E037B" w:rsidP="00C3783C">
                      <w:pPr>
                        <w:pStyle w:val="ListParagraph"/>
                        <w:numPr>
                          <w:ilvl w:val="1"/>
                          <w:numId w:val="122"/>
                        </w:numPr>
                        <w:spacing w:after="80"/>
                        <w:contextualSpacing w:val="0"/>
                        <w:rPr>
                          <w:rFonts w:cs="Calibri"/>
                          <w:szCs w:val="22"/>
                        </w:rPr>
                      </w:pPr>
                      <w:r w:rsidRPr="006720E4">
                        <w:rPr>
                          <w:rFonts w:cs="Calibri"/>
                          <w:szCs w:val="22"/>
                        </w:rPr>
                        <w:t>explicitly aligned with relevant normative values or principles of the allocation policy</w:t>
                      </w:r>
                      <w:r>
                        <w:rPr>
                          <w:rFonts w:cs="Calibri"/>
                          <w:szCs w:val="22"/>
                        </w:rPr>
                        <w:t>.</w:t>
                      </w:r>
                    </w:p>
                    <w:p w14:paraId="35937C1A" w14:textId="68466FE4" w:rsidR="005E037B" w:rsidRPr="005E037B" w:rsidRDefault="005E037B" w:rsidP="00C3783C">
                      <w:pPr>
                        <w:pStyle w:val="ListParagraph"/>
                        <w:numPr>
                          <w:ilvl w:val="1"/>
                          <w:numId w:val="122"/>
                        </w:numPr>
                        <w:spacing w:after="80"/>
                        <w:contextualSpacing w:val="0"/>
                        <w:rPr>
                          <w:rFonts w:cs="Calibri"/>
                          <w:szCs w:val="22"/>
                        </w:rPr>
                      </w:pPr>
                      <w:r w:rsidRPr="006720E4">
                        <w:rPr>
                          <w:rFonts w:cs="Calibri"/>
                          <w:szCs w:val="22"/>
                        </w:rPr>
                        <w:t>regularly reviewed to ensure they are effectively measured or evaluated.</w:t>
                      </w:r>
                    </w:p>
                    <w:p w14:paraId="46EC4E77" w14:textId="77777777" w:rsidR="003D03F9" w:rsidRPr="006720E4" w:rsidRDefault="003D03F9" w:rsidP="00C3783C">
                      <w:pPr>
                        <w:pStyle w:val="ListParagraph"/>
                        <w:numPr>
                          <w:ilvl w:val="0"/>
                          <w:numId w:val="122"/>
                        </w:numPr>
                        <w:spacing w:after="80"/>
                        <w:contextualSpacing w:val="0"/>
                        <w:rPr>
                          <w:rFonts w:cs="Calibri"/>
                          <w:szCs w:val="22"/>
                        </w:rPr>
                      </w:pPr>
                      <w:r w:rsidRPr="006720E4">
                        <w:rPr>
                          <w:rFonts w:cs="Calibri"/>
                          <w:szCs w:val="22"/>
                        </w:rPr>
                        <w:t>Health professionals and policy makers responsible for design or implementation of resource allocation policies should support impartiality in decision-making about donation and transplantation through:</w:t>
                      </w:r>
                    </w:p>
                    <w:p w14:paraId="728B0A29" w14:textId="77777777" w:rsidR="003D03F9" w:rsidRPr="006720E4" w:rsidRDefault="003D03F9" w:rsidP="00C3783C">
                      <w:pPr>
                        <w:pStyle w:val="ListParagraph"/>
                        <w:numPr>
                          <w:ilvl w:val="1"/>
                          <w:numId w:val="122"/>
                        </w:numPr>
                        <w:spacing w:after="80"/>
                        <w:contextualSpacing w:val="0"/>
                        <w:rPr>
                          <w:rFonts w:cs="Calibri"/>
                          <w:szCs w:val="22"/>
                        </w:rPr>
                      </w:pPr>
                      <w:r w:rsidRPr="006720E4">
                        <w:rPr>
                          <w:rFonts w:cs="Calibri"/>
                          <w:szCs w:val="22"/>
                        </w:rPr>
                        <w:t>Routine and consistent implementation of up-to-date, evidence-based guidelines for evaluation of prospective transplant recipients and potential living or deceased donors.</w:t>
                      </w:r>
                    </w:p>
                    <w:p w14:paraId="5B11CC6A" w14:textId="77777777" w:rsidR="003D03F9" w:rsidRPr="006720E4" w:rsidRDefault="003D03F9" w:rsidP="00C3783C">
                      <w:pPr>
                        <w:pStyle w:val="ListParagraph"/>
                        <w:numPr>
                          <w:ilvl w:val="1"/>
                          <w:numId w:val="122"/>
                        </w:numPr>
                        <w:spacing w:after="80"/>
                        <w:contextualSpacing w:val="0"/>
                        <w:rPr>
                          <w:rFonts w:cs="Calibri"/>
                          <w:szCs w:val="22"/>
                        </w:rPr>
                      </w:pPr>
                      <w:r w:rsidRPr="006720E4">
                        <w:rPr>
                          <w:rFonts w:cs="Calibri"/>
                          <w:szCs w:val="22"/>
                        </w:rPr>
                        <w:t>Use of strategies to prevent and manage any potential conflicts of interest that may influence decision-making.</w:t>
                      </w:r>
                    </w:p>
                    <w:p w14:paraId="54DBF2B8" w14:textId="77777777" w:rsidR="003D03F9" w:rsidRPr="006720E4" w:rsidRDefault="003D03F9" w:rsidP="00C3783C">
                      <w:pPr>
                        <w:pStyle w:val="ListParagraph"/>
                        <w:numPr>
                          <w:ilvl w:val="1"/>
                          <w:numId w:val="122"/>
                        </w:numPr>
                        <w:spacing w:after="80"/>
                        <w:contextualSpacing w:val="0"/>
                        <w:rPr>
                          <w:rFonts w:cs="Calibri"/>
                          <w:szCs w:val="22"/>
                        </w:rPr>
                      </w:pPr>
                      <w:r w:rsidRPr="006720E4">
                        <w:rPr>
                          <w:rFonts w:cs="Calibri"/>
                          <w:szCs w:val="22"/>
                        </w:rPr>
                        <w:t xml:space="preserve">Routine provision of information to patients and substitute decision-makers on how to access independent professional sources of information and advice. </w:t>
                      </w:r>
                    </w:p>
                    <w:p w14:paraId="14FB727C" w14:textId="77777777" w:rsidR="003D03F9" w:rsidRPr="006720E4" w:rsidRDefault="003D03F9" w:rsidP="00C3783C">
                      <w:pPr>
                        <w:pStyle w:val="ListParagraph"/>
                        <w:numPr>
                          <w:ilvl w:val="0"/>
                          <w:numId w:val="122"/>
                        </w:numPr>
                        <w:spacing w:after="80"/>
                        <w:contextualSpacing w:val="0"/>
                        <w:rPr>
                          <w:rFonts w:cs="Calibri"/>
                          <w:szCs w:val="22"/>
                        </w:rPr>
                      </w:pPr>
                      <w:r w:rsidRPr="006720E4">
                        <w:rPr>
                          <w:rFonts w:cs="Calibri"/>
                          <w:szCs w:val="22"/>
                        </w:rPr>
                        <w:t>Prioritisation of some individuals or groups in allocation of some organs for transplantation may be appropriate where it serves to:</w:t>
                      </w:r>
                    </w:p>
                    <w:p w14:paraId="0D63B945" w14:textId="77777777" w:rsidR="003D03F9" w:rsidRPr="006720E4" w:rsidRDefault="003D03F9" w:rsidP="00C3783C">
                      <w:pPr>
                        <w:pStyle w:val="ListParagraph"/>
                        <w:numPr>
                          <w:ilvl w:val="1"/>
                          <w:numId w:val="122"/>
                        </w:numPr>
                        <w:spacing w:after="80"/>
                        <w:contextualSpacing w:val="0"/>
                        <w:rPr>
                          <w:rFonts w:cs="Calibri"/>
                          <w:szCs w:val="22"/>
                        </w:rPr>
                      </w:pPr>
                      <w:r w:rsidRPr="006720E4">
                        <w:rPr>
                          <w:rFonts w:cs="Calibri"/>
                          <w:szCs w:val="22"/>
                        </w:rPr>
                        <w:t>Address structural disadvantages or barriers to transplantation that disproportionately affect some groups, e.g., children for whom appropriately sized donor organs may be less readily available.</w:t>
                      </w:r>
                    </w:p>
                    <w:p w14:paraId="45C744B6" w14:textId="395D6AEE" w:rsidR="003D03F9" w:rsidRDefault="003D03F9" w:rsidP="00C3783C">
                      <w:pPr>
                        <w:pStyle w:val="ListParagraph"/>
                        <w:numPr>
                          <w:ilvl w:val="1"/>
                          <w:numId w:val="122"/>
                        </w:numPr>
                        <w:spacing w:after="80"/>
                        <w:contextualSpacing w:val="0"/>
                        <w:rPr>
                          <w:rFonts w:cs="Calibri"/>
                          <w:szCs w:val="22"/>
                        </w:rPr>
                      </w:pPr>
                      <w:r w:rsidRPr="006720E4">
                        <w:rPr>
                          <w:rFonts w:cs="Calibri"/>
                          <w:szCs w:val="22"/>
                        </w:rPr>
                        <w:t>Expand opportunities for transplantation without unduly disadvantaging other groups, e.g., survival matching of organs that enables efficient use of ex</w:t>
                      </w:r>
                      <w:r w:rsidR="00D84BE9">
                        <w:rPr>
                          <w:rFonts w:cs="Calibri"/>
                          <w:szCs w:val="22"/>
                        </w:rPr>
                        <w:t>tende</w:t>
                      </w:r>
                      <w:r w:rsidRPr="006720E4">
                        <w:rPr>
                          <w:rFonts w:cs="Calibri"/>
                          <w:szCs w:val="22"/>
                        </w:rPr>
                        <w:t>d criteria donor organs and reduces the need for repeat transplants in younger individuals.</w:t>
                      </w:r>
                    </w:p>
                    <w:p w14:paraId="08A3E040" w14:textId="77777777" w:rsidR="003D03F9" w:rsidRPr="00E8228F" w:rsidRDefault="003D03F9" w:rsidP="00C3783C">
                      <w:pPr>
                        <w:pStyle w:val="ListParagraph"/>
                        <w:numPr>
                          <w:ilvl w:val="0"/>
                          <w:numId w:val="122"/>
                        </w:numPr>
                        <w:spacing w:after="80"/>
                        <w:rPr>
                          <w:rFonts w:cs="Calibri"/>
                          <w:szCs w:val="22"/>
                        </w:rPr>
                      </w:pPr>
                      <w:r w:rsidRPr="000B298E">
                        <w:rPr>
                          <w:rFonts w:cs="Calibri"/>
                          <w:szCs w:val="22"/>
                        </w:rPr>
                        <w:t>Promote reciprocity and reduce potential barriers to living organ donation, e.g., prioritising prior living organ donors whose need for transplantation is a consequence of their donation, or kidney transplant candidates who have experienced a swap failure during participation in a paired organ exchange</w:t>
                      </w:r>
                      <w:r>
                        <w:rPr>
                          <w:rFonts w:cs="Calibri"/>
                          <w:szCs w:val="22"/>
                        </w:rPr>
                        <w:t>.</w:t>
                      </w:r>
                    </w:p>
                  </w:txbxContent>
                </v:textbox>
                <w10:wrap type="square"/>
              </v:shape>
            </w:pict>
          </mc:Fallback>
        </mc:AlternateContent>
      </w:r>
    </w:p>
    <w:p w14:paraId="4E82F3C1" w14:textId="3BB1954E" w:rsidR="006C6EBA" w:rsidRPr="006720E4" w:rsidRDefault="006C6EBA" w:rsidP="00EA22AE">
      <w:pPr>
        <w:pStyle w:val="Heading2"/>
        <w:spacing w:after="120"/>
      </w:pPr>
      <w:bookmarkStart w:id="3509" w:name="_Equity_in_access"/>
      <w:bookmarkStart w:id="3510" w:name="_Toc63683453"/>
      <w:bookmarkStart w:id="3511" w:name="_Toc70241798"/>
      <w:bookmarkStart w:id="3512" w:name="_Toc70243433"/>
      <w:bookmarkStart w:id="3513" w:name="_Toc70328752"/>
      <w:bookmarkStart w:id="3514" w:name="_Toc70333982"/>
      <w:bookmarkStart w:id="3515" w:name="_Toc70414915"/>
      <w:bookmarkStart w:id="3516" w:name="_Toc70844233"/>
      <w:bookmarkStart w:id="3517" w:name="_Toc70859005"/>
      <w:bookmarkStart w:id="3518" w:name="_Toc70861106"/>
      <w:bookmarkStart w:id="3519" w:name="_Toc70876591"/>
      <w:bookmarkStart w:id="3520" w:name="_Toc72615169"/>
      <w:bookmarkStart w:id="3521" w:name="_Toc73129891"/>
      <w:bookmarkStart w:id="3522" w:name="_Toc73301763"/>
      <w:bookmarkStart w:id="3523" w:name="_Toc73302269"/>
      <w:bookmarkStart w:id="3524" w:name="_Toc73303402"/>
      <w:bookmarkStart w:id="3525" w:name="_Toc73303628"/>
      <w:bookmarkStart w:id="3526" w:name="_Toc74080745"/>
      <w:bookmarkStart w:id="3527" w:name="_Toc74081053"/>
      <w:bookmarkStart w:id="3528" w:name="_Toc74081283"/>
      <w:bookmarkStart w:id="3529" w:name="_Toc74081547"/>
      <w:bookmarkStart w:id="3530" w:name="_Toc74171114"/>
      <w:bookmarkStart w:id="3531" w:name="_Toc74172324"/>
      <w:bookmarkStart w:id="3532" w:name="_Toc74172860"/>
      <w:bookmarkStart w:id="3533" w:name="_Toc74238788"/>
      <w:bookmarkStart w:id="3534" w:name="_Toc78304781"/>
      <w:bookmarkStart w:id="3535" w:name="_Toc79330874"/>
      <w:bookmarkStart w:id="3536" w:name="_Toc79331254"/>
      <w:bookmarkStart w:id="3537" w:name="_Toc79406428"/>
      <w:bookmarkStart w:id="3538" w:name="_Toc82773664"/>
      <w:bookmarkStart w:id="3539" w:name="_Toc82774017"/>
      <w:bookmarkStart w:id="3540" w:name="_Toc128314223"/>
      <w:bookmarkStart w:id="3541" w:name="_Toc135131468"/>
      <w:bookmarkEnd w:id="3509"/>
      <w:r w:rsidRPr="006720E4">
        <w:t>Equity in access to opportunities for donation and transplantation</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p>
    <w:p w14:paraId="10CE0C95" w14:textId="35DAD53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allocation of scarce health resources is well recognized as a matter of justice, requiring careful ethical decision-making to promote equity in health. In contrast, although equity of access to healthcare is a major ethical concern, much of the focus on equity of access relates to removal of practical barriers to care rather than ethical decision-making as such. Some aspects of clinical decision-making may influence access to opportunities for donation and transplantation, and thus promote or undermine equity of access. Concerns about allocation of scarce resources may also directly or indirectly influence access to opportunities for donation or transplantation. Health professionals and policy makers should strive to identify and address these various barriers in order to promote equity in donation and </w:t>
      </w:r>
      <w:r w:rsidRPr="00D11BFA">
        <w:rPr>
          <w:rFonts w:ascii="Calibri" w:hAnsi="Calibri" w:cs="Calibri"/>
          <w:sz w:val="22"/>
          <w:szCs w:val="22"/>
        </w:rPr>
        <w:t xml:space="preserve">transplantation (see </w:t>
      </w:r>
      <w:hyperlink w:anchor="_Structural_barriers_"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.3.1</w:t>
        </w:r>
      </w:hyperlink>
      <w:r w:rsidRPr="00D11BFA">
        <w:rPr>
          <w:rFonts w:ascii="Calibri" w:hAnsi="Calibri" w:cs="Calibri"/>
          <w:sz w:val="22"/>
          <w:szCs w:val="22"/>
        </w:rPr>
        <w:t>).</w:t>
      </w:r>
      <w:r w:rsidRPr="006720E4">
        <w:rPr>
          <w:rFonts w:ascii="Calibri" w:hAnsi="Calibri" w:cs="Calibri"/>
          <w:sz w:val="22"/>
          <w:szCs w:val="22"/>
        </w:rPr>
        <w:t xml:space="preserve"> </w:t>
      </w:r>
    </w:p>
    <w:p w14:paraId="4BC55EF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Where individuals may be restricted from accessing specific healthcare services as a result of their citizenship, residency status, or healthcare insurance status, the implications of these restrictions with regards to their opportunities for donation or transplantation should be carefully reviewed to identify and address potential inequities. </w:t>
      </w:r>
    </w:p>
    <w:p w14:paraId="6DD8CAFF" w14:textId="3F8C517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Specific factors that may influence equity in access to HSC transplantation and to organ transplantation are </w:t>
      </w:r>
      <w:r w:rsidRPr="00D11BFA">
        <w:rPr>
          <w:rFonts w:ascii="Calibri" w:hAnsi="Calibri" w:cs="Calibri"/>
          <w:sz w:val="22"/>
          <w:szCs w:val="22"/>
        </w:rPr>
        <w:t xml:space="preserve">discussed in </w:t>
      </w:r>
      <w:hyperlink w:anchor="_Equity_in_access_2"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.3.2</w:t>
        </w:r>
      </w:hyperlink>
      <w:r w:rsidRPr="00D11BFA">
        <w:rPr>
          <w:rFonts w:ascii="Calibri" w:hAnsi="Calibri" w:cs="Calibri"/>
          <w:sz w:val="22"/>
          <w:szCs w:val="22"/>
        </w:rPr>
        <w:t xml:space="preserve"> and </w:t>
      </w:r>
      <w:hyperlink w:anchor="_Equity_in_access_1"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.3.3</w:t>
        </w:r>
      </w:hyperlink>
      <w:r w:rsidRPr="00D11BFA">
        <w:rPr>
          <w:rFonts w:ascii="Calibri" w:hAnsi="Calibri" w:cs="Calibri"/>
          <w:sz w:val="22"/>
          <w:szCs w:val="22"/>
        </w:rPr>
        <w:t xml:space="preserve"> respectively.</w:t>
      </w:r>
    </w:p>
    <w:p w14:paraId="30F08B5A" w14:textId="77777777" w:rsidR="006C6EBA" w:rsidRPr="006720E4" w:rsidRDefault="006C6EBA" w:rsidP="00EA22AE">
      <w:pPr>
        <w:pStyle w:val="Heading3"/>
        <w:spacing w:after="120"/>
      </w:pPr>
      <w:bookmarkStart w:id="3542" w:name="_Structural_barriers_"/>
      <w:bookmarkStart w:id="3543" w:name="_Structural_barriers_to"/>
      <w:bookmarkStart w:id="3544" w:name="_Toc79406429"/>
      <w:bookmarkStart w:id="3545" w:name="_Toc82773665"/>
      <w:bookmarkStart w:id="3546" w:name="_Toc82774018"/>
      <w:bookmarkEnd w:id="3542"/>
      <w:bookmarkEnd w:id="3543"/>
      <w:r w:rsidRPr="006720E4">
        <w:t>Structural barriers to donation and transplantation that may produce inequities</w:t>
      </w:r>
      <w:bookmarkEnd w:id="3544"/>
      <w:bookmarkEnd w:id="3545"/>
      <w:bookmarkEnd w:id="3546"/>
    </w:p>
    <w:p w14:paraId="171ED922" w14:textId="3C16324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Failure to address structural systemic barriers in access to donation and transplantation programs and health professional bias in considering, offering or supporting opportunities for donation and transplantation are key factors that may undermine equity. In some cases, bias may be the result of value judgements regarding the potential risks and benefits of donation or transplantation in specific </w:t>
      </w:r>
      <w:r w:rsidRPr="00D11BFA">
        <w:rPr>
          <w:rFonts w:ascii="Calibri" w:hAnsi="Calibri" w:cs="Calibri"/>
          <w:sz w:val="22"/>
          <w:szCs w:val="22"/>
        </w:rPr>
        <w:t xml:space="preserve">cases (see </w:t>
      </w:r>
      <w:hyperlink w:anchor="_Evaluating_potential_benefits_1"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6</w:t>
        </w:r>
        <w:r w:rsidRPr="00D11BFA">
          <w:rPr>
            <w:rStyle w:val="Hyperlink"/>
            <w:rFonts w:ascii="Calibri" w:hAnsi="Calibri" w:cs="Calibri"/>
            <w:sz w:val="22"/>
            <w:szCs w:val="22"/>
          </w:rPr>
          <w:t>.1</w:t>
        </w:r>
      </w:hyperlink>
      <w:r w:rsidRPr="00D11BFA">
        <w:rPr>
          <w:rFonts w:ascii="Calibri" w:hAnsi="Calibri" w:cs="Calibri"/>
          <w:sz w:val="22"/>
          <w:szCs w:val="22"/>
        </w:rPr>
        <w:t xml:space="preserve">). </w:t>
      </w:r>
      <w:r w:rsidRPr="00D11BFA">
        <w:rPr>
          <w:rFonts w:ascii="Calibri" w:hAnsi="Calibri" w:cs="Calibri"/>
          <w:b/>
          <w:bCs/>
          <w:sz w:val="22"/>
          <w:szCs w:val="22"/>
        </w:rPr>
        <w:t>Box 8.</w:t>
      </w:r>
      <w:r w:rsidR="003D03F9">
        <w:rPr>
          <w:rFonts w:ascii="Calibri" w:hAnsi="Calibri" w:cs="Calibri"/>
          <w:b/>
          <w:bCs/>
          <w:sz w:val="22"/>
          <w:szCs w:val="22"/>
        </w:rPr>
        <w:t>2</w:t>
      </w:r>
      <w:r w:rsidRPr="00D11BFA">
        <w:rPr>
          <w:rFonts w:ascii="Calibri" w:hAnsi="Calibri" w:cs="Calibri"/>
          <w:sz w:val="22"/>
          <w:szCs w:val="22"/>
        </w:rPr>
        <w:t xml:space="preserve"> outlines</w:t>
      </w:r>
      <w:r w:rsidRPr="006720E4">
        <w:rPr>
          <w:rFonts w:ascii="Calibri" w:hAnsi="Calibri" w:cs="Calibri"/>
          <w:sz w:val="22"/>
          <w:szCs w:val="22"/>
        </w:rPr>
        <w:t xml:space="preserve"> some strategies that may help to improve equity in opportunities for donation and transplantation.</w:t>
      </w:r>
    </w:p>
    <w:p w14:paraId="157CB43D" w14:textId="77777777" w:rsidR="006C6EBA" w:rsidRPr="006720E4" w:rsidRDefault="006C6EBA" w:rsidP="00EA22AE">
      <w:pPr>
        <w:spacing w:after="120"/>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6C6EBA" w:rsidRPr="006720E4" w14:paraId="6AD47902" w14:textId="77777777">
        <w:tc>
          <w:tcPr>
            <w:tcW w:w="9010" w:type="dxa"/>
            <w:shd w:val="clear" w:color="auto" w:fill="E7E6E6" w:themeFill="background2"/>
          </w:tcPr>
          <w:p w14:paraId="6C1B3531" w14:textId="6DE66F31"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Box 8.</w:t>
            </w:r>
            <w:r w:rsidR="003D03F9">
              <w:rPr>
                <w:rFonts w:ascii="Calibri" w:hAnsi="Calibri" w:cs="Calibri"/>
                <w:b/>
                <w:bCs/>
                <w:sz w:val="22"/>
                <w:szCs w:val="22"/>
              </w:rPr>
              <w:t>2</w:t>
            </w:r>
            <w:r w:rsidRPr="006720E4">
              <w:rPr>
                <w:rFonts w:ascii="Calibri" w:hAnsi="Calibri" w:cs="Calibri"/>
                <w:b/>
                <w:bCs/>
                <w:sz w:val="22"/>
                <w:szCs w:val="22"/>
              </w:rPr>
              <w:t xml:space="preserve"> – Strategies to promote equity in opportunities for donation and transplantation</w:t>
            </w:r>
          </w:p>
        </w:tc>
      </w:tr>
      <w:tr w:rsidR="006C6EBA" w:rsidRPr="006720E4" w14:paraId="5DFEF755" w14:textId="77777777">
        <w:tc>
          <w:tcPr>
            <w:tcW w:w="9010" w:type="dxa"/>
            <w:shd w:val="clear" w:color="auto" w:fill="E7E6E6" w:themeFill="background2"/>
          </w:tcPr>
          <w:p w14:paraId="74332441"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Health professionals and authorities should</w:t>
            </w:r>
          </w:p>
          <w:p w14:paraId="6902CC6B" w14:textId="77777777" w:rsidR="006C6EBA" w:rsidRPr="006720E4" w:rsidRDefault="006C6EBA" w:rsidP="00C3783C">
            <w:pPr>
              <w:pStyle w:val="Bullet"/>
              <w:numPr>
                <w:ilvl w:val="0"/>
                <w:numId w:val="26"/>
              </w:numPr>
              <w:spacing w:after="120"/>
              <w:contextualSpacing w:val="0"/>
              <w:rPr>
                <w:rFonts w:cs="Calibri"/>
                <w:szCs w:val="22"/>
              </w:rPr>
            </w:pPr>
            <w:r w:rsidRPr="006720E4">
              <w:rPr>
                <w:rFonts w:cs="Calibri"/>
                <w:szCs w:val="22"/>
              </w:rPr>
              <w:t>Routinely provide individuals and families with information about donation and transplantation opportunities;</w:t>
            </w:r>
          </w:p>
          <w:p w14:paraId="2B6919FC" w14:textId="76888C6E" w:rsidR="006C6EBA" w:rsidRPr="006720E4" w:rsidRDefault="006C6EBA" w:rsidP="00C3783C">
            <w:pPr>
              <w:pStyle w:val="Bullet"/>
              <w:numPr>
                <w:ilvl w:val="0"/>
                <w:numId w:val="26"/>
              </w:numPr>
              <w:spacing w:after="120"/>
              <w:contextualSpacing w:val="0"/>
              <w:rPr>
                <w:rFonts w:cs="Calibri"/>
                <w:szCs w:val="22"/>
              </w:rPr>
            </w:pPr>
            <w:r w:rsidRPr="006720E4">
              <w:rPr>
                <w:rFonts w:cs="Calibri"/>
                <w:szCs w:val="22"/>
              </w:rPr>
              <w:t>Increase the cultural and ethnic diversity of staff involved in donation and transplantation activities and provide training for all staff to assist in provision of culturally safe care and effective communication about donation and transplantation opportunities. This is particularly important in the context of Aboriginal and Torres Strait Islander communities who may experience multiple barriers to donation and transplantation.</w:t>
            </w:r>
            <w:r w:rsidRPr="006720E4">
              <w:rPr>
                <w:rFonts w:cs="Calibri"/>
                <w:szCs w:val="22"/>
              </w:rPr>
              <w:fldChar w:fldCharType="begin" w:fldLock="1"/>
            </w:r>
            <w:r w:rsidR="00EB088B">
              <w:rPr>
                <w:rFonts w:cs="Calibri"/>
                <w:szCs w:val="22"/>
              </w:rPr>
              <w:instrText>ADDIN CSL_CITATION {"citationItems":[{"id":"ITEM-1","itemData":{"DOI":"10.1076/jmep.23.5.456.2570","ISSN":"03605310","PMID":"9892035","abstract":"It is common to interpret Rawls's maximin theory of justice as egalitarian. Compared to utilitarian theories, this may be true. However, in special cases practices that distribute resources so as to benefit the worst off actually increase the inequality between the worst off and some who are better off. In these cases the Rawlsian maximin parts company with what is here called true egalitarianism. A policy question requiring a distinction between maximin and \"true egalitarian\" allocations has arisen in the arena of organ transplantation. This case is examined here as a venue for differentiating maximin and true egalitarian theories. Directed donation is the name given to donations of organs restricted to a particular social group. For example, the family of a member of the Ku Klux Klan donated his organs on the provision that they go only to members of the Caucasian race. While such donations appear to be discriminatory, if certain plausible assumptions are made, they satisfy the maximin criterion. They selectively advantage the recipient of the organs without harming anyone (assuming the organs would otherwise go unused). Moreover, everyone who is lower on the waiting list (who, thereby, could be considered worse off) is advantaged by moving up on the waiting list. This paper examines how maximin and more truly egalitarian theories handle this case arguing that, to the extent that directed donation is unethical, the best account of that conclusion is that an egalitarian principle of justice is to be preferred to the maximin. © Swets &amp; Zeitlinger.","author":[{"dropping-particle":"","family":"Veatch","given":"Robert M.","non-dropping-particle":"","parse-names":false,"suffix":""}],"container-title":"Journal of Medicine and Philosophy","id":"ITEM-1","issue":"5","issued":{"date-parts":[["1998"]]},"page":"456-476","title":"Egalitarian and maximin theories of justice: Directed donation of organs for transplant","type":"article-journal","volume":"23"},"uris":["http://www.mendeley.com/documents/?uuid=d8c28105-7082-40e8-8514-3db7b354eda1"]}],"mendeley":{"formattedCitation":"(129)","plainTextFormattedCitation":"(129)","previouslyFormattedCitation":"(129)"},"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(129)</w:t>
            </w:r>
            <w:r w:rsidRPr="006720E4">
              <w:rPr>
                <w:rFonts w:cs="Calibri"/>
                <w:szCs w:val="22"/>
              </w:rPr>
              <w:fldChar w:fldCharType="end"/>
            </w:r>
          </w:p>
          <w:p w14:paraId="7A16AEB6" w14:textId="62F61521" w:rsidR="006C6EBA" w:rsidRPr="006720E4" w:rsidRDefault="006C6EBA" w:rsidP="00C3783C">
            <w:pPr>
              <w:pStyle w:val="Bullet"/>
              <w:numPr>
                <w:ilvl w:val="0"/>
                <w:numId w:val="26"/>
              </w:numPr>
              <w:spacing w:after="120"/>
              <w:contextualSpacing w:val="0"/>
              <w:rPr>
                <w:rFonts w:cs="Calibri"/>
                <w:szCs w:val="22"/>
              </w:rPr>
            </w:pPr>
            <w:r w:rsidRPr="006720E4">
              <w:rPr>
                <w:rFonts w:cs="Calibri"/>
                <w:szCs w:val="22"/>
              </w:rPr>
              <w:t>Make decisions about potential donation and transplantation opportunities based on clinical evidence and guidelines, with regular audit of decision-making and outcomes to identify potential sources of bias or discrimination;</w:t>
            </w:r>
          </w:p>
          <w:p w14:paraId="533977F9" w14:textId="77777777" w:rsidR="006C6EBA" w:rsidRPr="006720E4" w:rsidRDefault="006C6EBA" w:rsidP="00C3783C">
            <w:pPr>
              <w:pStyle w:val="Bullet"/>
              <w:numPr>
                <w:ilvl w:val="0"/>
                <w:numId w:val="26"/>
              </w:numPr>
              <w:spacing w:after="120"/>
              <w:contextualSpacing w:val="0"/>
              <w:rPr>
                <w:rFonts w:cs="Calibri"/>
                <w:szCs w:val="22"/>
              </w:rPr>
            </w:pPr>
            <w:r w:rsidRPr="006720E4">
              <w:rPr>
                <w:rFonts w:cs="Calibri"/>
                <w:szCs w:val="22"/>
              </w:rPr>
              <w:t>Provide public information and health campaigns that are designed to be accessible to and engaging of all communities, irrespective of age, gender, race, religion or other cultural or social affiliations;</w:t>
            </w:r>
          </w:p>
          <w:p w14:paraId="5EBC6F09" w14:textId="77777777" w:rsidR="006C6EBA" w:rsidRPr="006720E4" w:rsidRDefault="006C6EBA" w:rsidP="00C3783C">
            <w:pPr>
              <w:pStyle w:val="Bullet"/>
              <w:numPr>
                <w:ilvl w:val="0"/>
                <w:numId w:val="26"/>
              </w:numPr>
              <w:spacing w:after="120"/>
              <w:contextualSpacing w:val="0"/>
              <w:rPr>
                <w:rFonts w:cs="Calibri"/>
                <w:szCs w:val="22"/>
              </w:rPr>
            </w:pPr>
            <w:r w:rsidRPr="006720E4">
              <w:rPr>
                <w:rFonts w:cs="Calibri"/>
                <w:szCs w:val="22"/>
              </w:rPr>
              <w:t>Identify and evaluate potential clinical, socioeconomic and cultural barriers to donation and transplantation and address these when possible;</w:t>
            </w:r>
          </w:p>
          <w:p w14:paraId="7DFC9577" w14:textId="799F8640" w:rsidR="006C6EBA" w:rsidRPr="006720E4" w:rsidRDefault="006C6EBA" w:rsidP="00C3783C">
            <w:pPr>
              <w:pStyle w:val="Bullet"/>
              <w:numPr>
                <w:ilvl w:val="0"/>
                <w:numId w:val="26"/>
              </w:numPr>
              <w:spacing w:after="120"/>
              <w:contextualSpacing w:val="0"/>
              <w:rPr>
                <w:rFonts w:cs="Calibri"/>
                <w:b/>
                <w:bCs/>
                <w:szCs w:val="22"/>
              </w:rPr>
            </w:pPr>
            <w:r w:rsidRPr="006720E4">
              <w:rPr>
                <w:rFonts w:cs="Calibri"/>
                <w:szCs w:val="22"/>
              </w:rPr>
              <w:t>Implement strategies to address specific barriers to donation and transplantation in particular communities. Noting for example, inequities in rates of living donor kidney transplantation in Australia according to sociodemographic status.</w:t>
            </w:r>
            <w:r w:rsidRPr="006720E4">
              <w:rPr>
                <w:rFonts w:cs="Calibri"/>
                <w:szCs w:val="22"/>
              </w:rPr>
              <w:fldChar w:fldCharType="begin" w:fldLock="1"/>
            </w:r>
            <w:r w:rsidR="00EB088B">
              <w:rPr>
                <w:rFonts w:cs="Calibri"/>
                <w:szCs w:val="22"/>
              </w:rPr>
              <w:instrText>ADDIN CSL_CITATION {"citationItems":[{"id":"ITEM-1","itemData":{"DOI":"10.1038/ki.2012.304","ISSN":"15231755","PMID":"22895516","abstract":"Socioeconomic disadvantage has been linked to reduced access to kidney transplantation. To understand and address potential barriers to transplantation, we used the Australia and New Zealand Dialysis and Transplant Registry and examined primary kidney-only transplantation among adult non-Indigenous patients who commenced chronic renal replacement therapy in Australia during 2000-2010. Socioeconomic status was derived from residential postcodes using standard indices. Among the 21,190 patients who commenced renal replacement therapy, 4105 received a kidney transplant (2058 from living donors (660 preemptive) or 2047 from deceased donors) by the end of 2010. Compared with the most socioeconomic disadvantaged quartile, patients from the most advantaged quartile were more likely to receive a preemptive transplant (relative rate 1.93), and more likely to receive a living-donor kidney (adjusted subhazard ratio 1.34) after commencing dialysis. Socioeconomic status was not associated with deceased-donor transplantation. Thus, the association between socioeconomic status and living- but not deceased-donor transplantation suggests that potential donors (rather than recipients) from disadvantaged areas may face barriers to donation. Although the deceased-donor organ allocation process appears essentially equitable, it differs between Australian states. © 2012 International Society of Nephrology.","author":[{"dropping-particle":"","family":"Grace","given":"Blair S.","non-dropping-particle":"","parse-names":false,"suffix":""},{"dropping-particle":"","family":"Clayton","given":"Philip A.","non-dropping-particle":"","parse-names":false,"suffix":""},{"dropping-particle":"","family":"Cass","given":"Alan","non-dropping-particle":"","parse-names":false,"suffix":""},{"dropping-particle":"","family":"McDonald","given":"Stephen P.","non-dropping-particle":"","parse-names":false,"suffix":""}],"container-title":"Kidney International","id":"ITEM-1","issue":"1","issued":{"date-parts":[["2013"]]},"page":"138-145","publisher":"Elsevier Masson SAS","title":"Transplantation rates for living- but not deceased-donor kidneys vary with socioeconomic status in Australia","type":"article-journal","volume":"83"},"uris":["http://www.mendeley.com/documents/?uuid=66e1ff00-3d2c-47de-87c3-eb7093a35a2c"]}],"mendeley":{"formattedCitation":"(130)","plainTextFormattedCitation":"(130)","previouslyFormattedCitation":"(130)"},"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(130)</w:t>
            </w:r>
            <w:r w:rsidRPr="006720E4">
              <w:rPr>
                <w:rFonts w:cs="Calibri"/>
                <w:szCs w:val="22"/>
              </w:rPr>
              <w:fldChar w:fldCharType="end"/>
            </w:r>
          </w:p>
        </w:tc>
      </w:tr>
    </w:tbl>
    <w:p w14:paraId="19635086" w14:textId="77777777" w:rsidR="006C6EBA" w:rsidRPr="006720E4" w:rsidRDefault="006C6EBA" w:rsidP="00EA22AE">
      <w:pPr>
        <w:spacing w:after="120"/>
        <w:rPr>
          <w:rFonts w:ascii="Calibri" w:hAnsi="Calibri" w:cs="Calibri"/>
        </w:rPr>
      </w:pPr>
    </w:p>
    <w:p w14:paraId="1214D397" w14:textId="0A6B1955" w:rsidR="006C6EBA" w:rsidRPr="006720E4" w:rsidRDefault="006C6EBA" w:rsidP="00EA22AE">
      <w:pPr>
        <w:pStyle w:val="Heading3"/>
        <w:spacing w:after="120"/>
      </w:pPr>
      <w:bookmarkStart w:id="3547" w:name="_Equity_in_access_2"/>
      <w:bookmarkStart w:id="3548" w:name="_Toc79406430"/>
      <w:bookmarkStart w:id="3549" w:name="_Toc82773666"/>
      <w:bookmarkStart w:id="3550" w:name="_Toc82774019"/>
      <w:bookmarkStart w:id="3551" w:name="_Toc72615170"/>
      <w:bookmarkStart w:id="3552" w:name="_Toc73129892"/>
      <w:bookmarkStart w:id="3553" w:name="_Toc73301764"/>
      <w:bookmarkStart w:id="3554" w:name="_Toc73302270"/>
      <w:bookmarkStart w:id="3555" w:name="_Toc73303403"/>
      <w:bookmarkStart w:id="3556" w:name="_Toc73303629"/>
      <w:bookmarkStart w:id="3557" w:name="_Toc74080746"/>
      <w:bookmarkStart w:id="3558" w:name="_Toc74081054"/>
      <w:bookmarkStart w:id="3559" w:name="_Toc74081284"/>
      <w:bookmarkStart w:id="3560" w:name="_Toc74081548"/>
      <w:bookmarkStart w:id="3561" w:name="_Toc74171115"/>
      <w:bookmarkStart w:id="3562" w:name="_Toc74172325"/>
      <w:bookmarkStart w:id="3563" w:name="_Toc74172861"/>
      <w:bookmarkStart w:id="3564" w:name="_Toc74238789"/>
      <w:bookmarkStart w:id="3565" w:name="_Toc63683454"/>
      <w:bookmarkStart w:id="3566" w:name="_Toc70241799"/>
      <w:bookmarkStart w:id="3567" w:name="_Toc70243434"/>
      <w:bookmarkEnd w:id="3547"/>
      <w:r w:rsidRPr="006720E4">
        <w:t>Equity in access to HSC transplantation</w:t>
      </w:r>
      <w:bookmarkEnd w:id="3548"/>
      <w:bookmarkEnd w:id="3549"/>
      <w:bookmarkEnd w:id="3550"/>
    </w:p>
    <w:p w14:paraId="4405F018" w14:textId="78A85DB9"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As is the case for organ </w:t>
      </w:r>
      <w:r w:rsidRPr="00D11BFA">
        <w:rPr>
          <w:rFonts w:ascii="Calibri" w:hAnsi="Calibri" w:cs="Calibri"/>
          <w:color w:val="000000" w:themeColor="text1"/>
          <w:sz w:val="22"/>
          <w:szCs w:val="22"/>
        </w:rPr>
        <w:t xml:space="preserve">transplantation (see </w:t>
      </w:r>
      <w:hyperlink w:anchor="_Equity_in_access_1"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.3.3</w:t>
        </w:r>
      </w:hyperlink>
      <w:r w:rsidRPr="00D11BFA">
        <w:rPr>
          <w:rFonts w:ascii="Calibri" w:hAnsi="Calibri" w:cs="Calibri"/>
          <w:color w:val="000000" w:themeColor="text1"/>
          <w:sz w:val="22"/>
          <w:szCs w:val="22"/>
        </w:rPr>
        <w:t xml:space="preserve">) there may be factors such as those outlined in </w:t>
      </w:r>
      <w:hyperlink w:anchor="_Structural_barriers_to"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.3.1</w:t>
        </w:r>
      </w:hyperlink>
      <w:r w:rsidRPr="00D11BFA">
        <w:rPr>
          <w:rFonts w:ascii="Calibri" w:hAnsi="Calibri" w:cs="Calibri"/>
          <w:color w:val="000000" w:themeColor="text1"/>
          <w:sz w:val="22"/>
          <w:szCs w:val="22"/>
        </w:rPr>
        <w:t xml:space="preserve"> which produce barriers to referral for HSC transplantation, and barriers to living directed HSC donation. Such barriers may result</w:t>
      </w:r>
      <w:r w:rsidRPr="006720E4">
        <w:rPr>
          <w:rFonts w:ascii="Calibri" w:hAnsi="Calibri" w:cs="Calibri"/>
          <w:color w:val="000000" w:themeColor="text1"/>
          <w:sz w:val="22"/>
          <w:szCs w:val="22"/>
        </w:rPr>
        <w:t xml:space="preserve"> in inequities in access to HSC transplantation. </w:t>
      </w:r>
    </w:p>
    <w:p w14:paraId="32D890F3" w14:textId="71A1F798"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t xml:space="preserve">Once an individual’s request for HSC transplantation is referred to the ABMDR, the chance of finding a matching non-directed donor may be largely a matter of luck. The specificity required in matching HSC donors to recipients means that allocation of donated cells is almost wholly determined by the immunological characteristics of transplant candidates and those of available donors. The resulting inequalities in access to HSC transplants are thus not inequities, as they are </w:t>
      </w:r>
      <w:r w:rsidRPr="006720E4">
        <w:rPr>
          <w:rFonts w:ascii="Calibri" w:hAnsi="Calibri" w:cs="Calibri"/>
          <w:i/>
          <w:iCs/>
          <w:color w:val="000000" w:themeColor="text1"/>
          <w:sz w:val="22"/>
          <w:szCs w:val="22"/>
        </w:rPr>
        <w:t>unavoidable</w:t>
      </w:r>
      <w:r w:rsidRPr="006720E4">
        <w:rPr>
          <w:rFonts w:ascii="Calibri" w:hAnsi="Calibri" w:cs="Calibri"/>
          <w:color w:val="000000" w:themeColor="text1"/>
          <w:sz w:val="22"/>
          <w:szCs w:val="22"/>
        </w:rPr>
        <w:t xml:space="preserve">. However, as noted </w:t>
      </w:r>
      <w:r w:rsidRPr="00D11BFA">
        <w:rPr>
          <w:rFonts w:ascii="Calibri" w:hAnsi="Calibri" w:cs="Calibri"/>
          <w:color w:val="000000" w:themeColor="text1"/>
          <w:sz w:val="22"/>
          <w:szCs w:val="22"/>
        </w:rPr>
        <w:t xml:space="preserve">in </w:t>
      </w:r>
      <w:hyperlink w:anchor="_Examples_of_potential"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.1.1</w:t>
        </w:r>
      </w:hyperlink>
      <w:r w:rsidRPr="00D11BFA">
        <w:rPr>
          <w:rFonts w:ascii="Calibri" w:hAnsi="Calibri" w:cs="Calibri"/>
          <w:color w:val="000000" w:themeColor="text1"/>
          <w:sz w:val="22"/>
          <w:szCs w:val="22"/>
        </w:rPr>
        <w:t>, efforts to expand</w:t>
      </w:r>
      <w:r w:rsidRPr="006720E4">
        <w:rPr>
          <w:rFonts w:ascii="Calibri" w:hAnsi="Calibri" w:cs="Calibri"/>
          <w:color w:val="000000" w:themeColor="text1"/>
          <w:sz w:val="22"/>
          <w:szCs w:val="22"/>
        </w:rPr>
        <w:t xml:space="preserve"> the diversity of the global HSC donor pool may help to reduce such inequalities. </w:t>
      </w:r>
    </w:p>
    <w:p w14:paraId="393D9803" w14:textId="59159309" w:rsidR="006C6EBA" w:rsidRPr="006720E4" w:rsidRDefault="006C6EBA" w:rsidP="00EA22AE">
      <w:pPr>
        <w:spacing w:after="120"/>
        <w:rPr>
          <w:rFonts w:ascii="Calibri" w:hAnsi="Calibri" w:cs="Calibri"/>
          <w:color w:val="000000" w:themeColor="text1"/>
          <w:sz w:val="22"/>
          <w:szCs w:val="22"/>
        </w:rPr>
      </w:pPr>
      <w:r w:rsidRPr="006720E4">
        <w:rPr>
          <w:rFonts w:ascii="Calibri" w:hAnsi="Calibri" w:cs="Calibri"/>
          <w:color w:val="000000" w:themeColor="text1"/>
          <w:sz w:val="22"/>
          <w:szCs w:val="22"/>
        </w:rPr>
        <w:lastRenderedPageBreak/>
        <w:t xml:space="preserve">Global health and socioeconomic inequities, rather than inequities in allocation of HSC donation may influence access to HSC transplants. For example, members of minority migrant communities in Australia may have difficulty finding a matching HSC donor in part due to a lack of HSC donor registries in their countries of origin. Efforts to support the development of HSC donation and transplantation programs in other countries may not only improve access to transplantation in those countries but would also help to improve access to HSC transplantation in Australia’s ethnically diverse population (see </w:t>
      </w:r>
      <w:r w:rsidRPr="00D11BFA">
        <w:rPr>
          <w:rFonts w:ascii="Calibri" w:hAnsi="Calibri" w:cs="Calibri"/>
          <w:color w:val="000000" w:themeColor="text1"/>
          <w:sz w:val="22"/>
          <w:szCs w:val="22"/>
        </w:rPr>
        <w:t xml:space="preserve">also </w:t>
      </w:r>
      <w:hyperlink w:anchor="_Global_sufficiency_in"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9</w:t>
        </w:r>
        <w:r w:rsidRPr="00D11BFA">
          <w:rPr>
            <w:rStyle w:val="Hyperlink"/>
            <w:rFonts w:ascii="Calibri" w:hAnsi="Calibri" w:cs="Calibri"/>
            <w:sz w:val="22"/>
            <w:szCs w:val="22"/>
          </w:rPr>
          <w:t>.1.3</w:t>
        </w:r>
      </w:hyperlink>
      <w:r w:rsidRPr="00D11BFA">
        <w:rPr>
          <w:rFonts w:ascii="Calibri" w:hAnsi="Calibri" w:cs="Calibri"/>
          <w:color w:val="000000" w:themeColor="text1"/>
          <w:sz w:val="22"/>
          <w:szCs w:val="22"/>
        </w:rPr>
        <w:t>).</w:t>
      </w:r>
    </w:p>
    <w:p w14:paraId="0AFD8DD9" w14:textId="5DD926FF" w:rsidR="006C6EBA" w:rsidRPr="006720E4" w:rsidRDefault="006C6EBA" w:rsidP="00EA22AE">
      <w:pPr>
        <w:pStyle w:val="Heading3"/>
        <w:spacing w:after="120"/>
      </w:pPr>
      <w:bookmarkStart w:id="3568" w:name="_Equity_in_access_1"/>
      <w:bookmarkStart w:id="3569" w:name="_Toc79406431"/>
      <w:bookmarkStart w:id="3570" w:name="_Toc82773667"/>
      <w:bookmarkStart w:id="3571" w:name="_Toc82774020"/>
      <w:bookmarkEnd w:id="3568"/>
      <w:r w:rsidRPr="006720E4">
        <w:t>Equity in access to organ transplant waiting lists</w:t>
      </w:r>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9"/>
      <w:bookmarkEnd w:id="3570"/>
      <w:bookmarkEnd w:id="3571"/>
    </w:p>
    <w:p w14:paraId="3C3780BE" w14:textId="58C593A1" w:rsidR="006C6EBA" w:rsidRPr="00D11BFA" w:rsidRDefault="006C6EBA" w:rsidP="00EA22AE">
      <w:pPr>
        <w:spacing w:after="120"/>
        <w:rPr>
          <w:rFonts w:ascii="Calibri" w:hAnsi="Calibri" w:cs="Calibri"/>
          <w:sz w:val="22"/>
          <w:szCs w:val="22"/>
        </w:rPr>
      </w:pPr>
      <w:r w:rsidRPr="006720E4">
        <w:rPr>
          <w:rFonts w:ascii="Calibri" w:hAnsi="Calibri" w:cs="Calibri"/>
          <w:sz w:val="22"/>
          <w:szCs w:val="22"/>
        </w:rPr>
        <w:t xml:space="preserve">Although equity in the allocation of deceased donor organs is often the focus of ethical concern (see </w:t>
      </w:r>
      <w:hyperlink w:anchor="_Allocation_of_deceased"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.4</w:t>
        </w:r>
      </w:hyperlink>
      <w:r w:rsidRPr="00D11BFA">
        <w:rPr>
          <w:rFonts w:ascii="Calibri" w:hAnsi="Calibri" w:cs="Calibri"/>
          <w:sz w:val="22"/>
          <w:szCs w:val="22"/>
        </w:rPr>
        <w:t xml:space="preserve">), for many people a major barrier to obtaining an organ transplant occurs before organ allocation is considered. In Australia, in order to be considered as a candidate for an organ from the deceased donor pool, an individual must first join the transplant waiting list. This requires that an individual is recognized as requiring and clinically </w:t>
      </w:r>
      <w:r w:rsidRPr="00D11BFA">
        <w:rPr>
          <w:rFonts w:ascii="Calibri" w:hAnsi="Calibri" w:cs="Calibri"/>
          <w:b/>
          <w:bCs/>
          <w:sz w:val="22"/>
          <w:szCs w:val="22"/>
        </w:rPr>
        <w:t>suitable</w:t>
      </w:r>
      <w:r w:rsidRPr="00D11BFA">
        <w:rPr>
          <w:rFonts w:ascii="Calibri" w:hAnsi="Calibri" w:cs="Calibri"/>
          <w:sz w:val="22"/>
          <w:szCs w:val="22"/>
        </w:rPr>
        <w:t xml:space="preserve"> for a transplant, determined to be </w:t>
      </w:r>
      <w:r w:rsidRPr="00D11BFA">
        <w:rPr>
          <w:rFonts w:ascii="Calibri" w:hAnsi="Calibri" w:cs="Calibri"/>
          <w:b/>
          <w:bCs/>
          <w:sz w:val="22"/>
          <w:szCs w:val="22"/>
        </w:rPr>
        <w:t>eligible</w:t>
      </w:r>
      <w:r w:rsidRPr="00D11BFA">
        <w:rPr>
          <w:rFonts w:ascii="Calibri" w:hAnsi="Calibri" w:cs="Calibri"/>
          <w:sz w:val="22"/>
          <w:szCs w:val="22"/>
        </w:rPr>
        <w:t xml:space="preserve"> for transplantation, and then </w:t>
      </w:r>
      <w:r w:rsidRPr="00D11BFA">
        <w:rPr>
          <w:rFonts w:ascii="Calibri" w:hAnsi="Calibri" w:cs="Calibri"/>
          <w:b/>
          <w:bCs/>
          <w:sz w:val="22"/>
          <w:szCs w:val="22"/>
        </w:rPr>
        <w:t>referred</w:t>
      </w:r>
      <w:r w:rsidRPr="00D11BFA">
        <w:rPr>
          <w:rFonts w:ascii="Calibri" w:hAnsi="Calibri" w:cs="Calibri"/>
          <w:sz w:val="22"/>
          <w:szCs w:val="22"/>
        </w:rPr>
        <w:t xml:space="preserve"> to the waiting list (see </w:t>
      </w:r>
      <w:hyperlink w:anchor="_Evaluating_general_risks"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6</w:t>
        </w:r>
        <w:r w:rsidRPr="00D11BFA">
          <w:rPr>
            <w:rStyle w:val="Hyperlink"/>
            <w:rFonts w:ascii="Calibri" w:hAnsi="Calibri" w:cs="Calibri"/>
            <w:sz w:val="22"/>
            <w:szCs w:val="22"/>
          </w:rPr>
          <w:t>.5.1</w:t>
        </w:r>
      </w:hyperlink>
      <w:r w:rsidRPr="00D11BFA">
        <w:rPr>
          <w:rFonts w:ascii="Calibri" w:hAnsi="Calibri" w:cs="Calibri"/>
          <w:sz w:val="22"/>
          <w:szCs w:val="22"/>
        </w:rPr>
        <w:t xml:space="preserve">). For some patients, limited access to specialist care may delay their referral to the transplant waiting list, which can negatively impact on time to transplantation and on outcomes of transplantation.   </w:t>
      </w:r>
    </w:p>
    <w:p w14:paraId="3852DABB" w14:textId="324025B5" w:rsidR="006C6EBA" w:rsidRPr="006720E4" w:rsidRDefault="006C6EBA" w:rsidP="00EA22AE">
      <w:pPr>
        <w:spacing w:after="120"/>
        <w:rPr>
          <w:rFonts w:ascii="Calibri" w:hAnsi="Calibri" w:cs="Calibri"/>
          <w:sz w:val="22"/>
          <w:szCs w:val="22"/>
        </w:rPr>
      </w:pPr>
      <w:r w:rsidRPr="00D11BFA">
        <w:rPr>
          <w:rFonts w:ascii="Calibri" w:hAnsi="Calibri" w:cs="Calibri"/>
          <w:b/>
          <w:bCs/>
          <w:sz w:val="22"/>
          <w:szCs w:val="22"/>
        </w:rPr>
        <w:t>Eligibility</w:t>
      </w:r>
      <w:r w:rsidRPr="00D11BFA">
        <w:rPr>
          <w:rFonts w:ascii="Calibri" w:hAnsi="Calibri" w:cs="Calibri"/>
          <w:sz w:val="22"/>
          <w:szCs w:val="22"/>
        </w:rPr>
        <w:t xml:space="preserve"> for organ transplantation in Australia refers to whether a person is considered eligible to join the waiting list for a deceased donor transplant, not whether they are clinically suitable for transplantation as such (see </w:t>
      </w:r>
      <w:hyperlink w:anchor="_Distinguishing_suitability_to"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6</w:t>
        </w:r>
        <w:r w:rsidRPr="00D11BFA">
          <w:rPr>
            <w:rStyle w:val="Hyperlink"/>
            <w:rFonts w:ascii="Calibri" w:hAnsi="Calibri" w:cs="Calibri"/>
            <w:sz w:val="22"/>
            <w:szCs w:val="22"/>
          </w:rPr>
          <w:t>.5.1.1</w:t>
        </w:r>
      </w:hyperlink>
      <w:r w:rsidRPr="00D11BFA">
        <w:rPr>
          <w:rFonts w:ascii="Calibri" w:hAnsi="Calibri" w:cs="Calibri"/>
          <w:sz w:val="22"/>
          <w:szCs w:val="22"/>
        </w:rPr>
        <w:t>). This means</w:t>
      </w:r>
      <w:r w:rsidRPr="006720E4">
        <w:rPr>
          <w:rFonts w:ascii="Calibri" w:hAnsi="Calibri" w:cs="Calibri"/>
          <w:sz w:val="22"/>
          <w:szCs w:val="22"/>
        </w:rPr>
        <w:t xml:space="preserve"> that although the transplant waiting list provides an important measure of current needs for organ transplantation, it does not accurately capture the extent of potential needs. </w:t>
      </w:r>
    </w:p>
    <w:p w14:paraId="5D9E0C60" w14:textId="7AA5770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Although the organ allocation guidelines provide guidance on determining when a person is eligible to join the waiting list, decision-making about eligibility may be influenced by biases or conflicts of interest, as well as professional perspectives regarding their ethical obligations towards individual patients.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{"citationItems":[{"id":"ITEM-1","itemData":{"DOI":"10.1186/s12882-017-0726-z","ISSN":"14712369","PMID":"29020932","abstract":"Background: Indigenous Australians suffer a disproportionate burden of end stage kidney disease (ESKD) but are significantly less likely to receive a transplant. This study explores Indigenous ESKD patients' views on transplantation as a treatment option. Methods: The Improving Access to Kidney Transplants (IMPAKT) research program investigated barriers to kidney transplantation for Indigenous Australians. An interview study, conducted in 2005-2006, elicited illness experience narratives from 146 Indigenous patients, including views on transplant. Interviews were conducted at 26 sites that collectively treat the majority of Indigenous ESKD patients. Key themes were identified via team consensus meetings, providing a flexible framework and focus for continued coding. Results: Four inter-related themes were identified in patient commentary: a very high level (90% of respondents) of positive interest in transplantation; patients experienced a range of communication difficulties and felt uninformed about transplant; family involvement in decision-making was constrained by inadequate information; and patients needed to negotiate cultural and social sensitivities around transplantation. Conclusions: Indigenous ESKD patients demonstrated an intense interest in transplantation preferring deceased over living kidney donation. Patients believe transplant is the path most likely to support the re-establishment of their 'normal' family life. Patients described themselves as poorly informed; most had only a rudimentary knowledge of the notion of transplant but no understanding of eligibility criteria, the transplant procedure and associated risks. Patients experienced multiple communication barriers that - taken together - undermine their engagement in treatment decision-making. Families and communities are disempowered because they also lack information to reach a shared understanding of transplantation. Cultural sensitivities associated with transplantation were described but these did not appear to constrain patients in making choices about their own health. Transplant units and local treatment providers should collaborate to develop user-friendly, culturally informed and region-specific patient education programs. Quality improvement cycles should underpin the development of national guidelines for patient education. Noting Indigenous patients' intense interest in transplantation, and nephrologists' concerns regarding poor transplant outcomes, research should pr…","author":[{"dropping-particle":"","family":"Devitt","given":"Jeannie","non-dropping-particle":"","parse-names":false,"suffix":""},{"dropping-particle":"","family":"Anderson","given":"Kate","non-dropping-particle":"","parse-names":false,"suffix":""},{"dropping-particle":"","family":"Cunningham","given":"Joan","non-dropping-particle":"","parse-names":false,"suffix":""},{"dropping-particle":"","family":"Preece","given":"Cilla","non-dropping-particle":"","parse-names":false,"suffix":""},{"dropping-particle":"","family":"Snelling","given":"Paul","non-dropping-particle":"","parse-names":false,"suffix":""},{"dropping-particle":"","family":"Cass","given":"Alan","non-dropping-particle":"","parse-names":false,"suffix":""}],"container-title":"BMC Nephrology","id":"ITEM-1","issue":"1","issued":{"date-parts":[["2017"]]},"page":"1-14","publisher":"BMC Nephrology","title":"Difficult conversations: Australian Indigenous patients' views on kidney transplantation","type":"article-journal","volume":"18"},"uris":["http://www.mendeley.com/documents/?uuid=ed26cbec-a2b4-4295-9c12-1eb568408282"]}],"mendeley":{"formattedCitation":"(32)","plainTextFormattedCitation":"(32)","previouslyFormattedCitation":"(32)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(32)</w:t>
      </w:r>
      <w:r w:rsidRPr="006720E4">
        <w:rPr>
          <w:rFonts w:ascii="Calibri" w:hAnsi="Calibri" w:cs="Calibri"/>
          <w:sz w:val="22"/>
          <w:szCs w:val="22"/>
        </w:rPr>
        <w:fldChar w:fldCharType="end"/>
      </w:r>
      <w:r w:rsidRPr="006720E4">
        <w:rPr>
          <w:rFonts w:ascii="Calibri" w:hAnsi="Calibri" w:cs="Calibri"/>
          <w:sz w:val="22"/>
          <w:szCs w:val="22"/>
        </w:rPr>
        <w:t xml:space="preserve"> As </w:t>
      </w:r>
      <w:r w:rsidRPr="00D11BFA">
        <w:rPr>
          <w:rFonts w:ascii="Calibri" w:hAnsi="Calibri" w:cs="Calibri"/>
          <w:sz w:val="22"/>
          <w:szCs w:val="22"/>
        </w:rPr>
        <w:t xml:space="preserve">discussed in </w:t>
      </w:r>
      <w:hyperlink w:anchor="_Evaluating_general_risks" w:history="1">
        <w:r w:rsidR="00D11BFA" w:rsidRPr="00D11BFA">
          <w:rPr>
            <w:rStyle w:val="Hyperlink"/>
            <w:rFonts w:ascii="Calibri" w:hAnsi="Calibri" w:cs="Calibri"/>
            <w:sz w:val="22"/>
            <w:szCs w:val="22"/>
          </w:rPr>
          <w:t>Ch</w:t>
        </w:r>
        <w:r w:rsidRPr="00D11BFA">
          <w:rPr>
            <w:rStyle w:val="Hyperlink"/>
            <w:rFonts w:ascii="Calibri" w:hAnsi="Calibri" w:cs="Calibri"/>
            <w:sz w:val="22"/>
            <w:szCs w:val="22"/>
          </w:rPr>
          <w:t xml:space="preserve">apter </w:t>
        </w:r>
        <w:r w:rsidR="00D11BFA" w:rsidRPr="00D11BFA">
          <w:rPr>
            <w:rStyle w:val="Hyperlink"/>
            <w:rFonts w:ascii="Calibri" w:hAnsi="Calibri" w:cs="Calibri"/>
            <w:sz w:val="22"/>
            <w:szCs w:val="22"/>
          </w:rPr>
          <w:t>6</w:t>
        </w:r>
        <w:r w:rsidRPr="00D11BFA">
          <w:rPr>
            <w:rStyle w:val="Hyperlink"/>
            <w:rFonts w:ascii="Calibri" w:hAnsi="Calibri" w:cs="Calibri"/>
            <w:sz w:val="22"/>
            <w:szCs w:val="22"/>
          </w:rPr>
          <w:t>.5.1</w:t>
        </w:r>
      </w:hyperlink>
      <w:r w:rsidRPr="00D11BFA">
        <w:rPr>
          <w:rFonts w:ascii="Calibri" w:hAnsi="Calibri" w:cs="Calibri"/>
          <w:sz w:val="22"/>
          <w:szCs w:val="22"/>
        </w:rPr>
        <w:t>, it is important</w:t>
      </w:r>
      <w:r w:rsidRPr="006720E4">
        <w:rPr>
          <w:rFonts w:ascii="Calibri" w:hAnsi="Calibri" w:cs="Calibri"/>
          <w:sz w:val="22"/>
          <w:szCs w:val="22"/>
        </w:rPr>
        <w:t xml:space="preserve"> to ensure that decision-making about the proportionality of risks and benefits of transplantation is procedurally fair, and that individuals have the opportunity to appeal against a decision if they believe they have been inappropriately excluded from the waiting list.</w:t>
      </w:r>
    </w:p>
    <w:p w14:paraId="134DB3EB" w14:textId="77777777" w:rsidR="006C6EBA" w:rsidRPr="006720E4" w:rsidRDefault="006C6EBA" w:rsidP="00EA22AE">
      <w:pPr>
        <w:pStyle w:val="Heading4"/>
        <w:spacing w:after="120"/>
      </w:pPr>
      <w:bookmarkStart w:id="3572" w:name="_Eligibility_for_repeat"/>
      <w:bookmarkStart w:id="3573" w:name="_Toc73129898"/>
      <w:bookmarkStart w:id="3574" w:name="_Toc73301765"/>
      <w:bookmarkStart w:id="3575" w:name="_Toc73302271"/>
      <w:bookmarkStart w:id="3576" w:name="_Toc73303404"/>
      <w:bookmarkStart w:id="3577" w:name="_Toc74081549"/>
      <w:bookmarkStart w:id="3578" w:name="_Toc74172326"/>
      <w:bookmarkStart w:id="3579" w:name="_Toc74172862"/>
      <w:bookmarkStart w:id="3580" w:name="_Toc82773668"/>
      <w:bookmarkStart w:id="3581" w:name="_Toc82774021"/>
      <w:bookmarkEnd w:id="3572"/>
      <w:r w:rsidRPr="006720E4">
        <w:t>Eligibility for repeat organ transplantation</w:t>
      </w:r>
      <w:bookmarkEnd w:id="3573"/>
      <w:bookmarkEnd w:id="3574"/>
      <w:bookmarkEnd w:id="3575"/>
      <w:bookmarkEnd w:id="3576"/>
      <w:bookmarkEnd w:id="3577"/>
      <w:bookmarkEnd w:id="3578"/>
      <w:bookmarkEnd w:id="3579"/>
      <w:bookmarkEnd w:id="3580"/>
      <w:bookmarkEnd w:id="3581"/>
    </w:p>
    <w:p w14:paraId="26FBE73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Ethical concerns are sometimes raised when an individual is considered for a second transplant following the failure of a previous graft. These concerns usually relate to justice; specifically, whether offering a second transplant to one individual is fair given other transplant candidates may have had no opportunities for transplantation. </w:t>
      </w:r>
    </w:p>
    <w:p w14:paraId="28E1B5DF"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There may be a perception that a person who has previously received a transplant has already received their “share” of the benefits of transplantation, and thus that other people who have not yet received a transplant should be given priority in allocation. However, in some cases, those who have already received a transplant may well be worse off than those who have not yet been allocated an organ. Public or professional discomfort with repeat transplantation may also reflect assumptions that recipients requiring repeat transplantation may be less deserving, for example due to a perception that they have failed to maintain their transplant.</w:t>
      </w:r>
    </w:p>
    <w:p w14:paraId="760AE8C7" w14:textId="644AF80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Guidelines generally recommend that previous transplants should not be considered in allocation of organs,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{"citationItems":[{"id":"ITEM-1","itemData":{"DOI":"10.1056/nejm200209193471225","ISSN":"0028-4793","abstract":"Background: Existing ethical guidelines recommend that, all else equal, past receipt of a medical resource (e.g. a scarce organ) should not be considered in current allocation decisions (e.g. a repeat transplantation). Discussion: One stated reason for this ethical consensus is that formal theories of ethics and justice do not persuasively accept or reject repeated access to the same medical resources. Another is that restricting attention to past receipt of a particular medical resource seems arbitrary: why couldn’t one just as well, it is argued, consider receipt of other goods such as income or education? In consequence, simple allocation by lottery or first-come-first-served without consideration of any past receipt is thought to best afford equal opportunity, conditional on equal medical need. There are three issues with this view that need to be addressed. First, public views and patient preferences are less ambiguous than formal theories of ethics. Empirical work shows strong preferences for fairness in health care that have not been taken into account: repeated access to resources has been perceived as unfair. Second, while difficult to consider receipt of many other prior resources including non-medical resources, this should not be used a motive for ignoring the receipt of any and all goods including the focal resource in question. Third, when all claimants to a scarce resource are equally deserving, then use of random allocation seems warranted. However, the converse is not true: mere use of a randomizer does not by itself make the merits of all claimants equal. Summary: My conclusion is that not ignoring prior receipt of the same medical resource, and prioritizing those who have not previously had access to the medical resource in question, may be perceived as fairer and more equitable by society.","author":[{"dropping-particle":"","family":"Huesch","given":"Marco D","non-dropping-particle":"","parse-names":false,"suffix":""}],"container-title":"BMC Medical Ethics","id":"ITEM-1","issue":"13","issued":{"date-parts":[["2012"]]},"title":"One and done? Equality of opportunity and repeated access to scarce, indivisible medical resources","type":"article-journal"},"uris":["http://www.mendeley.com/documents/?uuid=2703be91-5f3a-4729-a179-266da28a155f"]}],"mendeley":{"formattedCitation":"(131)","plainTextFormattedCitation":"(131)","previouslyFormattedCitation":"(131)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(131)</w:t>
      </w:r>
      <w:r w:rsidRPr="006720E4">
        <w:rPr>
          <w:rFonts w:ascii="Calibri" w:hAnsi="Calibri" w:cs="Calibri"/>
          <w:sz w:val="22"/>
          <w:szCs w:val="22"/>
        </w:rPr>
        <w:fldChar w:fldCharType="end"/>
      </w:r>
      <w:r w:rsidRPr="006720E4">
        <w:rPr>
          <w:rFonts w:ascii="Calibri" w:hAnsi="Calibri" w:cs="Calibri"/>
          <w:sz w:val="22"/>
          <w:szCs w:val="22"/>
        </w:rPr>
        <w:t xml:space="preserve"> except in so far as information about previous transplantation may inform evaluation of a person’s current situation and their suitability for transplantation and eligibility to be relisted on the waiting list for a deceased donor transplant. Information about the previous transplant(s) may help to inform evaluation of the risks and potential benefits that may be associated with a new transplant or other treatment options, as well as strategies to reduce risks.</w:t>
      </w:r>
    </w:p>
    <w:p w14:paraId="1B91000C" w14:textId="0453F11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A key reason for not considering previous transplants is that organs are typically allocated based on assessment of </w:t>
      </w:r>
      <w:r w:rsidRPr="006720E4">
        <w:rPr>
          <w:rFonts w:ascii="Calibri" w:hAnsi="Calibri" w:cs="Calibri"/>
          <w:i/>
          <w:iCs/>
          <w:sz w:val="22"/>
          <w:szCs w:val="22"/>
        </w:rPr>
        <w:t>current</w:t>
      </w:r>
      <w:r w:rsidRPr="006720E4">
        <w:rPr>
          <w:rFonts w:ascii="Calibri" w:hAnsi="Calibri" w:cs="Calibri"/>
          <w:sz w:val="22"/>
          <w:szCs w:val="22"/>
        </w:rPr>
        <w:t xml:space="preserve"> transplant candidates’ needs and capacity to benefit from transplantation, not on assessment of past benefits. Efforts to increase equality of opportunities for organ transplantation by prioritising candidates who have not previously received a transplant could undermine the achievement of other allocation goals, such as efforts to promote utility and avoid loss of life. </w:t>
      </w:r>
    </w:p>
    <w:p w14:paraId="24BB999D" w14:textId="77777777" w:rsidR="006C6EBA" w:rsidRPr="006720E4" w:rsidRDefault="006C6EBA" w:rsidP="00EA22AE">
      <w:pPr>
        <w:pStyle w:val="Heading4"/>
        <w:spacing w:after="120"/>
      </w:pPr>
      <w:bookmarkStart w:id="3582" w:name="_Access_to_deceased"/>
      <w:bookmarkStart w:id="3583" w:name="_Toc73301766"/>
      <w:bookmarkStart w:id="3584" w:name="_Toc73302272"/>
      <w:bookmarkStart w:id="3585" w:name="_Toc73303405"/>
      <w:bookmarkStart w:id="3586" w:name="_Toc74081550"/>
      <w:bookmarkStart w:id="3587" w:name="_Toc74172327"/>
      <w:bookmarkStart w:id="3588" w:name="_Toc74172863"/>
      <w:bookmarkStart w:id="3589" w:name="_Toc82773669"/>
      <w:bookmarkStart w:id="3590" w:name="_Toc82774022"/>
      <w:bookmarkEnd w:id="3582"/>
      <w:r w:rsidRPr="006720E4">
        <w:t>Access to deceased donor organ transplantation in Australia for international patients</w:t>
      </w:r>
      <w:bookmarkEnd w:id="3583"/>
      <w:bookmarkEnd w:id="3584"/>
      <w:bookmarkEnd w:id="3585"/>
      <w:bookmarkEnd w:id="3586"/>
      <w:bookmarkEnd w:id="3587"/>
      <w:bookmarkEnd w:id="3588"/>
      <w:bookmarkEnd w:id="3589"/>
      <w:bookmarkEnd w:id="3590"/>
    </w:p>
    <w:p w14:paraId="4C00D9ED" w14:textId="08DA597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Another key consideration in determining eligibility to access the waiting list for deceased donor organs in Australia is whether the potential transplant candidate is an international patient. TSANZ defines international patients as ﻿“non-citizens and non-permanent residents of Australia and New Zealand”.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{"citationItems":[{"id":"ITEM-1","itemData":{"DOI":"10.1053/j.ajkd.2011.05.029","ISSN":"15236838","abstract":"Background: Deceased donor kidneys are a scarce resource and there is debate about how to maximize the benefit from each donated kidney while ensuring equity of access to transplants. Allocation of kidneys to waitlisted patients is determined by a computer algorithm, but the decision to waitlist patients or accept the kidneys offered is largely at the discretion of nephrologists. This study aims to elicit nephrologists' perspectives on waitlisting patients for kidney transplant and the allocation of deceased kidneys. Methods: We conducted semistructured face-to-face interviews with adult and pediatric nephrologists from 15 Australian nephrology or transplant centers. Transcripts were analyzed for descriptive and analytical themes. Results: 25 nephrologists participated. 5 major themes on waitlisting and deceased donor kidney allocation were identified: patient advocacy (championing their own patients, empowering patients, giving hope, individualizing judgments, patient preferences, and limited autonomy), professional and moral integrity (transparency, avoiding value judgments, and eliminating bias), protecting center reputation (gatekeeping), achieving equity (uniformity, avoiding discrimination, and fairness for specific populations), and maximizing societal benefit (prioritizing best use of kidney, resource implications, favoring social contribution, and improving efficiency of the allocation process). In making individual patient assessments, estimates about outcomes for a patient had to be resolved with whether it was reasonable from a broader societal perspective. Conclusion: Nephrologists expressed their primary responsibility in terms of giving their own patients access to a transplant and upholding professional integrity by maintaining transparency and avoiding value judgments and bias. However, nephrologists perceived an obligation to protect their center's reputation through the selection of \"good\" patients, and this caused some frustration. Despite having personal preferences for optimizing the balance between societal benefit and equity, nephrologists did not want direct responsibility for ensuring societal benefit in clinical practice. Rather, they placed the onus on policy makers and the community to reconcile such tensions and advocate for societal benefit. © 2011 National Kidney Foundation, Inc.","author":[{"dropping-particle":"","family":"Tong","given":"Allison","non-dropping-particle":"","parse-names":false,"suffix":""},{"dropping-particle":"","family":"Howard","given":"Kirsten","non-dropping-particle":"","parse-names":false,"suffix":""},{"dropping-particle":"","family":"Wong","given":"Germaine","non-dropping-particle":"","parse-names":false,"suffix":""},{"dropping-particle":"","family":"Cass","given":"Alan","non-dropping-particle":"","parse-names":false,"suffix":""},{"dropping-particle":"","family":"Jan","given":"Stephen","non-dropping-particle":"","parse-names":false,"suffix":""},{"dropping-particle":"","family":"Irving","given":"Michelle","non-dropping-particle":"","parse-names":false,"suffix":""},{"dropping-particle":"","family":"Craig","given":"Jonathan C.","non-dropping-particle":"","parse-names":false,"suffix":""}],"container-title":"American Journal of Kidney Diseases","id":"ITEM-1","issue":"5","issued":{"date-parts":[["2011"]]},"page":"704-716","publisher":"Elsevier Inc.","title":"Nephrologists' perspectives on waitlisting and allocation of deceased donor kidneys for transplant","type":"article-journal","volume":"58"},"uris":["http://www.mendeley.com/documents/?uuid=2f6278e6-6e79-4a62-80f3-5640b770d27f"]}],"mendeley":{"formattedCitation":"(132)","plainTextFormattedCitation":"(132)","previouslyFormattedCitation":"(132)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(132)</w:t>
      </w:r>
      <w:r w:rsidRPr="006720E4">
        <w:rPr>
          <w:rFonts w:ascii="Calibri" w:hAnsi="Calibri" w:cs="Calibri"/>
          <w:sz w:val="22"/>
          <w:szCs w:val="22"/>
        </w:rPr>
        <w:fldChar w:fldCharType="end"/>
      </w:r>
      <w:r w:rsidRPr="006720E4">
        <w:rPr>
          <w:rFonts w:ascii="Calibri" w:hAnsi="Calibri" w:cs="Calibri"/>
          <w:sz w:val="22"/>
          <w:szCs w:val="22"/>
        </w:rPr>
        <w:t xml:space="preserve"> This topic is </w:t>
      </w:r>
      <w:r w:rsidRPr="00D11BFA">
        <w:rPr>
          <w:rFonts w:ascii="Calibri" w:hAnsi="Calibri" w:cs="Calibri"/>
          <w:sz w:val="22"/>
          <w:szCs w:val="22"/>
        </w:rPr>
        <w:t xml:space="preserve">discussed in </w:t>
      </w:r>
      <w:hyperlink w:anchor="_People_traveling_to"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9</w:t>
        </w:r>
        <w:r w:rsidRPr="00D11BFA">
          <w:rPr>
            <w:rStyle w:val="Hyperlink"/>
            <w:rFonts w:ascii="Calibri" w:hAnsi="Calibri" w:cs="Calibri"/>
            <w:sz w:val="22"/>
            <w:szCs w:val="22"/>
          </w:rPr>
          <w:t>.4.3</w:t>
        </w:r>
      </w:hyperlink>
      <w:r w:rsidRPr="00D11BFA">
        <w:rPr>
          <w:rFonts w:ascii="Calibri" w:hAnsi="Calibri" w:cs="Calibri"/>
          <w:sz w:val="22"/>
          <w:szCs w:val="22"/>
        </w:rPr>
        <w:t>.</w:t>
      </w:r>
    </w:p>
    <w:p w14:paraId="57B53449" w14:textId="77777777" w:rsidR="006C6EBA" w:rsidRPr="006720E4" w:rsidRDefault="006C6EBA" w:rsidP="00EA22AE">
      <w:pPr>
        <w:pStyle w:val="Heading2"/>
        <w:spacing w:after="120"/>
      </w:pPr>
      <w:bookmarkStart w:id="3591" w:name="_Allocation_of_deceased"/>
      <w:bookmarkStart w:id="3592" w:name="_Toc70328754"/>
      <w:bookmarkStart w:id="3593" w:name="_Toc70333984"/>
      <w:bookmarkStart w:id="3594" w:name="_Toc70414918"/>
      <w:bookmarkStart w:id="3595" w:name="_Toc70844236"/>
      <w:bookmarkStart w:id="3596" w:name="_Toc70859007"/>
      <w:bookmarkStart w:id="3597" w:name="_Toc70861108"/>
      <w:bookmarkStart w:id="3598" w:name="_Toc70876593"/>
      <w:bookmarkStart w:id="3599" w:name="_Toc72615171"/>
      <w:bookmarkStart w:id="3600" w:name="_Toc73129893"/>
      <w:bookmarkStart w:id="3601" w:name="_Toc73301767"/>
      <w:bookmarkStart w:id="3602" w:name="_Toc73302273"/>
      <w:bookmarkStart w:id="3603" w:name="_Toc73303406"/>
      <w:bookmarkStart w:id="3604" w:name="_Toc73303630"/>
      <w:bookmarkStart w:id="3605" w:name="_Toc74080747"/>
      <w:bookmarkStart w:id="3606" w:name="_Toc74081055"/>
      <w:bookmarkStart w:id="3607" w:name="_Toc74081285"/>
      <w:bookmarkStart w:id="3608" w:name="_Toc74081551"/>
      <w:bookmarkStart w:id="3609" w:name="_Toc74171116"/>
      <w:bookmarkStart w:id="3610" w:name="_Toc74172328"/>
      <w:bookmarkStart w:id="3611" w:name="_Toc74172864"/>
      <w:bookmarkStart w:id="3612" w:name="_Toc74238790"/>
      <w:bookmarkStart w:id="3613" w:name="_Toc78304782"/>
      <w:bookmarkStart w:id="3614" w:name="_Toc79330875"/>
      <w:bookmarkStart w:id="3615" w:name="_Toc79331255"/>
      <w:bookmarkStart w:id="3616" w:name="_Toc79406432"/>
      <w:bookmarkStart w:id="3617" w:name="_Toc82773670"/>
      <w:bookmarkStart w:id="3618" w:name="_Toc82774023"/>
      <w:bookmarkStart w:id="3619" w:name="_Toc128314224"/>
      <w:bookmarkStart w:id="3620" w:name="_Toc135131469"/>
      <w:bookmarkEnd w:id="3591"/>
      <w:r w:rsidRPr="006720E4">
        <w:t>Allocation of deceased donor organs</w:t>
      </w:r>
      <w:bookmarkEnd w:id="3565"/>
      <w:bookmarkEnd w:id="3566"/>
      <w:bookmarkEnd w:id="3567"/>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r w:rsidRPr="006720E4">
        <w:t xml:space="preserve"> </w:t>
      </w:r>
    </w:p>
    <w:p w14:paraId="5DA3B08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deceased donor organs represent an exceptional public resource, the values that underpin their allocation among members of the public should be consistent with societal values. The procedures governing, and outcomes of organ allocation should also be open to public scrutiny. However, allocation policies may not always be in perfect alignment with the expressed values and priorities of the public. This is because public opinion is not always a consensus, and because trade-offs between some goals or values may be necessary to achieve a functional allocation system. </w:t>
      </w:r>
    </w:p>
    <w:p w14:paraId="6BB82D57" w14:textId="4ED291F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Most people are supportive of organ allocation frameworks that consider utility, avoiding waste and striving to make the most of donations, as well as equality of opportunity, aiming to give more people the chance to benefit from transplantation. </w:t>
      </w:r>
      <w:r w:rsidRPr="00D11BFA">
        <w:rPr>
          <w:rFonts w:ascii="Calibri" w:hAnsi="Calibri" w:cs="Calibri"/>
          <w:sz w:val="22"/>
          <w:szCs w:val="22"/>
        </w:rPr>
        <w:t xml:space="preserve">The currently adopted TSANZ guidelines for organ allocation in Australia reflect these goals (see </w:t>
      </w:r>
      <w:hyperlink w:anchor="_TSANZ_guidelines_for"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.4.1</w:t>
        </w:r>
      </w:hyperlink>
      <w:r w:rsidRPr="00D11BFA">
        <w:rPr>
          <w:rFonts w:ascii="Calibri" w:hAnsi="Calibri" w:cs="Calibri"/>
          <w:sz w:val="22"/>
          <w:szCs w:val="22"/>
        </w:rPr>
        <w:t xml:space="preserve">). Several other considerations, such as helping those most in need (the rule of rescue), and avoiding consideration of discriminatory factors such as race, gender or religion are also commonly invoked in surveys of public and professional opinions about organ allocation, as discussed in </w:t>
      </w:r>
      <w:hyperlink w:anchor="_Potential_considerations_in"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.4.2</w:t>
        </w:r>
      </w:hyperlink>
      <w:r w:rsidRPr="00D11BFA">
        <w:rPr>
          <w:rFonts w:ascii="Calibri" w:hAnsi="Calibri" w:cs="Calibri"/>
          <w:sz w:val="22"/>
          <w:szCs w:val="22"/>
        </w:rPr>
        <w:t>.</w:t>
      </w:r>
    </w:p>
    <w:p w14:paraId="13B05DF1" w14:textId="65EDE59D" w:rsidR="006C6EBA" w:rsidRPr="006720E4" w:rsidRDefault="006C6EBA" w:rsidP="00EA22AE">
      <w:pPr>
        <w:pStyle w:val="Heading3"/>
        <w:spacing w:after="120"/>
      </w:pPr>
      <w:bookmarkStart w:id="3621" w:name="_TSANZ_guidelines_for"/>
      <w:bookmarkStart w:id="3622" w:name="_Toc79406433"/>
      <w:bookmarkStart w:id="3623" w:name="_Toc82773671"/>
      <w:bookmarkStart w:id="3624" w:name="_Toc82774024"/>
      <w:bookmarkEnd w:id="3621"/>
      <w:r w:rsidRPr="006720E4">
        <w:t>TSANZ guidelines for allocation of deceased donor organs</w:t>
      </w:r>
      <w:bookmarkEnd w:id="3622"/>
      <w:bookmarkEnd w:id="3623"/>
      <w:bookmarkEnd w:id="3624"/>
      <w:r w:rsidRPr="006720E4">
        <w:t xml:space="preserve"> </w:t>
      </w:r>
    </w:p>
    <w:p w14:paraId="7010996D" w14:textId="0C4A73C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Transplantation Society of Australia and New Zealand (TSANZ) has established </w:t>
      </w:r>
      <w:r w:rsidRPr="006720E4">
        <w:rPr>
          <w:rFonts w:ascii="Calibri" w:eastAsiaTheme="majorEastAsia" w:hAnsi="Calibri" w:cs="Calibri"/>
          <w:sz w:val="22"/>
          <w:szCs w:val="22"/>
        </w:rPr>
        <w:t>clinical guidelines</w:t>
      </w:r>
      <w:r w:rsidRPr="006720E4">
        <w:rPr>
          <w:rFonts w:ascii="Calibri" w:hAnsi="Calibri" w:cs="Calibri"/>
          <w:sz w:val="22"/>
          <w:szCs w:val="22"/>
        </w:rPr>
        <w:t xml:space="preserve"> that govern allocation of organ from deceased donors within Australia.</w:t>
      </w:r>
      <w:r w:rsidRPr="006720E4">
        <w:rPr>
          <w:rFonts w:ascii="Calibri" w:hAnsi="Calibri" w:cs="Calibri"/>
          <w:sz w:val="22"/>
          <w:szCs w:val="22"/>
        </w:rPr>
        <w:fldChar w:fldCharType="begin" w:fldLock="1"/>
      </w:r>
      <w:r w:rsidR="00485565" w:rsidRPr="006720E4">
        <w:rPr>
          <w:rFonts w:ascii="Calibri" w:hAnsi="Calibri" w:cs="Calibri"/>
          <w:sz w:val="22"/>
          <w:szCs w:val="22"/>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Pr="006720E4">
        <w:rPr>
          <w:rFonts w:ascii="Calibri" w:hAnsi="Calibri" w:cs="Calibri"/>
          <w:sz w:val="22"/>
          <w:szCs w:val="22"/>
        </w:rPr>
        <w:fldChar w:fldCharType="separate"/>
      </w:r>
      <w:r w:rsidR="00485565" w:rsidRPr="006720E4">
        <w:rPr>
          <w:rFonts w:ascii="Calibri" w:hAnsi="Calibri" w:cs="Calibri"/>
          <w:noProof/>
          <w:sz w:val="22"/>
          <w:szCs w:val="22"/>
        </w:rPr>
        <w:t>(12)</w:t>
      </w:r>
      <w:r w:rsidRPr="006720E4">
        <w:rPr>
          <w:rFonts w:ascii="Calibri" w:hAnsi="Calibri" w:cs="Calibri"/>
          <w:sz w:val="22"/>
          <w:szCs w:val="22"/>
        </w:rPr>
        <w:fldChar w:fldCharType="end"/>
      </w:r>
      <w:r w:rsidRPr="006720E4">
        <w:rPr>
          <w:rFonts w:ascii="Calibri" w:hAnsi="Calibri" w:cs="Calibri"/>
          <w:sz w:val="22"/>
          <w:szCs w:val="22"/>
        </w:rPr>
        <w:t xml:space="preserve"> Allocation frameworks have been designed specifically for particular types of organ transplantation and provide information regarding the clinical criteria that are used to guide decision-making in particular circumstances. The guidelines have been designed with the aim of promoting equality of opportunity for transplantation (referred to as “equity” in the TSANZ guidelines) while striving to maximise utility, which is broadly defined as benefits of transplantation for individuals. </w:t>
      </w:r>
    </w:p>
    <w:p w14:paraId="47DAD140" w14:textId="781357A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practice, the allocation guidelines primarily use expected survival following transplantation as a measure of utility, although expected quality of life is a key consideration of decision-making about eligibility for transplantation. Length of time waiting for a transplant, the quality of the match between potential transplant candidates and available organs, logistical considerations and the immediate risk to a transplant candidate’s life are all highlighted as relevant criteria which are considered to a varying extent in the context of different organs.</w:t>
      </w:r>
    </w:p>
    <w:p w14:paraId="309A5865"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guidelines highlight the following considerations as ethically relevant in decisions regarding organ allocation and eligibility for transplantation:</w:t>
      </w:r>
    </w:p>
    <w:p w14:paraId="2C3DF3DC" w14:textId="77777777" w:rsidR="006C6EBA" w:rsidRPr="006720E4" w:rsidRDefault="006C6EBA" w:rsidP="00EA22AE">
      <w:pPr>
        <w:pStyle w:val="Bullet"/>
        <w:spacing w:after="120"/>
        <w:contextualSpacing w:val="0"/>
        <w:rPr>
          <w:rFonts w:cs="Calibri"/>
          <w:i/>
          <w:iCs/>
        </w:rPr>
      </w:pPr>
      <w:r w:rsidRPr="006720E4">
        <w:rPr>
          <w:rFonts w:cs="Calibri"/>
          <w:i/>
          <w:iCs/>
        </w:rPr>
        <w:t>Relative urgency of need</w:t>
      </w:r>
    </w:p>
    <w:p w14:paraId="5FC0F83E" w14:textId="77777777" w:rsidR="006C6EBA" w:rsidRPr="006720E4" w:rsidRDefault="006C6EBA" w:rsidP="00EA22AE">
      <w:pPr>
        <w:pStyle w:val="Bullet"/>
        <w:spacing w:after="120"/>
        <w:contextualSpacing w:val="0"/>
        <w:rPr>
          <w:rFonts w:cs="Calibri"/>
          <w:i/>
          <w:iCs/>
        </w:rPr>
      </w:pPr>
      <w:r w:rsidRPr="006720E4">
        <w:rPr>
          <w:rFonts w:cs="Calibri"/>
          <w:i/>
          <w:iCs/>
        </w:rPr>
        <w:t>Medical factors which affect likelihood of success (e.g., comorbidities, tissue matching)</w:t>
      </w:r>
    </w:p>
    <w:p w14:paraId="09003AA5" w14:textId="77777777" w:rsidR="006C6EBA" w:rsidRPr="006720E4" w:rsidRDefault="006C6EBA" w:rsidP="00EA22AE">
      <w:pPr>
        <w:pStyle w:val="Bullet"/>
        <w:spacing w:after="120"/>
        <w:contextualSpacing w:val="0"/>
        <w:rPr>
          <w:rFonts w:cs="Calibri"/>
          <w:i/>
          <w:iCs/>
        </w:rPr>
      </w:pPr>
      <w:r w:rsidRPr="006720E4">
        <w:rPr>
          <w:rFonts w:cs="Calibri"/>
          <w:i/>
          <w:iCs/>
        </w:rPr>
        <w:t>Relative severity of illness and disability</w:t>
      </w:r>
    </w:p>
    <w:p w14:paraId="68D6706E" w14:textId="77777777" w:rsidR="006C6EBA" w:rsidRPr="006720E4" w:rsidRDefault="006C6EBA" w:rsidP="00EA22AE">
      <w:pPr>
        <w:pStyle w:val="Bullet"/>
        <w:spacing w:after="120"/>
        <w:contextualSpacing w:val="0"/>
        <w:rPr>
          <w:rFonts w:cs="Calibri"/>
          <w:i/>
          <w:iCs/>
        </w:rPr>
      </w:pPr>
      <w:r w:rsidRPr="006720E4">
        <w:rPr>
          <w:rFonts w:cs="Calibri"/>
          <w:i/>
          <w:iCs/>
        </w:rPr>
        <w:lastRenderedPageBreak/>
        <w:t>Relative length of time on the waiting list</w:t>
      </w:r>
    </w:p>
    <w:p w14:paraId="05A41769" w14:textId="214BAD05" w:rsidR="006C6EBA" w:rsidRPr="006720E4" w:rsidRDefault="006C6EBA" w:rsidP="00EA22AE">
      <w:pPr>
        <w:pStyle w:val="Bullet"/>
        <w:spacing w:after="120"/>
        <w:contextualSpacing w:val="0"/>
        <w:rPr>
          <w:rFonts w:cs="Calibri"/>
          <w:i/>
          <w:iCs/>
        </w:rPr>
      </w:pPr>
      <w:r w:rsidRPr="006720E4">
        <w:rPr>
          <w:rFonts w:cs="Calibri"/>
          <w:i/>
          <w:iCs/>
          <w:szCs w:val="22"/>
        </w:rPr>
        <w:t>Likelihood that the recipient will be able to comply with the necessary ongoing treatment after transplantation.</w:t>
      </w:r>
      <w:r w:rsidRPr="006720E4">
        <w:rPr>
          <w:rFonts w:cs="Calibri"/>
          <w:i/>
          <w:iCs/>
          <w:szCs w:val="22"/>
        </w:rPr>
        <w:fldChar w:fldCharType="begin" w:fldLock="1"/>
      </w:r>
      <w:r w:rsidR="00485565" w:rsidRPr="006720E4">
        <w:rPr>
          <w:rFonts w:cs="Calibri"/>
          <w:i/>
          <w:iCs/>
          <w:szCs w:val="22"/>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Pr="006720E4">
        <w:rPr>
          <w:rFonts w:cs="Calibri"/>
          <w:i/>
          <w:iCs/>
          <w:szCs w:val="22"/>
        </w:rPr>
        <w:fldChar w:fldCharType="separate"/>
      </w:r>
      <w:r w:rsidR="00485565" w:rsidRPr="006720E4">
        <w:rPr>
          <w:rFonts w:cs="Calibri"/>
          <w:iCs/>
          <w:noProof/>
          <w:szCs w:val="22"/>
        </w:rPr>
        <w:t>(12)</w:t>
      </w:r>
      <w:r w:rsidRPr="006720E4">
        <w:rPr>
          <w:rFonts w:cs="Calibri"/>
          <w:i/>
          <w:iCs/>
          <w:szCs w:val="22"/>
        </w:rPr>
        <w:fldChar w:fldCharType="end"/>
      </w:r>
      <w:r w:rsidRPr="006720E4">
        <w:rPr>
          <w:rFonts w:cs="Calibri"/>
          <w:i/>
          <w:iCs/>
        </w:rPr>
        <w:t xml:space="preserve"> </w:t>
      </w:r>
    </w:p>
    <w:p w14:paraId="0322DCC2" w14:textId="77777777" w:rsidR="006C6EBA" w:rsidRPr="006720E4" w:rsidRDefault="006C6EBA" w:rsidP="00EA22AE">
      <w:pPr>
        <w:pStyle w:val="Heading3"/>
        <w:spacing w:after="120"/>
      </w:pPr>
      <w:bookmarkStart w:id="3625" w:name="_Potential_considerations_in"/>
      <w:bookmarkStart w:id="3626" w:name="_Toc72615172"/>
      <w:bookmarkStart w:id="3627" w:name="_Toc73129894"/>
      <w:bookmarkStart w:id="3628" w:name="_Toc73301768"/>
      <w:bookmarkStart w:id="3629" w:name="_Toc73302274"/>
      <w:bookmarkStart w:id="3630" w:name="_Toc73303407"/>
      <w:bookmarkStart w:id="3631" w:name="_Toc73303631"/>
      <w:bookmarkStart w:id="3632" w:name="_Toc74080748"/>
      <w:bookmarkStart w:id="3633" w:name="_Toc74081056"/>
      <w:bookmarkStart w:id="3634" w:name="_Toc74081286"/>
      <w:bookmarkStart w:id="3635" w:name="_Toc74081552"/>
      <w:bookmarkStart w:id="3636" w:name="_Toc74171117"/>
      <w:bookmarkStart w:id="3637" w:name="_Toc74172329"/>
      <w:bookmarkStart w:id="3638" w:name="_Toc74172865"/>
      <w:bookmarkStart w:id="3639" w:name="_Toc74238791"/>
      <w:bookmarkStart w:id="3640" w:name="_Toc79406434"/>
      <w:bookmarkStart w:id="3641" w:name="_Toc82773672"/>
      <w:bookmarkStart w:id="3642" w:name="_Toc82774025"/>
      <w:bookmarkStart w:id="3643" w:name="_Toc63683430"/>
      <w:bookmarkStart w:id="3644" w:name="_Toc70241773"/>
      <w:bookmarkStart w:id="3645" w:name="_Toc70243408"/>
      <w:bookmarkStart w:id="3646" w:name="_Toc70414878"/>
      <w:bookmarkStart w:id="3647" w:name="_Toc70844200"/>
      <w:bookmarkEnd w:id="3625"/>
      <w:r w:rsidRPr="006720E4">
        <w:t>Potential considerations in deceased donor organ allocation</w:t>
      </w:r>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r w:rsidRPr="006720E4">
        <w:t xml:space="preserve"> </w:t>
      </w:r>
    </w:p>
    <w:p w14:paraId="6B7BA822" w14:textId="6451919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additional principles or values are often discussed in the context of deceased donor organ allocation, which we briefly examine in the following sections. Additional considerations </w:t>
      </w:r>
      <w:r w:rsidR="00D11BFA">
        <w:rPr>
          <w:rFonts w:ascii="Calibri" w:hAnsi="Calibri" w:cs="Calibri"/>
          <w:sz w:val="22"/>
          <w:szCs w:val="22"/>
        </w:rPr>
        <w:t>relating to</w:t>
      </w:r>
      <w:r w:rsidRPr="006720E4">
        <w:rPr>
          <w:rFonts w:ascii="Calibri" w:hAnsi="Calibri" w:cs="Calibri"/>
          <w:sz w:val="22"/>
          <w:szCs w:val="22"/>
        </w:rPr>
        <w:t xml:space="preserve"> directed or conditional donation of deceased donor organs are explored in </w:t>
      </w:r>
      <w:hyperlink w:anchor="_Toc70415003" w:history="1">
        <w:r w:rsidRPr="006720E4">
          <w:rPr>
            <w:rStyle w:val="Hyperlink"/>
            <w:rFonts w:ascii="Calibri" w:hAnsi="Calibri" w:cs="Calibri"/>
            <w:sz w:val="22"/>
            <w:szCs w:val="22"/>
          </w:rPr>
          <w:t>Chapter 1</w:t>
        </w:r>
        <w:r w:rsidR="00D11BFA">
          <w:rPr>
            <w:rStyle w:val="Hyperlink"/>
            <w:rFonts w:ascii="Calibri" w:hAnsi="Calibri" w:cs="Calibri"/>
            <w:sz w:val="22"/>
            <w:szCs w:val="22"/>
          </w:rPr>
          <w:t>2</w:t>
        </w:r>
        <w:r w:rsidRPr="006720E4">
          <w:rPr>
            <w:rStyle w:val="Hyperlink"/>
            <w:rFonts w:ascii="Calibri" w:hAnsi="Calibri" w:cs="Calibri"/>
            <w:sz w:val="22"/>
            <w:szCs w:val="22"/>
          </w:rPr>
          <w:t>.3</w:t>
        </w:r>
      </w:hyperlink>
      <w:r w:rsidRPr="006720E4">
        <w:rPr>
          <w:rFonts w:ascii="Calibri" w:hAnsi="Calibri" w:cs="Calibri"/>
          <w:sz w:val="22"/>
          <w:szCs w:val="22"/>
        </w:rPr>
        <w:t xml:space="preserve">. </w:t>
      </w:r>
    </w:p>
    <w:p w14:paraId="01EE2043" w14:textId="3763858B" w:rsidR="006C6EBA" w:rsidRPr="006720E4" w:rsidRDefault="006C6EBA" w:rsidP="00EA22AE">
      <w:pPr>
        <w:pStyle w:val="Heading4"/>
        <w:spacing w:after="120"/>
      </w:pPr>
      <w:bookmarkStart w:id="3648" w:name="_Prioritisation_according_to"/>
      <w:bookmarkStart w:id="3649" w:name="_Toc73301769"/>
      <w:bookmarkStart w:id="3650" w:name="_Toc73302275"/>
      <w:bookmarkStart w:id="3651" w:name="_Toc73303408"/>
      <w:bookmarkStart w:id="3652" w:name="_Toc74081553"/>
      <w:bookmarkStart w:id="3653" w:name="_Toc74172330"/>
      <w:bookmarkStart w:id="3654" w:name="_Toc74172866"/>
      <w:bookmarkStart w:id="3655" w:name="_Toc82773673"/>
      <w:bookmarkStart w:id="3656" w:name="_Toc82774026"/>
      <w:bookmarkStart w:id="3657" w:name="_Toc72615173"/>
      <w:bookmarkStart w:id="3658" w:name="_Toc73129895"/>
      <w:bookmarkEnd w:id="3648"/>
      <w:r w:rsidRPr="006720E4">
        <w:t>Prioritisation according to age</w:t>
      </w:r>
      <w:bookmarkEnd w:id="3649"/>
      <w:bookmarkEnd w:id="3650"/>
      <w:bookmarkEnd w:id="3651"/>
      <w:bookmarkEnd w:id="3652"/>
      <w:bookmarkEnd w:id="3653"/>
      <w:bookmarkEnd w:id="3654"/>
      <w:bookmarkEnd w:id="3655"/>
      <w:bookmarkEnd w:id="3656"/>
      <w:r w:rsidRPr="006720E4">
        <w:t xml:space="preserve"> </w:t>
      </w:r>
      <w:bookmarkEnd w:id="3657"/>
      <w:bookmarkEnd w:id="3658"/>
    </w:p>
    <w:p w14:paraId="275850C8" w14:textId="3FD8BC7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considering the allocation of scarce health resources, or other resources with potential lifesaving implications, many people commonly express a preference to prioritise the needs of children</w:t>
      </w:r>
      <w:r w:rsidR="003443CE">
        <w:rPr>
          <w:rFonts w:ascii="Calibri" w:hAnsi="Calibri" w:cs="Calibri"/>
          <w:sz w:val="22"/>
          <w:szCs w:val="22"/>
        </w:rPr>
        <w:t xml:space="preserve"> or younger people</w:t>
      </w:r>
      <w:r w:rsidRPr="006720E4">
        <w:rPr>
          <w:rFonts w:ascii="Calibri" w:hAnsi="Calibri" w:cs="Calibri"/>
          <w:sz w:val="22"/>
          <w:szCs w:val="22"/>
        </w:rPr>
        <w:t>.</w:t>
      </w:r>
      <w:r w:rsidR="003443CE">
        <w:rPr>
          <w:rFonts w:ascii="Calibri" w:hAnsi="Calibri" w:cs="Calibri"/>
          <w:sz w:val="22"/>
          <w:szCs w:val="22"/>
        </w:rPr>
        <w:t xml:space="preserve"> Organ allocation policies often include a degree of prioritisation of children.</w:t>
      </w:r>
      <w:r w:rsidR="003443CE">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{"citationItems":[{"id":"ITEM-1","itemData":{"DOI":"10.1016/j.trre.2020.100543","ISSN":"15579816","PMID":"32222342","abstract":"Background: Organ allocation guidelines in many countries give children relative priority, but the normative justification of child priority is seldom articulated. Methodology: We conducted a scoping review of the recent international literature (2013–2019) to identify moral positions and normative frameworks to justify or criticize pediatric priority in all kind of organ allocation. We identified 11 relevant papers. Results: Our analysis revealed a complex juxtaposition of pro and contra argumentations along three main normative lines: a) equal treatment of each individual, b) individual benefit, and c) social benefit and the public good. The general type of argument can be found independent of the organ allocated. For each of these three lines we identified and categorized two types of argumentations: those in favor and those critical of the priority rule. Additionally, we discuss a problematic issue that has not yet been mentioned in the literature, namely the effects of age thresholds related to child-priority rules in organ allocation. We illustrate this problem with an analysis of selected German data with allocated postmortal kidneys and livers. These data show non-normal distributions of organ transplantations and waiting times for patients between the ages of 16 and 19. Discussion: Our overview serves as a matrix to reconsider existing guideline policy. The review can assist policy makers or experts on organ allocation committees in increasing the transparency of child priority rules, in explaining their justifications, and in reforming existing guidelines.","author":[{"dropping-particle":"","family":"Schicktanz","given":"Silke","non-dropping-particle":"","parse-names":false,"suffix":""},{"dropping-particle":"","family":"Simon","given":"Alfred","non-dropping-particle":"","parse-names":false,"suffix":""},{"dropping-particle":"","family":"Raphael","given":"Susanne","non-dropping-particle":"","parse-names":false,"suffix":""},{"dropping-particle":"","family":"Ahlert","given":"Marlies","non-dropping-particle":"","parse-names":false,"suffix":""}],"container-title":"Transplantation Reviews","id":"ITEM-1","issue":"3","issued":{"date-parts":[["2020"]]},"page":"100543","publisher":"Elsevier Inc.","title":"The ethical debate over child priority in post-mortem organ allocation: A scoping review and practical-ethical outlook","type":"article-journal","volume":"34"},"uris":["http://www.mendeley.com/documents/?uuid=793951e2-03e8-4881-904c-87098be71367"]}],"mendeley":{"formattedCitation":"(133)","plainTextFormattedCitation":"(133)","previouslyFormattedCitation":"(133)"},"properties":{"noteIndex":0},"schema":"https://github.com/citation-style-language/schema/raw/master/csl-citation.json"}</w:instrText>
      </w:r>
      <w:r w:rsidR="003443CE">
        <w:rPr>
          <w:rFonts w:ascii="Calibri" w:hAnsi="Calibri" w:cs="Calibri"/>
          <w:sz w:val="22"/>
          <w:szCs w:val="22"/>
        </w:rPr>
        <w:fldChar w:fldCharType="separate"/>
      </w:r>
      <w:r w:rsidR="00BA3D76" w:rsidRPr="00BA3D76">
        <w:rPr>
          <w:rFonts w:ascii="Calibri" w:hAnsi="Calibri" w:cs="Calibri"/>
          <w:noProof/>
          <w:sz w:val="22"/>
          <w:szCs w:val="22"/>
        </w:rPr>
        <w:t>(133)</w:t>
      </w:r>
      <w:r w:rsidR="003443CE">
        <w:rPr>
          <w:rFonts w:ascii="Calibri" w:hAnsi="Calibri" w:cs="Calibri"/>
          <w:sz w:val="22"/>
          <w:szCs w:val="22"/>
        </w:rPr>
        <w:fldChar w:fldCharType="end"/>
      </w:r>
      <w:r w:rsidRPr="006720E4">
        <w:rPr>
          <w:rFonts w:ascii="Calibri" w:hAnsi="Calibri" w:cs="Calibri"/>
          <w:sz w:val="22"/>
          <w:szCs w:val="22"/>
        </w:rPr>
        <w:t xml:space="preserve"> This may reflect consideration of the “fair innings” </w:t>
      </w:r>
      <w:r w:rsidRPr="00D11BFA">
        <w:rPr>
          <w:rFonts w:ascii="Calibri" w:hAnsi="Calibri" w:cs="Calibri"/>
          <w:sz w:val="22"/>
          <w:szCs w:val="22"/>
        </w:rPr>
        <w:t xml:space="preserve">principle (see </w:t>
      </w:r>
      <w:hyperlink r:id="rId123" w:anchor="_"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.2.1.2</w:t>
        </w:r>
      </w:hyperlink>
      <w:r w:rsidRPr="00D11BFA">
        <w:rPr>
          <w:rFonts w:ascii="Calibri" w:hAnsi="Calibri" w:cs="Calibri"/>
          <w:sz w:val="22"/>
          <w:szCs w:val="22"/>
        </w:rPr>
        <w:t>), the</w:t>
      </w:r>
      <w:r w:rsidRPr="006720E4">
        <w:rPr>
          <w:rFonts w:ascii="Calibri" w:hAnsi="Calibri" w:cs="Calibri"/>
          <w:sz w:val="22"/>
          <w:szCs w:val="22"/>
        </w:rPr>
        <w:t xml:space="preserve"> belief or expectation that utility will be maximised by treating children (on the assumption children will live longer than an older person receiving the same resource), and/or the belief that there is a special ethical obligation to care for children. </w:t>
      </w:r>
    </w:p>
    <w:p w14:paraId="021FC31B" w14:textId="29E1CAE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consideration is giving to prioritising children – to some extent – in organ allocation, it is important to determine whether this is aimed at maximising the therapeutic gains of transplantation, helping to ensure that children achieve a more normal life span, or simply helping more children to have opportunities for transplantation. Depending on the clinical circumstances and the organ allocation system as a whole, these goals may not necessarily be achieved by prioritisation, and additional or alternative adjustments to allocation protocols may be needed.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{"citationItems":[{"id":"ITEM-1","itemData":{"DOI":"10.1016/j.trre.2020.100543","ISSN":"15579816","PMID":"32222342","abstract":"Background: Organ allocation guidelines in many countries give children relative priority, but the normative justification of child priority is seldom articulated. Methodology: We conducted a scoping review of the recent international literature (2013–2019) to identify moral positions and normative frameworks to justify or criticize pediatric priority in all kind of organ allocation. We identified 11 relevant papers. Results: Our analysis revealed a complex juxtaposition of pro and contra argumentations along three main normative lines: a) equal treatment of each individual, b) individual benefit, and c) social benefit and the public good. The general type of argument can be found independent of the organ allocated. For each of these three lines we identified and categorized two types of argumentations: those in favor and those critical of the priority rule. Additionally, we discuss a problematic issue that has not yet been mentioned in the literature, namely the effects of age thresholds related to child-priority rules in organ allocation. We illustrate this problem with an analysis of selected German data with allocated postmortal kidneys and livers. These data show non-normal distributions of organ transplantations and waiting times for patients between the ages of 16 and 19. Discussion: Our overview serves as a matrix to reconsider existing guideline policy. The review can assist policy makers or experts on organ allocation committees in increasing the transparency of child priority rules, in explaining their justifications, and in reforming existing guidelines.","author":[{"dropping-particle":"","family":"Schicktanz","given":"Silke","non-dropping-particle":"","parse-names":false,"suffix":""},{"dropping-particle":"","family":"Simon","given":"Alfred","non-dropping-particle":"","parse-names":false,"suffix":""},{"dropping-particle":"","family":"Raphael","given":"Susanne","non-dropping-particle":"","parse-names":false,"suffix":""},{"dropping-particle":"","family":"Ahlert","given":"Marlies","non-dropping-particle":"","parse-names":false,"suffix":""}],"container-title":"Transplantation Reviews","id":"ITEM-1","issue":"3","issued":{"date-parts":[["2020"]]},"page":"100543","publisher":"Elsevier Inc.","title":"The ethical debate over child priority in post-mortem organ allocation: A scoping review and practical-ethical outlook","type":"article-journal","volume":"34"},"uris":["http://www.mendeley.com/documents/?uuid=793951e2-03e8-4881-904c-87098be71367"]}],"mendeley":{"formattedCitation":"(133)","plainTextFormattedCitation":"(133)","previouslyFormattedCitation":"(133)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(133)</w:t>
      </w:r>
      <w:r w:rsidRPr="006720E4">
        <w:rPr>
          <w:rFonts w:ascii="Calibri" w:hAnsi="Calibri" w:cs="Calibri"/>
          <w:sz w:val="22"/>
          <w:szCs w:val="22"/>
        </w:rPr>
        <w:fldChar w:fldCharType="end"/>
      </w:r>
      <w:r w:rsidRPr="006720E4">
        <w:rPr>
          <w:rFonts w:ascii="Calibri" w:hAnsi="Calibri" w:cs="Calibri"/>
          <w:sz w:val="22"/>
          <w:szCs w:val="22"/>
        </w:rPr>
        <w:t xml:space="preserve"> </w:t>
      </w:r>
    </w:p>
    <w:p w14:paraId="178CA100" w14:textId="23105CB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Prioritisation of children (or other groups) may notably be considered as a means to reduce an existing disadvantage, rather than to give them an advantage over other groups. For example, given that most deceased organ donors are adults, there may be fewer donor organs available that are suitable for transplantation in children due to difficulties in size matching of organs. This could mean that without prioritisation, children may have a lower chance of receiving a deceased donor organ transplant compared with adults. Providing a degree of priority to children in organ allocation may thus help to compensate for the reduced donor pool to which they have access, thereby reducing an existing inequality.</w:t>
      </w:r>
    </w:p>
    <w:p w14:paraId="09094DB4" w14:textId="4BC3891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contrast, some people may wish to give priority to older people. Indigenous Australians, for example, may prefer to prioritise transplantation of older people in accordance with cultural norms of respect for older people, or at least to ensure they are not excluded from accessing transplantation as a result of resource constraints and rationing. In particular, some may wish to give priority to Elders, who play a vital role in Indigenous communities and who are often older members of Indigenous communities.</w:t>
      </w:r>
      <w:r w:rsidR="00300B7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{"citationItems":[{"id":"ITEM-1","itemData":{"DOI":"10.1111/nep.13233","ISSN":"14401797","PMID":"29436104","author":[{"dropping-particle":"","family":"Hughes","given":"J. T.","non-dropping-particle":"","parse-names":false,"suffix":""},{"dropping-particle":"","family":"Dembski","given":"L.","non-dropping-particle":"","parse-names":false,"suffix":""},{"dropping-particle":"","family":"Kerrigan","given":"V.","non-dropping-particle":"","parse-names":false,"suffix":""},{"dropping-particle":"","family":"Majoni","given":"S. W.","non-dropping-particle":"","parse-names":false,"suffix":""},{"dropping-particle":"","family":"Lawton","given":"P. D.","non-dropping-particle":"","parse-names":false,"suffix":""},{"dropping-particle":"","family":"Cass","given":"A.","non-dropping-particle":"","parse-names":false,"suffix":""}],"container-title":"Nephrology","id":"ITEM-1","issued":{"date-parts":[["2018"]]},"page":"5-13","title":"Gathering Perspectives - Finding Solutions for Chronic and End Stage Kidney Disease","type":"article-journal","volume":"23"},"uris":["http://www.mendeley.com/documents/?uuid=6a9d00a4-849e-4857-a889-6ca6c1cd60a7"]}],"mendeley":{"formattedCitation":"(30)","plainTextFormattedCitation":"(30)","previouslyFormattedCitation":"(30)"},"properties":{"noteIndex":0},"schema":"https://github.com/citation-style-language/schema/raw/master/csl-citation.json"}</w:instrText>
      </w:r>
      <w:r w:rsidR="00300B74">
        <w:rPr>
          <w:rFonts w:ascii="Calibri" w:hAnsi="Calibri" w:cs="Calibri"/>
          <w:sz w:val="22"/>
          <w:szCs w:val="22"/>
        </w:rPr>
        <w:fldChar w:fldCharType="separate"/>
      </w:r>
      <w:r w:rsidR="00BA3D76" w:rsidRPr="00BA3D76">
        <w:rPr>
          <w:rFonts w:ascii="Calibri" w:hAnsi="Calibri" w:cs="Calibri"/>
          <w:noProof/>
          <w:sz w:val="22"/>
          <w:szCs w:val="22"/>
        </w:rPr>
        <w:t>(30)</w:t>
      </w:r>
      <w:r w:rsidR="00300B74">
        <w:rPr>
          <w:rFonts w:ascii="Calibri" w:hAnsi="Calibri" w:cs="Calibri"/>
          <w:sz w:val="22"/>
          <w:szCs w:val="22"/>
        </w:rPr>
        <w:fldChar w:fldCharType="end"/>
      </w:r>
      <w:r w:rsidRPr="006720E4">
        <w:rPr>
          <w:rFonts w:ascii="Calibri" w:hAnsi="Calibri" w:cs="Calibri"/>
          <w:sz w:val="22"/>
          <w:szCs w:val="22"/>
        </w:rPr>
        <w:t xml:space="preserve"> Prioritising Elders may not only be considered a matter of respect for reciprocity; it may also maximise utility within communities.</w:t>
      </w:r>
    </w:p>
    <w:p w14:paraId="44F6AE8F" w14:textId="37A86E80" w:rsidR="006C6EBA" w:rsidRPr="006720E4" w:rsidRDefault="006C6EBA" w:rsidP="00EA22AE">
      <w:pPr>
        <w:pStyle w:val="Heading4"/>
        <w:spacing w:after="120"/>
      </w:pPr>
      <w:bookmarkStart w:id="3659" w:name="_Toc72615174"/>
      <w:bookmarkStart w:id="3660" w:name="_Toc73129896"/>
      <w:bookmarkStart w:id="3661" w:name="_Toc73301770"/>
      <w:bookmarkStart w:id="3662" w:name="_Toc73302276"/>
      <w:bookmarkStart w:id="3663" w:name="_Toc73303409"/>
      <w:bookmarkStart w:id="3664" w:name="_Toc74081554"/>
      <w:bookmarkStart w:id="3665" w:name="_Toc74172331"/>
      <w:bookmarkStart w:id="3666" w:name="_Toc74172867"/>
      <w:bookmarkStart w:id="3667" w:name="_Toc82773674"/>
      <w:bookmarkStart w:id="3668" w:name="_Toc82774027"/>
      <w:r w:rsidRPr="006720E4">
        <w:t>Medication adherence and drug and alcohol use</w:t>
      </w:r>
      <w:bookmarkEnd w:id="3659"/>
      <w:bookmarkEnd w:id="3660"/>
      <w:bookmarkEnd w:id="3661"/>
      <w:bookmarkEnd w:id="3662"/>
      <w:bookmarkEnd w:id="3663"/>
      <w:bookmarkEnd w:id="3664"/>
      <w:bookmarkEnd w:id="3665"/>
      <w:bookmarkEnd w:id="3666"/>
      <w:bookmarkEnd w:id="3667"/>
      <w:bookmarkEnd w:id="3668"/>
      <w:r w:rsidRPr="006720E4">
        <w:tab/>
      </w:r>
    </w:p>
    <w:p w14:paraId="46937852" w14:textId="24F3B58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some cases, there may be a perception that some people in need of organ transplantation are personally responsible for their illness and hence are less deserving of treatment.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{"citationItems":[{"id":"ITEM-1","itemData":{"DOI":"10.1093/ndt/gft208","ISSN":"09310509","PMID":"23739152","abstract":"Background. Solid organ transplantation is the treatment of choice for those with organ failure, but suitable organs are a limited community resource. Little is known about community preferences for the allocation of those organs. We aimed to determine community preferences for organ allocation and reasons for their choices. Methods. Participants were recruited from the community in four states in Australia. In focus groups, they identified and discussed attributes that they believed were important for allocating organs to potential recipients. Transcripts were analysed thematically. Results. Thirteen focus groups with 114 participants were conducted. Four major themes emerged: (i) saving and improving the lives; (ii) lowering the risk of lost opportunities; (iii) fairness and (iv) accountability. While happy to discuss general principles, many were not comfortable making organ allocation decisions and were happy to defer to health professionals; this reticence tended to disappear when discussing the use of their own organs. Conclusions. Participants wanted to save as many lives as possible as well as lower the risk of lost opportunities for those on the waiting list by maximizing the chances of success of every donation. A rational utilitarian ethical model of organ allocation, therefore, appeared to be the dominant framework adopted by the community. Key considerations were compatibility, high chance of peri-operative survival and favouring those with positive lifestyle and self-management choices. Communication between the transplant community and general community about organ allocation could be undertaken to create trust and shared understanding, which may ultimately increase organ donation rates in the future. © The Author 2012.","author":[{"dropping-particle":"","family":"Irving","given":"Michelle J.","non-dropping-particle":"","parse-names":false,"suffix":""},{"dropping-particle":"","family":"Tong","given":"Allison","non-dropping-particle":"","parse-names":false,"suffix":""},{"dropping-particle":"","family":"Jan","given":"Stephen","non-dropping-particle":"","parse-names":false,"suffix":""},{"dropping-particle":"","family":"Wong","given":"Germaine","non-dropping-particle":"","parse-names":false,"suffix":""},{"dropping-particle":"","family":"Cass","given":"Alan","non-dropping-particle":"","parse-names":false,"suffix":""},{"dropping-particle":"","family":"Allen","given":"Richard D.","non-dropping-particle":"","parse-names":false,"suffix":""},{"dropping-particle":"","family":"Craig","given":"Jonathan C.","non-dropping-particle":"","parse-names":false,"suffix":""},{"dropping-particle":"","family":"Chadban","given":"Steven","non-dropping-particle":"","parse-names":false,"suffix":""},{"dropping-particle":"","family":"Rose","given":"John","non-dropping-particle":"","parse-names":false,"suffix":""},{"dropping-particle":"","family":"Howard","given":"Kirsten","non-dropping-particle":"","parse-names":false,"suffix":""}],"container-title":"Nephrology Dialysis Transplantation","id":"ITEM-1","issue":"8","issued":{"date-parts":[["2013"]]},"page":"2187-2193","title":"Community preferences for the allocation of deceased donor organs for transplantation: A focus group study","type":"article-journal","volume":"28"},"uris":["http://www.mendeley.com/documents/?uuid=f96cf5be-50f8-4b22-8f9a-ce8803c05912"]}],"mendeley":{"formattedCitation":"(134)","plainTextFormattedCitation":"(134)","previouslyFormattedCitation":"(134)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(134)</w:t>
      </w:r>
      <w:r w:rsidRPr="006720E4">
        <w:rPr>
          <w:rFonts w:ascii="Calibri" w:hAnsi="Calibri" w:cs="Calibri"/>
          <w:sz w:val="22"/>
          <w:szCs w:val="22"/>
        </w:rPr>
        <w:fldChar w:fldCharType="end"/>
      </w:r>
      <w:r w:rsidRPr="006720E4">
        <w:rPr>
          <w:rFonts w:ascii="Calibri" w:hAnsi="Calibri" w:cs="Calibri"/>
          <w:sz w:val="22"/>
          <w:szCs w:val="22"/>
        </w:rPr>
        <w:t xml:space="preserve"> For example, a person who develops liver failure as a consequence of alcohol dependence might be considered less deserving of a transplant than someone whose liver failure is a consequence of a congenital disease.  </w:t>
      </w:r>
    </w:p>
    <w:p w14:paraId="227BA97F" w14:textId="592A6E7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Such beliefs often reflect a lack of understanding of the nature of substance use disorders, and the factors that may influence their development, as well as social biases about specific conditions or behaviours.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{"citationItems":[{"id":"ITEM-1","itemData":{"DOI":"10.1053/jlts.2001.25361","ISSN":"15276465","abstract":"Some people believe patients with alcoholic cirrhosis should not receive equal priority for scarce transplantable organs. This may reflect a belief that these patients (1) are personally responsible for causing their own illnesses, (2) have poor transplant prognoses, or (3) are unworthy because they have engaged in socially undesirable behavior. We explore the roles that social desirability and personal responsibility have in people's judgments about transplant allocation. We presented prospective jurors with 4 scenarios, asking them to distribute 100 transplantable organs among 2 groups of 100 patients each. In each scenario, 1 group of patients, but not the other, was described as having a history of unhealthy behavior (alcohol or cigarette use) associated with a poorer prognosis. In some scenarios, alcohol or cigarette use was said to cause the organ failure. In others, it only contributed to the patients' transplant prognosis. We also obtained self-reports of subjects' own smoking status. Subjects allocated significantly fewer than half the organs to those with unhealthy behaviors and worse prognoses (33%; P &lt; .001), but the specific behavior (alcohol versus cigarette use) was not significantly associated with subjects' allocation choices. Significantly fewer organs were allocated to patients with behavior responsible for causing their diseases than to other patients (P &lt; .0001). Subjects who never smoked discriminated the most and current smokers discriminated the least against patients with a history of unhealthy behavior (P &lt; .0001). The public's transplantation allocation preferences are influenced by whether patients' behaviors are said to have caused their organ failure.","author":[{"dropping-particle":"","family":"Ubel","given":"Peter A.","non-dropping-particle":"","parse-names":false,"suffix":""},{"dropping-particle":"","family":"Jepson","given":"Christopher","non-dropping-particle":"","parse-names":false,"suffix":""},{"dropping-particle":"","family":"Baron","given":"Jonathan","non-dropping-particle":"","parse-names":false,"suffix":""},{"dropping-particle":"","family":"Mohr","given":"Tara","non-dropping-particle":"","parse-names":false,"suffix":""},{"dropping-particle":"","family":"McMorrow","given":"Stacey","non-dropping-particle":"","parse-names":false,"suffix":""},{"dropping-particle":"","family":"Asch","given":"David A.","non-dropping-particle":"","parse-names":false,"suffix":""}],"container-title":"Liver Transplantation","id":"ITEM-1","issue":"7","issued":{"date-parts":[["2001"]]},"page":"600-607","title":"Allocation of transplantable organs: Do people want to punish patients for causing their illness?","type":"article-journal","volume":"7"},"uris":["http://www.mendeley.com/documents/?uuid=95280445-9198-4c7e-9a05-ff60c600af3e"]}],"mendeley":{"formattedCitation":"(135)","plainTextFormattedCitation":"(135)","previouslyFormattedCitation":"(135)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(135)</w:t>
      </w:r>
      <w:r w:rsidRPr="006720E4">
        <w:rPr>
          <w:rFonts w:ascii="Calibri" w:hAnsi="Calibri" w:cs="Calibri"/>
          <w:sz w:val="22"/>
          <w:szCs w:val="22"/>
        </w:rPr>
        <w:fldChar w:fldCharType="end"/>
      </w:r>
      <w:r w:rsidRPr="006720E4">
        <w:rPr>
          <w:rFonts w:ascii="Calibri" w:hAnsi="Calibri" w:cs="Calibri"/>
          <w:sz w:val="22"/>
          <w:szCs w:val="22"/>
        </w:rPr>
        <w:t xml:space="preserve"> Discriminating between needs for healthcare based on perceptions about the degree of personal responsibility for ill health is not appropriate for several reasons. In particular, it </w:t>
      </w:r>
      <w:r w:rsidRPr="006720E4">
        <w:rPr>
          <w:rFonts w:ascii="Calibri" w:hAnsi="Calibri" w:cs="Calibri"/>
          <w:sz w:val="22"/>
          <w:szCs w:val="22"/>
        </w:rPr>
        <w:lastRenderedPageBreak/>
        <w:t xml:space="preserve">is extremely difficult to determine the extent to which any individual might be considered truly responsible for their own ill health. </w:t>
      </w:r>
    </w:p>
    <w:p w14:paraId="7D224074" w14:textId="6823562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Concerns about factors that may impede medication adherence or access to follow up care, and about use of drugs, cigarettes or alcohol by prospective transplant recipients may sometimes be considered when determining eligibility for transplantation or organ allocation. While these factors may be clinically relevant in determining the likely risks and benefits of transplantation in an individual, and the utility of transplantation, they should not be considered grounds for routine exclusion from transplantation. </w:t>
      </w:r>
    </w:p>
    <w:p w14:paraId="260FA1BF"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many cases, these risk factors or behaviours may be modifiable, and transplant candidates should be supported and encouraged to address any issues that may negatively impact their chances of receiving and benefiting from transplantation. It is also important to ensure that factors which may be associated with social stigma are not given undue consideration compared with other, less stigmatizing clinical risk factors that could jeopardise transplant outcomes. Poor medication adherence, attendance at follow up care and behaviours such as smoking are often associated with socioeconomic disadvantage and structural inequalities, and hence are reflective of inequities.</w:t>
      </w:r>
      <w:bookmarkStart w:id="3669" w:name="_Toc79330407"/>
      <w:bookmarkStart w:id="3670" w:name="_Toc79330760"/>
      <w:bookmarkStart w:id="3671" w:name="_Toc79330876"/>
      <w:bookmarkStart w:id="3672" w:name="_Toc79331082"/>
      <w:bookmarkStart w:id="3673" w:name="_Toc79331256"/>
      <w:bookmarkStart w:id="3674" w:name="_Toc79406435"/>
      <w:bookmarkStart w:id="3675" w:name="_Toc63683463"/>
      <w:bookmarkStart w:id="3676" w:name="_Toc70241808"/>
      <w:bookmarkStart w:id="3677" w:name="_Toc70243443"/>
      <w:bookmarkStart w:id="3678" w:name="_Toc70328759"/>
      <w:bookmarkStart w:id="3679" w:name="_Toc70333989"/>
      <w:bookmarkStart w:id="3680" w:name="_Toc70414999"/>
      <w:bookmarkStart w:id="3681" w:name="_Toc70844319"/>
      <w:bookmarkStart w:id="3682" w:name="_Toc70859040"/>
      <w:bookmarkStart w:id="3683" w:name="_Toc70861141"/>
      <w:bookmarkStart w:id="3684" w:name="_Toc70876627"/>
      <w:bookmarkStart w:id="3685" w:name="_Toc72615261"/>
      <w:bookmarkStart w:id="3686" w:name="_Toc73129985"/>
      <w:bookmarkStart w:id="3687" w:name="_Toc73301856"/>
      <w:bookmarkStart w:id="3688" w:name="_Toc73302362"/>
      <w:bookmarkStart w:id="3689" w:name="_Toc73303495"/>
      <w:bookmarkStart w:id="3690" w:name="_Toc73303704"/>
      <w:bookmarkStart w:id="3691" w:name="_Toc74080833"/>
      <w:bookmarkStart w:id="3692" w:name="_Toc74081141"/>
      <w:bookmarkStart w:id="3693" w:name="_Toc74081371"/>
      <w:bookmarkStart w:id="3694" w:name="_Toc74081652"/>
      <w:bookmarkStart w:id="3695" w:name="_Toc74171202"/>
      <w:bookmarkStart w:id="3696" w:name="_Toc74172429"/>
      <w:bookmarkStart w:id="3697" w:name="_Toc74172963"/>
      <w:bookmarkStart w:id="3698" w:name="_Toc74238876"/>
      <w:bookmarkStart w:id="3699" w:name="_Toc78304816"/>
      <w:bookmarkStart w:id="3700" w:name="_Toc72615176"/>
      <w:bookmarkStart w:id="3701" w:name="_Toc73129899"/>
      <w:bookmarkStart w:id="3702" w:name="_Toc73301771"/>
      <w:bookmarkStart w:id="3703" w:name="_Toc73302277"/>
      <w:bookmarkStart w:id="3704" w:name="_Toc73303410"/>
      <w:bookmarkStart w:id="3705" w:name="_Toc73303632"/>
      <w:bookmarkStart w:id="3706" w:name="_Toc74080749"/>
      <w:bookmarkStart w:id="3707" w:name="_Toc74081057"/>
      <w:bookmarkStart w:id="3708" w:name="_Toc74081287"/>
      <w:bookmarkStart w:id="3709" w:name="_Toc74081555"/>
      <w:bookmarkStart w:id="3710" w:name="_Toc74171118"/>
      <w:bookmarkStart w:id="3711" w:name="_Toc74172332"/>
      <w:bookmarkStart w:id="3712" w:name="_Toc74172868"/>
      <w:bookmarkStart w:id="3713" w:name="_Toc74238792"/>
      <w:bookmarkStart w:id="3714" w:name="_Toc63683455"/>
      <w:bookmarkStart w:id="3715" w:name="_Toc70241800"/>
      <w:bookmarkStart w:id="3716" w:name="_Toc70243435"/>
      <w:bookmarkStart w:id="3717" w:name="_Toc70414919"/>
      <w:bookmarkStart w:id="3718" w:name="_Toc70844237"/>
      <w:bookmarkEnd w:id="3643"/>
      <w:bookmarkEnd w:id="3644"/>
      <w:bookmarkEnd w:id="3645"/>
      <w:bookmarkEnd w:id="3646"/>
      <w:bookmarkEnd w:id="3647"/>
      <w:bookmarkEnd w:id="3669"/>
      <w:bookmarkEnd w:id="3670"/>
      <w:bookmarkEnd w:id="3671"/>
      <w:bookmarkEnd w:id="3672"/>
      <w:bookmarkEnd w:id="3673"/>
      <w:bookmarkEnd w:id="3674"/>
    </w:p>
    <w:p w14:paraId="40BCDCC0" w14:textId="40E13074" w:rsidR="006C6EBA" w:rsidRPr="006720E4" w:rsidRDefault="006C6EBA" w:rsidP="00EA22AE">
      <w:pPr>
        <w:pStyle w:val="Heading4"/>
        <w:spacing w:after="120"/>
      </w:pPr>
      <w:bookmarkStart w:id="3719" w:name="_Prioritisation_of_living_1"/>
      <w:bookmarkStart w:id="3720" w:name="_Toc82773675"/>
      <w:bookmarkStart w:id="3721" w:name="_Toc82774028"/>
      <w:bookmarkEnd w:id="3719"/>
      <w:r w:rsidRPr="006720E4">
        <w:t>Prioritisation of living kidney donors in kidney allocation</w:t>
      </w:r>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20"/>
      <w:bookmarkEnd w:id="3721"/>
    </w:p>
    <w:p w14:paraId="286D8CB7" w14:textId="1A0C9A1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organ allocation systems internationally, individuals who have previously donated a kidney as a living donor may be awarded a degree of priority in allocation of deceased donor kidneys if they develop a need for transplantation in the future. Priority for living kidney donors represents a potential strategy to minimise harm to living donors who may have a comparatively higher risk of developing kidney failure as a result of donation. Providing a degree of priority could thus help to encourage living donation by reassuring prospective donors that if they do develop kidney failure they will be more likely to receive a transplant. </w:t>
      </w:r>
    </w:p>
    <w:p w14:paraId="0DBC0F97" w14:textId="47BCBA8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should be noted that offering priority to living kidney donors should not be considered an </w:t>
      </w:r>
      <w:hyperlink w:anchor="_Glossary_2" w:history="1">
        <w:r w:rsidRPr="006720E4">
          <w:rPr>
            <w:rStyle w:val="Hyperlink"/>
            <w:rFonts w:ascii="Calibri" w:hAnsi="Calibri" w:cs="Calibri"/>
            <w:sz w:val="22"/>
            <w:szCs w:val="22"/>
          </w:rPr>
          <w:t>incentive</w:t>
        </w:r>
      </w:hyperlink>
      <w:r w:rsidRPr="006720E4">
        <w:rPr>
          <w:rFonts w:ascii="Calibri" w:hAnsi="Calibri" w:cs="Calibri"/>
          <w:sz w:val="22"/>
          <w:szCs w:val="22"/>
        </w:rPr>
        <w:t xml:space="preserve"> for living donors, as prioritisation will not leave them better off as a result of their decision to donate. A person who requires a kidney transplant after having donated one of their kidneys is in fact likely to have been better off if they had not donated at all. In this sense, offering living donors a degree of priority in allocation of kidneys in the future helps to reduce the risks associated with living donation and to compensate them for the fact that they might not have needed a transplant if they had not donated one of their own kidneys.</w:t>
      </w:r>
    </w:p>
    <w:p w14:paraId="02AED5CC" w14:textId="2E6ACF3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Awarding living kidney donors a degree of priority in kidney allocation may also be justified as a matter of reciprocity or fairness, compensating individuals who have already directly contributed to efforts to meet transplant needs. The degree of priority to be awarded should be determined as part of allocation algorithms to ensure that it does not unduly impact the achievement of other allocation goals and values. </w:t>
      </w:r>
    </w:p>
    <w:p w14:paraId="084CA098" w14:textId="529B622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a degree of priority is offered to living kidney donors, it is important that prospective living kidney donors are aware that this priority does not guarantee them a kidney transplant from a deceased donor in the event that they later require one. Prospective donors should be carefully counselled to ensure they are not false reassured or do not disregard the risks of developing kidney failure on the assumption they will be readily able to access a transplant in future.</w:t>
      </w:r>
    </w:p>
    <w:p w14:paraId="7EB9A482" w14:textId="1C868BE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event that a person travels to Australia for the purpose of donating a kidney to an Australian citizen </w:t>
      </w:r>
      <w:r w:rsidRPr="00D11BFA">
        <w:rPr>
          <w:rFonts w:ascii="Calibri" w:hAnsi="Calibri" w:cs="Calibri"/>
          <w:sz w:val="22"/>
          <w:szCs w:val="22"/>
        </w:rPr>
        <w:t xml:space="preserve">or resident (see </w:t>
      </w:r>
      <w:hyperlink w:anchor="_People_traveling_to"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9</w:t>
        </w:r>
        <w:r w:rsidRPr="00D11BFA">
          <w:rPr>
            <w:rStyle w:val="Hyperlink"/>
            <w:rFonts w:ascii="Calibri" w:hAnsi="Calibri" w:cs="Calibri"/>
            <w:sz w:val="22"/>
            <w:szCs w:val="22"/>
          </w:rPr>
          <w:t>.4.2</w:t>
        </w:r>
      </w:hyperlink>
      <w:r w:rsidRPr="00D11BFA">
        <w:rPr>
          <w:rFonts w:ascii="Calibri" w:hAnsi="Calibri" w:cs="Calibri"/>
          <w:sz w:val="22"/>
          <w:szCs w:val="22"/>
        </w:rPr>
        <w:t>), they may</w:t>
      </w:r>
      <w:r w:rsidRPr="006720E4">
        <w:rPr>
          <w:rFonts w:ascii="Calibri" w:hAnsi="Calibri" w:cs="Calibri"/>
          <w:sz w:val="22"/>
          <w:szCs w:val="22"/>
        </w:rPr>
        <w:t xml:space="preserve"> not be eligible to access the Australian transplant waiting list in future and hence would not be able to benefit from priority in deceased donor kidney allocation in the event of developing kidney failure in future</w:t>
      </w:r>
    </w:p>
    <w:p w14:paraId="32E91664" w14:textId="77777777" w:rsidR="006C6EBA" w:rsidRPr="006720E4" w:rsidRDefault="006C6EBA" w:rsidP="00EA22AE">
      <w:pPr>
        <w:pStyle w:val="Heading4"/>
        <w:spacing w:after="120"/>
      </w:pPr>
      <w:bookmarkStart w:id="3722" w:name="_Toc82773676"/>
      <w:bookmarkStart w:id="3723" w:name="_Toc82774029"/>
      <w:bookmarkStart w:id="3724" w:name="_Toc79406445"/>
      <w:r w:rsidRPr="006720E4">
        <w:t>Multi-organ transplantation</w:t>
      </w:r>
      <w:bookmarkEnd w:id="3722"/>
      <w:bookmarkEnd w:id="3723"/>
    </w:p>
    <w:p w14:paraId="330CB8BF" w14:textId="3668681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Allocation of organs to candidates who require more than one organ to be transplanted may raise ethical concerns as multi-organ transplantation can reduce opportunities for transplantation for </w:t>
      </w:r>
      <w:r w:rsidRPr="006720E4">
        <w:rPr>
          <w:rFonts w:ascii="Calibri" w:hAnsi="Calibri" w:cs="Calibri"/>
          <w:sz w:val="22"/>
          <w:szCs w:val="22"/>
        </w:rPr>
        <w:lastRenderedPageBreak/>
        <w:t>other candidates.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{"citationItems":[{"id":"ITEM-1","itemData":{"DOI":"10.1111/ajt.16390","ISSN":"16006143","PMID":"33140571","abstract":"Kidney-alone transplant (KAT) candidates may be disadvantaged by the allocation priority given to multi-organ transplant (MOT) candidates. This study identified potential KAT candidates not receiving a given kidney offer due to its allocation for MOT. Using the Organ Procurement and Transplant Network (OPTN) database, we identified deceased donors from 2002 to 2017 who had one kidney allocated for MOT and the other kidney allocated for KAT or simultaneous pancreas–kidney transplant (SPK) (n = 7,378). Potential transplant recipient data were used to identify the “next-sequential KAT candidate” who would have received a given kidney offer had it not been allocated to a higher prioritized MOT candidate. In this analysis, next-sequential KAT candidates were younger (p &lt;.001), more likely to be racial/ethnic minorities (p &lt;.001), and more highly sensitized than MOT recipients (p &lt;.001). A total of 2,113 (28.6%) next-sequential KAT candidates subsequently either died or were removed from the waiting list without receiving a transplant. In a multivariable model, despite adjacent position on the kidney match-run, mortality risk was significantly higher for next-sequential KAT candidates compared to KAT/SPK recipients (hazard ratio 1.55, 95% confidence interval 1.44, 1.66). These results highlight implications of MOT allocation prioritization, and potential consequences to KAT candidates prioritized below MOT candidates.","author":[{"dropping-particle":"","family":"Westphal","given":"Scott G.","non-dropping-particle":"","parse-names":false,"suffix":""},{"dropping-particle":"","family":"Langewisch","given":"Eric D.","non-dropping-particle":"","parse-names":false,"suffix":""},{"dropping-particle":"","family":"Robinson","given":"Amanda M.","non-dropping-particle":"","parse-names":false,"suffix":""},{"dropping-particle":"","family":"Wilk","given":"Amber R.","non-dropping-particle":"","parse-names":false,"suffix":""},{"dropping-particle":"","family":"Dong","given":"Jianghu J.","non-dropping-particle":"","parse-names":false,"suffix":""},{"dropping-particle":"","family":"Plumb","given":"Troy J.","non-dropping-particle":"","parse-names":false,"suffix":""},{"dropping-particle":"","family":"Mullane","given":"Ryan","non-dropping-particle":"","parse-names":false,"suffix":""},{"dropping-particle":"","family":"Merani","given":"Shaheed","non-dropping-particle":"","parse-names":false,"suffix":""},{"dropping-particle":"","family":"Hoffman","given":"Arika L.","non-dropping-particle":"","parse-names":false,"suffix":""},{"dropping-particle":"","family":"Maskin","given":"Alexander","non-dropping-particle":"","parse-names":false,"suffix":""},{"dropping-particle":"","family":"Miles","given":"Clifford D.","non-dropping-particle":"","parse-names":false,"suffix":""}],"container-title":"American Journal of Transplantation","id":"ITEM-1","issue":"6","issued":{"date-parts":[["2021"]]},"page":"2161-2174","title":"The impact of multi-organ transplant allocation priority on waitlisted kidney transplant candidates","type":"article-journal","volume":"21"},"uris":["http://www.mendeley.com/documents/?uuid=45c7d22b-e0ca-480d-995a-122ecdf14625"]}],"mendeley":{"formattedCitation":"(136)","plainTextFormattedCitation":"(136)","previouslyFormattedCitation":"(136)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(136)</w:t>
      </w:r>
      <w:r w:rsidRPr="006720E4">
        <w:rPr>
          <w:rFonts w:ascii="Calibri" w:hAnsi="Calibri" w:cs="Calibri"/>
          <w:sz w:val="22"/>
          <w:szCs w:val="22"/>
        </w:rPr>
        <w:fldChar w:fldCharType="end"/>
      </w:r>
      <w:r w:rsidRPr="006720E4">
        <w:rPr>
          <w:rFonts w:ascii="Calibri" w:hAnsi="Calibri" w:cs="Calibri"/>
          <w:sz w:val="22"/>
          <w:szCs w:val="22"/>
        </w:rPr>
        <w:t xml:space="preserve"> Allocation of a kidney and a liver from a single deceased donor to person A, for example, may deprive two people of a transplant rather than simply one missing out if a kidney or a liver is allocated to person A rather than person B. </w:t>
      </w:r>
    </w:p>
    <w:p w14:paraId="0A1836A1" w14:textId="0105279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opportunity costs associated with multi-organ transplantation complicate the existing difficulties of balancing equity in individual opportunities for transplantation with efforts to promote utility of transplantation for individual recipients and collectively. </w:t>
      </w:r>
    </w:p>
    <w:p w14:paraId="5DF47DA7" w14:textId="3DCD1FE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Allocation algorithms should strive to ensure the common values and principles that underpin all organ allocations are also applied in the case of multi-organ allocations. That is, the impact of multi-organ allocation rules on efforts to save lives, promote utility and reduce inequalities in access to transplant opportunities should be carefully evaluated.</w:t>
      </w:r>
    </w:p>
    <w:p w14:paraId="07854E3B" w14:textId="430D491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Although multi-organ transplantation is likely to reduce opportunities for transplantation for some individuals, this fact alone does not mean that multi-organ transplantation is ethically unacceptable. Just as individuals who require </w:t>
      </w:r>
      <w:r w:rsidRPr="00D11BFA">
        <w:rPr>
          <w:rFonts w:ascii="Calibri" w:hAnsi="Calibri" w:cs="Calibri"/>
          <w:sz w:val="22"/>
          <w:szCs w:val="22"/>
        </w:rPr>
        <w:t xml:space="preserve">repeat transplantation may be perceived as taking more than a fair share of opportunities for transplantation (see </w:t>
      </w:r>
      <w:hyperlink w:anchor="_Eligibility_for_repeat"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.3.3.1</w:t>
        </w:r>
      </w:hyperlink>
      <w:r w:rsidRPr="00D11BFA">
        <w:rPr>
          <w:rFonts w:ascii="Calibri" w:hAnsi="Calibri" w:cs="Calibri"/>
          <w:sz w:val="22"/>
          <w:szCs w:val="22"/>
        </w:rPr>
        <w:t xml:space="preserve">), perceptions that individuals receiving multi-organ transplants are unfairly benefitting are misplaced. This is because strict equality in the distribution of organs does not entail equity; equal shares are not necessarily fair (see </w:t>
      </w:r>
      <w:hyperlink w:anchor="_Equality_of_opportunity"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.2.1.1</w:t>
        </w:r>
      </w:hyperlink>
      <w:r w:rsidRPr="00D11BFA">
        <w:rPr>
          <w:rFonts w:ascii="Calibri" w:hAnsi="Calibri" w:cs="Calibri"/>
          <w:sz w:val="22"/>
          <w:szCs w:val="22"/>
        </w:rPr>
        <w:t>). Some individuals may require a greater share of resources than others in order to achieve similar health outcomes</w:t>
      </w:r>
      <w:r w:rsidRPr="006720E4">
        <w:rPr>
          <w:rFonts w:ascii="Calibri" w:hAnsi="Calibri" w:cs="Calibri"/>
          <w:sz w:val="22"/>
          <w:szCs w:val="22"/>
        </w:rPr>
        <w:t>, and are equally deserving of the opportunity to benefit from transplantation where possible.</w:t>
      </w:r>
    </w:p>
    <w:p w14:paraId="2016E9C1" w14:textId="77777777" w:rsidR="006C6EBA" w:rsidRPr="006720E4" w:rsidRDefault="006C6EBA" w:rsidP="00EA22AE">
      <w:pPr>
        <w:pStyle w:val="Heading3"/>
        <w:spacing w:after="120"/>
      </w:pPr>
      <w:bookmarkStart w:id="3725" w:name="_Toc82773677"/>
      <w:bookmarkStart w:id="3726" w:name="_Toc82774030"/>
      <w:r w:rsidRPr="006720E4">
        <w:t>Implementing values and principles in organ allocation frameworks</w:t>
      </w:r>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24"/>
      <w:bookmarkEnd w:id="3725"/>
      <w:bookmarkEnd w:id="3726"/>
    </w:p>
    <w:p w14:paraId="2A124D0F"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Despite general agreement on relevant considerations and principles that should be used to guide decision-making, in practice the specifics of organ allocation frameworks and algorithms may produce very different results depending on how specific considerations are weighted or measured. This means that the incorporation of clinical criteria in allocation guidelines requires careful scrutiny and evaluation of outcomes in order to determine whether the goals of the allocation process are being achieved. </w:t>
      </w:r>
    </w:p>
    <w:p w14:paraId="1B22F7EB" w14:textId="3944567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is particularly important where allocation rules may allow for flexibility of interpretation or require qualitative judgements. Consequently, measures to promote procedural justice should be highlighted in allocation guidelines, such as the role of audits and data reporting to facilitate oversight of practice and outcomes and the right of appeal, for example if a person is excluded from the transplant waiting list or feels they may be disadvantaged by the allocation framework (see </w:t>
      </w:r>
      <w:hyperlink w:anchor="_Considerations_for_procedural"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.6</w:t>
        </w:r>
      </w:hyperlink>
      <w:r w:rsidRPr="00D11BFA">
        <w:rPr>
          <w:rFonts w:ascii="Calibri" w:hAnsi="Calibri" w:cs="Calibri"/>
          <w:sz w:val="22"/>
          <w:szCs w:val="22"/>
        </w:rPr>
        <w:t>).</w:t>
      </w:r>
      <w:r w:rsidRPr="006720E4">
        <w:rPr>
          <w:rFonts w:ascii="Calibri" w:hAnsi="Calibri" w:cs="Calibri"/>
          <w:sz w:val="22"/>
          <w:szCs w:val="22"/>
        </w:rPr>
        <w:t xml:space="preserve"> </w:t>
      </w:r>
      <w:bookmarkStart w:id="3727" w:name="_Toc72615177"/>
      <w:bookmarkStart w:id="3728" w:name="_Toc73129900"/>
      <w:bookmarkStart w:id="3729" w:name="_Toc73301772"/>
      <w:bookmarkStart w:id="3730" w:name="_Toc73302278"/>
      <w:bookmarkStart w:id="3731" w:name="_Toc73303411"/>
      <w:bookmarkStart w:id="3732" w:name="_Toc74081556"/>
      <w:bookmarkStart w:id="3733" w:name="_Toc74172333"/>
      <w:bookmarkStart w:id="3734" w:name="_Toc74172869"/>
    </w:p>
    <w:p w14:paraId="278DA014" w14:textId="5BF4ACCD" w:rsidR="006C6EBA" w:rsidRPr="006720E4" w:rsidRDefault="006C6EBA" w:rsidP="00EA22AE">
      <w:pPr>
        <w:pStyle w:val="Heading4"/>
        <w:spacing w:after="120"/>
        <w:rPr>
          <w:szCs w:val="22"/>
        </w:rPr>
      </w:pPr>
      <w:bookmarkStart w:id="3735" w:name="_Allocation_of_expanded"/>
      <w:bookmarkStart w:id="3736" w:name="_Toc82773678"/>
      <w:bookmarkStart w:id="3737" w:name="_Toc82774031"/>
      <w:bookmarkEnd w:id="3735"/>
      <w:r w:rsidRPr="006720E4">
        <w:t>Allocation of ex</w:t>
      </w:r>
      <w:r w:rsidR="002F7283">
        <w:t>tende</w:t>
      </w:r>
      <w:r w:rsidRPr="006720E4">
        <w:t>d criteria donor (ECD) organs</w:t>
      </w:r>
      <w:bookmarkEnd w:id="3714"/>
      <w:bookmarkEnd w:id="3715"/>
      <w:bookmarkEnd w:id="3716"/>
      <w:bookmarkEnd w:id="3717"/>
      <w:bookmarkEnd w:id="3718"/>
      <w:r w:rsidRPr="006720E4">
        <w:t xml:space="preserve"> and survival matching</w:t>
      </w:r>
      <w:bookmarkEnd w:id="3727"/>
      <w:bookmarkEnd w:id="3728"/>
      <w:bookmarkEnd w:id="3729"/>
      <w:bookmarkEnd w:id="3730"/>
      <w:bookmarkEnd w:id="3731"/>
      <w:bookmarkEnd w:id="3732"/>
      <w:bookmarkEnd w:id="3733"/>
      <w:bookmarkEnd w:id="3734"/>
      <w:bookmarkEnd w:id="3736"/>
      <w:bookmarkEnd w:id="3737"/>
    </w:p>
    <w:p w14:paraId="7F42F175" w14:textId="2654F06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increasing use of ECD and non-standard risk donor </w:t>
      </w:r>
      <w:r w:rsidRPr="00D11BFA">
        <w:rPr>
          <w:rFonts w:ascii="Calibri" w:hAnsi="Calibri" w:cs="Calibri"/>
          <w:sz w:val="22"/>
          <w:szCs w:val="22"/>
        </w:rPr>
        <w:t xml:space="preserve">organs (see </w:t>
      </w:r>
      <w:hyperlink w:anchor="_Acceptance_of_organ"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6</w:t>
        </w:r>
        <w:r w:rsidRPr="00D11BFA">
          <w:rPr>
            <w:rStyle w:val="Hyperlink"/>
            <w:rFonts w:ascii="Calibri" w:hAnsi="Calibri" w:cs="Calibri"/>
            <w:sz w:val="22"/>
            <w:szCs w:val="22"/>
          </w:rPr>
          <w:t>.5.2.2</w:t>
        </w:r>
      </w:hyperlink>
      <w:r w:rsidRPr="00D11BFA">
        <w:rPr>
          <w:rFonts w:ascii="Calibri" w:hAnsi="Calibri" w:cs="Calibri"/>
          <w:sz w:val="22"/>
          <w:szCs w:val="22"/>
        </w:rPr>
        <w:t>) requires</w:t>
      </w:r>
      <w:r w:rsidRPr="006720E4">
        <w:rPr>
          <w:rFonts w:ascii="Calibri" w:hAnsi="Calibri" w:cs="Calibri"/>
          <w:sz w:val="22"/>
          <w:szCs w:val="22"/>
        </w:rPr>
        <w:t xml:space="preserve"> ongoing review of allocation guidelines and more sophisticated protocols to assist in making use of organs that might offer less utility for some individuals, in terms of shorter expected graft survival, but which may provide excellent outcomes for other individuals who might otherwise miss the opportunity for transplantation. </w:t>
      </w:r>
    </w:p>
    <w:p w14:paraId="46361FAC"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Age-, longevity-, or survival-matching is an emerging approach aimed at making better use of organs. In essence it involves preferentially allocating organs from older donors or organs that are otherwise expected to have a shorter duration of graft survival to transplant candidates with a shorter life expectancy. Matching may be approximate. </w:t>
      </w:r>
    </w:p>
    <w:p w14:paraId="2569E13A" w14:textId="54B989B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approach may help to avoid “waste”, which can occur if a person dies with a well-functioning graft that could otherwise have extended survival in another person. It also helps to avoid the waste that occurs if an organ is discarded altogether rather than being transplanted. Survival matching may also mean that people may be offered a transplant who might otherwise have been excluded from transplantation, because their life expectancy is not considered sufficiently long to warrant </w:t>
      </w:r>
      <w:r w:rsidRPr="006720E4">
        <w:rPr>
          <w:rFonts w:ascii="Calibri" w:hAnsi="Calibri" w:cs="Calibri"/>
          <w:sz w:val="22"/>
          <w:szCs w:val="22"/>
        </w:rPr>
        <w:lastRenderedPageBreak/>
        <w:t>transplantation. Furthermore, survival matching may help to improve outcomes for younger kidney transplant recipients who are more likely to require a second transplant over their lifetime; by avoiding use of kidneys of shorter expected graft survival the need for a second transplant can be delayed.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{"citationItems":[{"id":"ITEM-1","itemData":{"DOI":"10.1136/medethics-2016-103478","ISSN":"14734257","PMID":"27660291","abstract":"This paper argues against incorporating assessments of individual responsibility into healthcare policies by expanding an existing argument and offering a rebuttal to an argument in favour of such policies. First, it is argued that what primarily underlies discussions surrounding personal responsibility and healthcare is not causal responsibility, moral responsibility or culpability, as one might expect, but biases towards particular highly stigmatised behaviours. A challenge is posed for proponents of taking personal responsibility into account within health policy to either expand the debate to also include socially accepted behaviours or to provide an alternative explanation of the narrowly focused discussion. Second, a critical response is offered to arguments that claim that policies based on personal responsibility would lead to several positive outcomes including healthy behaviour change, better health outcomes and decreases in healthcare spending. It is argued that using individual responsibility as a basis for resource allocation in healthcare is unlikely to motivate positive behaviour changes, and is likely to increase inequality which may lead to worse health outcomes overall. Finally, the case of West Virginia’s Medicaid reform is examined, which raises a worry that policies focused on personal responsibility have the potential to lead to increases in medical spending overall.","author":[{"dropping-particle":"","family":"Friesen","given":"Phoebe","non-dropping-particle":"","parse-names":false,"suffix":""}],"container-title":"Journal of Medical Ethics","id":"ITEM-1","issue":"1","issued":{"date-parts":[["2018"]]},"page":"53-58","title":"Personal responsibility within health policy: Unethical and ineffective","type":"article-journal","volume":"44"},"uris":["http://www.mendeley.com/documents/?uuid=229c306c-e4fd-4290-82ff-2ad1a1925838"]}],"mendeley":{"formattedCitation":"(137)","plainTextFormattedCitation":"(137)","previouslyFormattedCitation":"(137)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(137)</w:t>
      </w:r>
      <w:r w:rsidRPr="006720E4">
        <w:rPr>
          <w:rFonts w:ascii="Calibri" w:hAnsi="Calibri" w:cs="Calibri"/>
          <w:sz w:val="22"/>
          <w:szCs w:val="22"/>
        </w:rPr>
        <w:fldChar w:fldCharType="end"/>
      </w:r>
      <w:r w:rsidRPr="006720E4">
        <w:rPr>
          <w:rFonts w:ascii="Calibri" w:hAnsi="Calibri" w:cs="Calibri"/>
          <w:sz w:val="22"/>
          <w:szCs w:val="22"/>
        </w:rPr>
        <w:t xml:space="preserve"> </w:t>
      </w:r>
    </w:p>
    <w:p w14:paraId="69F23C71" w14:textId="0E916B1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There are potential concerns about the impact of survival matching on equity in transplantation which require careful attention in the design of allocation protocols and decision-making for individuals. For example, if kidneys from older donors are preferentially allocated to older transplant candidates, and the majority of donors are older, then young people may be disproportionately affected by survival matching and have fewer opportunities for transplantation. On the other hand, there may be a fear that older people will have worse outcomes if they are routinely offered kidneys deemed to have “poorer” quality. Survival matching considerations must be carefully evaluated in the context of other variables to ensure that the overarching goals of the allocation framework are supported.</w:t>
      </w:r>
    </w:p>
    <w:p w14:paraId="0D05BB1B" w14:textId="77777777" w:rsidR="006C6EBA" w:rsidRPr="006720E4" w:rsidRDefault="006C6EBA" w:rsidP="00EA22AE">
      <w:pPr>
        <w:pStyle w:val="Heading4"/>
        <w:spacing w:after="120"/>
      </w:pPr>
      <w:bookmarkStart w:id="3738" w:name="_Toc70414920"/>
      <w:bookmarkStart w:id="3739" w:name="_Toc70844238"/>
      <w:bookmarkStart w:id="3740" w:name="_Toc72615178"/>
      <w:bookmarkStart w:id="3741" w:name="_Toc73129901"/>
      <w:bookmarkStart w:id="3742" w:name="_Toc73301773"/>
      <w:bookmarkStart w:id="3743" w:name="_Toc73302279"/>
      <w:bookmarkStart w:id="3744" w:name="_Toc73303412"/>
      <w:bookmarkStart w:id="3745" w:name="_Toc74081557"/>
      <w:bookmarkStart w:id="3746" w:name="_Toc74172334"/>
      <w:bookmarkStart w:id="3747" w:name="_Toc74172870"/>
      <w:bookmarkStart w:id="3748" w:name="_Toc82773679"/>
      <w:bookmarkStart w:id="3749" w:name="_Toc82774032"/>
      <w:r w:rsidRPr="006720E4">
        <w:t>Impact of precision medicine</w:t>
      </w:r>
      <w:bookmarkEnd w:id="3738"/>
      <w:bookmarkEnd w:id="3739"/>
      <w:bookmarkEnd w:id="3740"/>
      <w:bookmarkEnd w:id="3741"/>
      <w:bookmarkEnd w:id="3742"/>
      <w:bookmarkEnd w:id="3743"/>
      <w:bookmarkEnd w:id="3744"/>
      <w:bookmarkEnd w:id="3745"/>
      <w:bookmarkEnd w:id="3746"/>
      <w:bookmarkEnd w:id="3747"/>
      <w:bookmarkEnd w:id="3748"/>
      <w:bookmarkEnd w:id="3749"/>
    </w:p>
    <w:p w14:paraId="2FE7BE8C" w14:textId="5ACFFDB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emergence of precision medicine has significant implications for organ allocation.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{"citationItems":[{"id":"ITEM-1","itemData":{"DOI":"10.1177/2054358120912655","ISSN":"20543581","abstract":"There is increasing interest in the use of precision medicine tools and evidence-based outcome measures for donor-recipient matching to optimize transplant outcomes. Although the shift toward greater precision can provide health and resource benefits, it may be perceived as conflicting with both established equity-focused organ allocation norms and the legal and ethical obligations of health care providers and related institutions. With increasing evidence that various forms of human leukocyte antigen (HLA) mismatch and/or prognostic biomarkers can affect outcomes, the tension between maximizing utility and ensuring equity seems likely to intensify. In Canada, health care providers are generally required by law to put the interests of their patient, such as access to an organ, above the needs of the health care system and other patients. In addition, transplantation right of access lawsuits, which have been successful in the past, could affect the implementation of precision approaches. These legal tensions could be further heightened by media representations, which have historically favored strong rights of access. When implementing new precision technologies in organ allocation, there will be a recurrent need for policymakers to revisit the balance of equity and utility and to assess how to craft rules that reflect our society’s conception of a fair allocation system.","author":[{"dropping-particle":"","family":"Caulfield","given":"Timothy","non-dropping-particle":"","parse-names":false,"suffix":""},{"dropping-particle":"","family":"Murdoch","given":"Blake","non-dropping-particle":"","parse-names":false,"suffix":""},{"dropping-particle":"","family":"Sapir-Pichhadze","given":"Ruth","non-dropping-particle":"","parse-names":false,"suffix":""},{"dropping-particle":"","family":"Keown","given":"Paul","non-dropping-particle":"","parse-names":false,"suffix":""}],"container-title":"Canadian Journal of Kidney Health and Disease","id":"ITEM-1","issued":{"date-parts":[["2020"]]},"title":"Policy Challenges for Organ Allocation in an Era of “Precision Medicine”","type":"article-journal","volume":"7"},"uris":["http://www.mendeley.com/documents/?uuid=8cde7ed2-ba7e-4445-8ce9-148a8cb067d6"]}],"mendeley":{"formattedCitation":"(138)","plainTextFormattedCitation":"(138)","previouslyFormattedCitation":"(138)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(138)</w:t>
      </w:r>
      <w:r w:rsidRPr="006720E4">
        <w:rPr>
          <w:rFonts w:ascii="Calibri" w:hAnsi="Calibri" w:cs="Calibri"/>
          <w:sz w:val="22"/>
          <w:szCs w:val="22"/>
        </w:rPr>
        <w:fldChar w:fldCharType="end"/>
      </w:r>
      <w:r w:rsidRPr="006720E4">
        <w:rPr>
          <w:rFonts w:ascii="Calibri" w:hAnsi="Calibri" w:cs="Calibri"/>
          <w:sz w:val="22"/>
          <w:szCs w:val="22"/>
        </w:rPr>
        <w:t xml:space="preserve"> As more sophisticated tools emerge to predict the outcomes of allocations if donor organs are matched more precisely to recipient characteristics, it may be possible to evaluate the utility gains of specific allocations with greater precision. While this has potential advantages for transplant recipients, it also risks disadvantaging individuals or groups who may be less likely to achieve a match that offers optimal utility. On the other hand, precision medicine tools may be able to assess utility in matching more accurately and objectively than health professionals, reducing the impact of professional bias in decision-making about eligibility for transplantation as well as allocation and acceptance of transplant offers.  </w:t>
      </w:r>
      <w:bookmarkStart w:id="3750" w:name="_Equity_in_distribution"/>
      <w:bookmarkEnd w:id="3750"/>
    </w:p>
    <w:p w14:paraId="6885BC20" w14:textId="7C613E2B" w:rsidR="006C6EBA" w:rsidRPr="006720E4" w:rsidRDefault="006C6EBA" w:rsidP="00EA22AE">
      <w:pPr>
        <w:pStyle w:val="Heading2"/>
        <w:spacing w:after="120"/>
      </w:pPr>
      <w:bookmarkStart w:id="3751" w:name="_Toc70328755"/>
      <w:bookmarkStart w:id="3752" w:name="_Toc70333985"/>
      <w:bookmarkStart w:id="3753" w:name="_Toc70414922"/>
      <w:bookmarkStart w:id="3754" w:name="_Toc70844240"/>
      <w:bookmarkStart w:id="3755" w:name="_Toc70859008"/>
      <w:bookmarkStart w:id="3756" w:name="_Toc70861109"/>
      <w:bookmarkStart w:id="3757" w:name="_Toc70876594"/>
      <w:bookmarkStart w:id="3758" w:name="_Toc72615179"/>
      <w:bookmarkStart w:id="3759" w:name="_Toc73129902"/>
      <w:bookmarkStart w:id="3760" w:name="_Toc73301774"/>
      <w:bookmarkStart w:id="3761" w:name="_Toc73302280"/>
      <w:bookmarkStart w:id="3762" w:name="_Toc73303413"/>
      <w:bookmarkStart w:id="3763" w:name="_Toc73303633"/>
      <w:bookmarkStart w:id="3764" w:name="_Toc74080750"/>
      <w:bookmarkStart w:id="3765" w:name="_Toc74081058"/>
      <w:bookmarkStart w:id="3766" w:name="_Toc74081288"/>
      <w:bookmarkStart w:id="3767" w:name="_Toc74081558"/>
      <w:bookmarkStart w:id="3768" w:name="_Toc74171119"/>
      <w:bookmarkStart w:id="3769" w:name="_Toc74172335"/>
      <w:bookmarkStart w:id="3770" w:name="_Toc74172871"/>
      <w:bookmarkStart w:id="3771" w:name="_Toc74238793"/>
      <w:bookmarkStart w:id="3772" w:name="_Toc78304783"/>
      <w:bookmarkStart w:id="3773" w:name="_Toc79330884"/>
      <w:bookmarkStart w:id="3774" w:name="_Toc79331264"/>
      <w:bookmarkStart w:id="3775" w:name="_Toc79406446"/>
      <w:bookmarkStart w:id="3776" w:name="_Toc82773680"/>
      <w:bookmarkStart w:id="3777" w:name="_Toc82774033"/>
      <w:bookmarkStart w:id="3778" w:name="_Toc128314225"/>
      <w:bookmarkStart w:id="3779" w:name="_Toc135131470"/>
      <w:bookmarkStart w:id="3780" w:name="_Toc63683456"/>
      <w:bookmarkStart w:id="3781" w:name="_Toc70241801"/>
      <w:bookmarkStart w:id="3782" w:name="_Toc70243436"/>
      <w:r w:rsidRPr="006720E4">
        <w:t>Equity in distribution of donor tissues</w:t>
      </w:r>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r w:rsidRPr="006720E4">
        <w:t xml:space="preserve"> </w:t>
      </w:r>
      <w:bookmarkEnd w:id="3780"/>
      <w:bookmarkEnd w:id="3781"/>
      <w:bookmarkEnd w:id="3782"/>
    </w:p>
    <w:p w14:paraId="6D8F0B76" w14:textId="4513E7E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Promoting equity in the distribution of donor tissues and in access to tissue transplantation requires attention </w:t>
      </w:r>
      <w:r w:rsidRPr="00F24D34">
        <w:rPr>
          <w:rFonts w:ascii="Calibri" w:hAnsi="Calibri" w:cs="Calibri"/>
          <w:sz w:val="22"/>
          <w:szCs w:val="22"/>
        </w:rPr>
        <w:t xml:space="preserve">to the same ethical considerations that are discussed in the context of organ transplantation (see </w:t>
      </w:r>
      <w:hyperlink w:anchor="_Allocation_of_deceased" w:history="1">
        <w:r w:rsidRPr="00F24D34">
          <w:rPr>
            <w:rStyle w:val="Hyperlink"/>
            <w:rFonts w:ascii="Calibri" w:hAnsi="Calibri" w:cs="Calibri"/>
            <w:sz w:val="22"/>
            <w:szCs w:val="22"/>
          </w:rPr>
          <w:t xml:space="preserve">Chapter </w:t>
        </w:r>
        <w:r w:rsidR="00F24D34" w:rsidRPr="00F24D34">
          <w:rPr>
            <w:rStyle w:val="Hyperlink"/>
            <w:rFonts w:ascii="Calibri" w:hAnsi="Calibri" w:cs="Calibri"/>
            <w:sz w:val="22"/>
            <w:szCs w:val="22"/>
          </w:rPr>
          <w:t>8</w:t>
        </w:r>
        <w:r w:rsidRPr="00F24D34">
          <w:rPr>
            <w:rStyle w:val="Hyperlink"/>
            <w:rFonts w:ascii="Calibri" w:hAnsi="Calibri" w:cs="Calibri"/>
            <w:sz w:val="22"/>
            <w:szCs w:val="22"/>
          </w:rPr>
          <w:t>.4</w:t>
        </w:r>
      </w:hyperlink>
      <w:r w:rsidRPr="00F24D34">
        <w:rPr>
          <w:rFonts w:ascii="Calibri" w:hAnsi="Calibri" w:cs="Calibri"/>
          <w:sz w:val="22"/>
          <w:szCs w:val="22"/>
        </w:rPr>
        <w:t>). Differences in the systemic organi</w:t>
      </w:r>
      <w:r w:rsidR="000208BF">
        <w:rPr>
          <w:rFonts w:ascii="Calibri" w:hAnsi="Calibri" w:cs="Calibri"/>
          <w:sz w:val="22"/>
          <w:szCs w:val="22"/>
        </w:rPr>
        <w:t>s</w:t>
      </w:r>
      <w:r w:rsidRPr="00F24D34">
        <w:rPr>
          <w:rFonts w:ascii="Calibri" w:hAnsi="Calibri" w:cs="Calibri"/>
          <w:sz w:val="22"/>
          <w:szCs w:val="22"/>
        </w:rPr>
        <w:t>ation of tissue banking and transplantation of tissues mean that different allocation</w:t>
      </w:r>
      <w:r w:rsidRPr="006720E4">
        <w:rPr>
          <w:rFonts w:ascii="Calibri" w:hAnsi="Calibri" w:cs="Calibri"/>
          <w:sz w:val="22"/>
          <w:szCs w:val="22"/>
        </w:rPr>
        <w:t xml:space="preserve"> guidelines and systems are required, however the ethical values and principles guiding practice remain the same.</w:t>
      </w:r>
    </w:p>
    <w:p w14:paraId="23B7A707" w14:textId="77777777" w:rsidR="006C6EBA" w:rsidRPr="006720E4" w:rsidRDefault="006C6EBA" w:rsidP="00EA22AE">
      <w:pPr>
        <w:pStyle w:val="Heading3"/>
        <w:spacing w:after="120"/>
      </w:pPr>
      <w:bookmarkStart w:id="3783" w:name="_Importance_of_transparency"/>
      <w:bookmarkStart w:id="3784" w:name="_Toc72615180"/>
      <w:bookmarkStart w:id="3785" w:name="_Toc73129903"/>
      <w:bookmarkStart w:id="3786" w:name="_Toc73301775"/>
      <w:bookmarkStart w:id="3787" w:name="_Toc73302281"/>
      <w:bookmarkStart w:id="3788" w:name="_Toc73303414"/>
      <w:bookmarkStart w:id="3789" w:name="_Toc73303634"/>
      <w:bookmarkStart w:id="3790" w:name="_Toc74080751"/>
      <w:bookmarkStart w:id="3791" w:name="_Toc74081059"/>
      <w:bookmarkStart w:id="3792" w:name="_Toc74081289"/>
      <w:bookmarkStart w:id="3793" w:name="_Toc74081559"/>
      <w:bookmarkStart w:id="3794" w:name="_Toc74171120"/>
      <w:bookmarkStart w:id="3795" w:name="_Toc74172336"/>
      <w:bookmarkStart w:id="3796" w:name="_Toc74172872"/>
      <w:bookmarkStart w:id="3797" w:name="_Toc74238794"/>
      <w:bookmarkStart w:id="3798" w:name="_Toc79406447"/>
      <w:bookmarkStart w:id="3799" w:name="_Toc82773681"/>
      <w:bookmarkStart w:id="3800" w:name="_Toc82774034"/>
      <w:bookmarkEnd w:id="3783"/>
      <w:r w:rsidRPr="006720E4">
        <w:t>Importance of transparency and oversight of tissue allocation decision-making</w:t>
      </w:r>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p>
    <w:p w14:paraId="578F8671"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Tissue transplantation provides substantial benefits to recipients with regards to improvements in health and quality of life and is sometimes lifesaving. However, in comparison with needs for organ transplantation, needs for tissue transplantation are less commonly quantified and monitored via waiting lists for transplantation. This may be because transplants are more readily available, so there is less demand for a central allocation system to adjudicate between the competing needs of different individuals and consideration of time spent waiting for a transplant is not required as a tiebreaker in allocation decisions.  </w:t>
      </w:r>
    </w:p>
    <w:p w14:paraId="38258128" w14:textId="77777777" w:rsidR="006C6EBA" w:rsidRPr="006720E4" w:rsidRDefault="006C6EBA" w:rsidP="00EA22AE">
      <w:pPr>
        <w:spacing w:after="120"/>
        <w:rPr>
          <w:rFonts w:ascii="Calibri" w:hAnsi="Calibri" w:cs="Calibri"/>
          <w:color w:val="00B0F0"/>
          <w:sz w:val="22"/>
          <w:szCs w:val="22"/>
        </w:rPr>
      </w:pPr>
      <w:r w:rsidRPr="006720E4">
        <w:rPr>
          <w:rFonts w:ascii="Calibri" w:hAnsi="Calibri" w:cs="Calibri"/>
          <w:sz w:val="22"/>
          <w:szCs w:val="22"/>
        </w:rPr>
        <w:t xml:space="preserve">In many cases, there are sufficient tissues available to meet most urgent, if not all, needs for transplantation. This reduces potential concerns about inequities in allocation. Most tissues can also be transplanted without the need for immunological matching between donors and recipients, </w:t>
      </w:r>
      <w:r w:rsidRPr="006720E4">
        <w:rPr>
          <w:rFonts w:ascii="Calibri" w:hAnsi="Calibri" w:cs="Calibri"/>
          <w:color w:val="000000" w:themeColor="text1"/>
          <w:sz w:val="22"/>
          <w:szCs w:val="22"/>
        </w:rPr>
        <w:t>although some tissues such as cardiac valves (e.g., paediatric valves) or mass bone allografts may require specific matching for size. There is also some benefit for tissue matching of corneas in recipients that are considered at high risk of immunological rejection.</w:t>
      </w:r>
    </w:p>
    <w:p w14:paraId="11D8A8C9" w14:textId="66EE81C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Consequently, tissue banks, including eye banks, rarely share waiting lists with other banks, and may not maintain formal waiting lists at the institutional level. Banks may simply supply available tissues </w:t>
      </w:r>
      <w:r w:rsidRPr="006720E4">
        <w:rPr>
          <w:rFonts w:ascii="Calibri" w:hAnsi="Calibri" w:cs="Calibri"/>
          <w:sz w:val="22"/>
          <w:szCs w:val="22"/>
        </w:rPr>
        <w:lastRenderedPageBreak/>
        <w:t>as requests are made by health professionals or organi</w:t>
      </w:r>
      <w:r w:rsidR="000208BF">
        <w:rPr>
          <w:rFonts w:ascii="Calibri" w:hAnsi="Calibri" w:cs="Calibri"/>
          <w:sz w:val="22"/>
          <w:szCs w:val="22"/>
        </w:rPr>
        <w:t>s</w:t>
      </w:r>
      <w:r w:rsidRPr="006720E4">
        <w:rPr>
          <w:rFonts w:ascii="Calibri" w:hAnsi="Calibri" w:cs="Calibri"/>
          <w:sz w:val="22"/>
          <w:szCs w:val="22"/>
        </w:rPr>
        <w:t xml:space="preserve">ations, applying a ‘first come, first served’ principle, leaving those individuals to then distribute specific tissues to patients as needed. </w:t>
      </w:r>
    </w:p>
    <w:p w14:paraId="3FCFE4E9" w14:textId="7991517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Lack of formal allocation systems for tissues and tissue products does not necessarily reflect the absence of inequalities or indeed inequities in access to these resources. If supplies are plentiful, then concerns about inequities may only arise in the setting of unexpected surges in demand for specific tissues or crises in tissue </w:t>
      </w:r>
      <w:r w:rsidRPr="00300B74">
        <w:rPr>
          <w:rFonts w:ascii="Calibri" w:hAnsi="Calibri" w:cs="Calibri"/>
          <w:sz w:val="22"/>
          <w:szCs w:val="22"/>
        </w:rPr>
        <w:t xml:space="preserve">availability (see </w:t>
      </w:r>
      <w:hyperlink w:anchor="_Informal_approaches_to" w:history="1">
        <w:r w:rsidRPr="00300B74">
          <w:rPr>
            <w:rStyle w:val="Hyperlink"/>
            <w:rFonts w:ascii="Calibri" w:hAnsi="Calibri" w:cs="Calibri"/>
            <w:sz w:val="22"/>
            <w:szCs w:val="22"/>
          </w:rPr>
          <w:t xml:space="preserve">Chapter </w:t>
        </w:r>
        <w:r w:rsidR="00300B74" w:rsidRPr="00300B74">
          <w:rPr>
            <w:rStyle w:val="Hyperlink"/>
            <w:rFonts w:ascii="Calibri" w:hAnsi="Calibri" w:cs="Calibri"/>
            <w:sz w:val="22"/>
            <w:szCs w:val="22"/>
          </w:rPr>
          <w:t>8</w:t>
        </w:r>
        <w:r w:rsidRPr="00300B74">
          <w:rPr>
            <w:rStyle w:val="Hyperlink"/>
            <w:rFonts w:ascii="Calibri" w:hAnsi="Calibri" w:cs="Calibri"/>
            <w:sz w:val="22"/>
            <w:szCs w:val="22"/>
          </w:rPr>
          <w:t>.5.1.</w:t>
        </w:r>
      </w:hyperlink>
      <w:r w:rsidR="00300B74">
        <w:rPr>
          <w:rStyle w:val="Hyperlink"/>
          <w:rFonts w:ascii="Calibri" w:hAnsi="Calibri" w:cs="Calibri"/>
          <w:sz w:val="22"/>
          <w:szCs w:val="22"/>
        </w:rPr>
        <w:t>1</w:t>
      </w:r>
      <w:r w:rsidRPr="00300B74">
        <w:rPr>
          <w:rFonts w:ascii="Calibri" w:hAnsi="Calibri" w:cs="Calibri"/>
          <w:sz w:val="22"/>
          <w:szCs w:val="22"/>
        </w:rPr>
        <w:t>).</w:t>
      </w:r>
      <w:r w:rsidRPr="006720E4">
        <w:rPr>
          <w:rFonts w:ascii="Calibri" w:hAnsi="Calibri" w:cs="Calibri"/>
          <w:sz w:val="22"/>
          <w:szCs w:val="22"/>
        </w:rPr>
        <w:t xml:space="preserve"> Without established ethical frameworks and protocols for allocation in these circumstances, such as agreements for sharing of resources and prioritization of specific needs through collaboration of various tissue banks, unexpected shortages could lead to acute inequities in distribution of valuable resources. </w:t>
      </w:r>
    </w:p>
    <w:p w14:paraId="258D99D6" w14:textId="126B846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EBAANZ Ethical framework, for example, recommends the establishment of transparent allocation criteria and policy to guide decision-making about allocation of eye tissues “during periods of insufficiency in supply”.</w:t>
      </w:r>
      <w:r w:rsidRPr="006720E4">
        <w:rPr>
          <w:rFonts w:ascii="Calibri" w:hAnsi="Calibri" w:cs="Calibri"/>
          <w:sz w:val="22"/>
          <w:szCs w:val="22"/>
        </w:rPr>
        <w:fldChar w:fldCharType="begin" w:fldLock="1"/>
      </w:r>
      <w:r w:rsidR="00300B74">
        <w:rPr>
          <w:rFonts w:ascii="Calibri" w:hAnsi="Calibri" w:cs="Calibri"/>
          <w:sz w:val="22"/>
          <w:szCs w:val="22"/>
        </w:rPr>
        <w:instrText>ADDIN CSL_CITATION {"citationItems":[{"id":"ITEM-1","itemData":{"author":[{"dropping-particle":"","family":"Eye Bank Association of Australia New Zealand (EBAANZ)","given":"","non-dropping-particle":"","parse-names":false,"suffix":""}],"id":"ITEM-1","issue":"April","issued":{"date-parts":[["2009"]]},"number-of-pages":"1-49","title":"Medical and Quality Standards for Eye Donation and Eye Tissue Banking (2nd Ed)","type":"report"},"uris":["http://www.mendeley.com/documents/?uuid=d4e1b1fc-b3e8-4b1e-a8d3-7d321ce4f049"]}],"mendeley":{"formattedCitation":"(13)","plainTextFormattedCitation":"(13)","previouslyFormattedCitation":"(13)"},"properties":{"noteIndex":0},"schema":"https://github.com/citation-style-language/schema/raw/master/csl-citation.json"}</w:instrText>
      </w:r>
      <w:r w:rsidRPr="006720E4">
        <w:rPr>
          <w:rFonts w:ascii="Calibri" w:hAnsi="Calibri" w:cs="Calibri"/>
          <w:sz w:val="22"/>
          <w:szCs w:val="22"/>
        </w:rPr>
        <w:fldChar w:fldCharType="separate"/>
      </w:r>
      <w:r w:rsidR="00300B74" w:rsidRPr="00300B74">
        <w:rPr>
          <w:rFonts w:ascii="Calibri" w:hAnsi="Calibri" w:cs="Calibri"/>
          <w:noProof/>
          <w:sz w:val="22"/>
          <w:szCs w:val="22"/>
        </w:rPr>
        <w:t>(13)</w:t>
      </w:r>
      <w:r w:rsidRPr="006720E4">
        <w:rPr>
          <w:rFonts w:ascii="Calibri" w:hAnsi="Calibri" w:cs="Calibri"/>
          <w:sz w:val="22"/>
          <w:szCs w:val="22"/>
        </w:rPr>
        <w:fldChar w:fldCharType="end"/>
      </w:r>
      <w:r w:rsidRPr="006720E4">
        <w:rPr>
          <w:rFonts w:ascii="Calibri" w:hAnsi="Calibri" w:cs="Calibri"/>
          <w:sz w:val="22"/>
          <w:szCs w:val="22"/>
        </w:rPr>
        <w:t xml:space="preserve"> EBAANZ members have established a memorandum of understanding with regards to sharing of eye tissues that has improved efficiency in supply and equity in the distribution of eye tissues across Australia.</w:t>
      </w:r>
    </w:p>
    <w:p w14:paraId="44535C64" w14:textId="59FEED7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Even when supplies are plentiful, lack of attention to the details of distribution and monitoring of needs for specific types of tissue transplants – which could be facilitated through waiting lists or registries of transplant candidates, recipients or tissue utilization - could result in neglect of unrecognized inequities (</w:t>
      </w:r>
      <w:r w:rsidRPr="00300B74">
        <w:rPr>
          <w:rFonts w:ascii="Calibri" w:hAnsi="Calibri" w:cs="Calibri"/>
          <w:sz w:val="22"/>
          <w:szCs w:val="22"/>
        </w:rPr>
        <w:t xml:space="preserve">see </w:t>
      </w:r>
      <w:hyperlink w:anchor="_Potential_inequities_in" w:history="1">
        <w:r w:rsidRPr="00300B74">
          <w:rPr>
            <w:rStyle w:val="Hyperlink"/>
            <w:rFonts w:ascii="Calibri" w:hAnsi="Calibri" w:cs="Calibri"/>
            <w:sz w:val="22"/>
            <w:szCs w:val="22"/>
          </w:rPr>
          <w:t xml:space="preserve">Chapter </w:t>
        </w:r>
        <w:r w:rsidR="00300B74" w:rsidRPr="00300B74">
          <w:rPr>
            <w:rStyle w:val="Hyperlink"/>
            <w:rFonts w:ascii="Calibri" w:hAnsi="Calibri" w:cs="Calibri"/>
            <w:sz w:val="22"/>
            <w:szCs w:val="22"/>
          </w:rPr>
          <w:t>8</w:t>
        </w:r>
        <w:r w:rsidRPr="00300B74">
          <w:rPr>
            <w:rStyle w:val="Hyperlink"/>
            <w:rFonts w:ascii="Calibri" w:hAnsi="Calibri" w:cs="Calibri"/>
            <w:sz w:val="22"/>
            <w:szCs w:val="22"/>
          </w:rPr>
          <w:t>.5.1.2</w:t>
        </w:r>
      </w:hyperlink>
      <w:r w:rsidRPr="00300B74">
        <w:rPr>
          <w:rFonts w:ascii="Calibri" w:hAnsi="Calibri" w:cs="Calibri"/>
          <w:sz w:val="22"/>
          <w:szCs w:val="22"/>
        </w:rPr>
        <w:t>).</w:t>
      </w:r>
      <w:r w:rsidRPr="006720E4">
        <w:rPr>
          <w:rFonts w:ascii="Calibri" w:hAnsi="Calibri" w:cs="Calibri"/>
          <w:sz w:val="22"/>
          <w:szCs w:val="22"/>
        </w:rPr>
        <w:t xml:space="preserve"> </w:t>
      </w:r>
    </w:p>
    <w:p w14:paraId="4D0C4444" w14:textId="77777777" w:rsidR="006C6EBA" w:rsidRPr="006720E4" w:rsidRDefault="006C6EBA" w:rsidP="00EA22AE">
      <w:pPr>
        <w:pStyle w:val="Heading4"/>
        <w:spacing w:after="120"/>
      </w:pPr>
      <w:bookmarkStart w:id="3801" w:name="_Informal_approaches_to"/>
      <w:bookmarkStart w:id="3802" w:name="_Toc82773682"/>
      <w:bookmarkStart w:id="3803" w:name="_Toc82774035"/>
      <w:bookmarkEnd w:id="3801"/>
      <w:r w:rsidRPr="006720E4">
        <w:t>Informal approaches to prioritised allocation of donor tissues</w:t>
      </w:r>
      <w:bookmarkEnd w:id="3802"/>
      <w:bookmarkEnd w:id="3803"/>
      <w:r w:rsidRPr="006720E4">
        <w:t xml:space="preserve"> </w:t>
      </w:r>
    </w:p>
    <w:p w14:paraId="6AA3B9A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Informal allocation guidelines may be applied in the context of eye banks and tissue banks that manage tissues and tissue grafts that are less readily standardised, and which may require a level of specification before allocation to particular transplant candidates. For example, cardiac valves must be matched by size to paediatric transplant recipients, which means a waiting list may be established for such patients. </w:t>
      </w:r>
    </w:p>
    <w:p w14:paraId="2616D493" w14:textId="137D78C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the setting of emergencies requiring urgent tissue transplants for multiple people, such as mass casualty events in which several people suffer severe burns, available tissues such as skin grafts may be allocated ad hoc by health professionals with primary consideration of utility gains, in terms of likely patient survival and severity of needs.</w:t>
      </w:r>
    </w:p>
    <w:p w14:paraId="54E5E41E" w14:textId="77777777" w:rsidR="006C6EBA" w:rsidRPr="006720E4" w:rsidRDefault="006C6EBA" w:rsidP="00EA22AE">
      <w:pPr>
        <w:spacing w:after="120"/>
        <w:rPr>
          <w:rFonts w:ascii="Calibri" w:hAnsi="Calibri" w:cs="Calibri"/>
        </w:rPr>
      </w:pPr>
      <w:r w:rsidRPr="006720E4">
        <w:rPr>
          <w:rFonts w:ascii="Calibri" w:hAnsi="Calibri" w:cs="Calibri"/>
          <w:sz w:val="22"/>
          <w:szCs w:val="22"/>
        </w:rPr>
        <w:t>Eye banks, for example, may prioritize occasional patients who have an urgent clinical need such as threatened perforation (due to injury, infection, or disease), or intractable severe pain, for urgent surgery, and those with unilateral sight over those with bilateral sight. Corneas may also be allocated according to specific characteristics of both donors and prospective recipients.</w:t>
      </w:r>
    </w:p>
    <w:p w14:paraId="126D2F23" w14:textId="77777777" w:rsidR="006C6EBA" w:rsidRPr="006720E4" w:rsidRDefault="006C6EBA" w:rsidP="00EA22AE">
      <w:pPr>
        <w:pStyle w:val="Heading4"/>
        <w:spacing w:after="120"/>
      </w:pPr>
      <w:bookmarkStart w:id="3804" w:name="_Potential_inequities_in"/>
      <w:bookmarkStart w:id="3805" w:name="_Toc82773683"/>
      <w:bookmarkStart w:id="3806" w:name="_Toc82774036"/>
      <w:bookmarkEnd w:id="3804"/>
      <w:r w:rsidRPr="006720E4">
        <w:t>Potential inequities in distribution of donor tissues</w:t>
      </w:r>
      <w:bookmarkEnd w:id="3805"/>
      <w:bookmarkEnd w:id="3806"/>
      <w:r w:rsidRPr="006720E4">
        <w:t xml:space="preserve"> </w:t>
      </w:r>
    </w:p>
    <w:p w14:paraId="01B61C3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absence of formal waiting lists or other systems for objectively assessing potential needs for tissue transplantation, tissue banks may be dependent on evaluating </w:t>
      </w:r>
      <w:r w:rsidRPr="006720E4">
        <w:rPr>
          <w:rFonts w:ascii="Calibri" w:hAnsi="Calibri" w:cs="Calibri"/>
          <w:i/>
          <w:iCs/>
          <w:sz w:val="22"/>
          <w:szCs w:val="22"/>
        </w:rPr>
        <w:t>ad hoc</w:t>
      </w:r>
      <w:r w:rsidRPr="006720E4">
        <w:rPr>
          <w:rFonts w:ascii="Calibri" w:hAnsi="Calibri" w:cs="Calibri"/>
          <w:sz w:val="22"/>
          <w:szCs w:val="22"/>
        </w:rPr>
        <w:t xml:space="preserve"> requests from health professionals to determine whether there is unmet demand for a particular type of tissue. This may result in skewed perspectives of needs and undermine the ability to meet real needs. Although health professionals are well placed to evaluate the potential benefits of transplantation in specific patients, there is significant potential for inequities to develop in the absence of formal allocation guidelines and measures designed to ensure routine review of outcomes and accountability for decision-making, especially - but not only - when resources may be limited. </w:t>
      </w:r>
    </w:p>
    <w:p w14:paraId="426472C5" w14:textId="4F8FFA5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if health professionals find it difficult to obtain specific tissues, or are unaware of the availability of particular types of tissues, they may use biosynthetic or alternative tissues that may be less beneficial for patients. In the absence of apparent demand for a particular graft type, tissue banks may in turn continue to prioritise the preparation of donor tissues in ways that are in fact less therapeutically valuable, but which appear to be more in demand. Consequently, the benefits of </w:t>
      </w:r>
      <w:r w:rsidRPr="006720E4">
        <w:rPr>
          <w:rFonts w:ascii="Calibri" w:hAnsi="Calibri" w:cs="Calibri"/>
          <w:sz w:val="22"/>
          <w:szCs w:val="22"/>
        </w:rPr>
        <w:lastRenderedPageBreak/>
        <w:t>donated tissues may not be fairly distributed across the population of potential transplant recipients, and utility of donation may not be optimal for the community.</w:t>
      </w:r>
    </w:p>
    <w:p w14:paraId="2293C9C9" w14:textId="6D68756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Lack of formal allocation systems and reliance on informal approaches to tissue allocation (see </w:t>
      </w:r>
      <w:hyperlink w:anchor="_Informal_approaches_to" w:history="1">
        <w:r w:rsidRPr="008955F7">
          <w:rPr>
            <w:rStyle w:val="Hyperlink"/>
            <w:rFonts w:ascii="Calibri" w:hAnsi="Calibri" w:cs="Calibri"/>
            <w:sz w:val="22"/>
            <w:szCs w:val="22"/>
          </w:rPr>
          <w:t xml:space="preserve">Chapter </w:t>
        </w:r>
        <w:r w:rsidR="008955F7" w:rsidRPr="008955F7">
          <w:rPr>
            <w:rStyle w:val="Hyperlink"/>
            <w:rFonts w:ascii="Calibri" w:hAnsi="Calibri" w:cs="Calibri"/>
            <w:sz w:val="22"/>
            <w:szCs w:val="22"/>
          </w:rPr>
          <w:t>8</w:t>
        </w:r>
        <w:r w:rsidRPr="008955F7">
          <w:rPr>
            <w:rStyle w:val="Hyperlink"/>
            <w:rFonts w:ascii="Calibri" w:hAnsi="Calibri" w:cs="Calibri"/>
            <w:sz w:val="22"/>
            <w:szCs w:val="22"/>
          </w:rPr>
          <w:t>.5.1.1</w:t>
        </w:r>
      </w:hyperlink>
      <w:r w:rsidRPr="008955F7">
        <w:rPr>
          <w:rFonts w:ascii="Calibri" w:hAnsi="Calibri" w:cs="Calibri"/>
          <w:sz w:val="22"/>
          <w:szCs w:val="22"/>
        </w:rPr>
        <w:t>) may also increase</w:t>
      </w:r>
      <w:r w:rsidRPr="006720E4">
        <w:rPr>
          <w:rFonts w:ascii="Calibri" w:hAnsi="Calibri" w:cs="Calibri"/>
          <w:sz w:val="22"/>
          <w:szCs w:val="22"/>
        </w:rPr>
        <w:t xml:space="preserve"> the risk of perverse incentives or conflicts of interest inappropriately influencing decision-making about investment in and distribution of tissue products </w:t>
      </w:r>
      <w:r w:rsidRPr="000B298E">
        <w:rPr>
          <w:rFonts w:ascii="Calibri" w:hAnsi="Calibri" w:cs="Calibri"/>
          <w:sz w:val="22"/>
          <w:szCs w:val="22"/>
        </w:rPr>
        <w:t xml:space="preserve">(see </w:t>
      </w:r>
      <w:hyperlink w:anchor="_Cost_recovery_and" w:history="1">
        <w:r w:rsidRPr="000B298E">
          <w:rPr>
            <w:rStyle w:val="Hyperlink"/>
            <w:rFonts w:ascii="Calibri" w:hAnsi="Calibri" w:cs="Calibri"/>
            <w:sz w:val="22"/>
            <w:szCs w:val="22"/>
          </w:rPr>
          <w:t xml:space="preserve">Chapter </w:t>
        </w:r>
        <w:r w:rsidR="000B298E" w:rsidRPr="000B298E">
          <w:rPr>
            <w:rStyle w:val="Hyperlink"/>
            <w:rFonts w:ascii="Calibri" w:hAnsi="Calibri" w:cs="Calibri"/>
            <w:sz w:val="22"/>
            <w:szCs w:val="22"/>
          </w:rPr>
          <w:t>10</w:t>
        </w:r>
        <w:r w:rsidRPr="000B298E">
          <w:rPr>
            <w:rStyle w:val="Hyperlink"/>
            <w:rFonts w:ascii="Calibri" w:hAnsi="Calibri" w:cs="Calibri"/>
            <w:sz w:val="22"/>
            <w:szCs w:val="22"/>
          </w:rPr>
          <w:t>.5</w:t>
        </w:r>
      </w:hyperlink>
      <w:r w:rsidRPr="000B298E">
        <w:rPr>
          <w:rFonts w:ascii="Calibri" w:hAnsi="Calibri" w:cs="Calibri"/>
          <w:sz w:val="22"/>
          <w:szCs w:val="22"/>
        </w:rPr>
        <w:t>), as it is more</w:t>
      </w:r>
      <w:r w:rsidRPr="006720E4">
        <w:rPr>
          <w:rFonts w:ascii="Calibri" w:hAnsi="Calibri" w:cs="Calibri"/>
          <w:sz w:val="22"/>
          <w:szCs w:val="22"/>
        </w:rPr>
        <w:t xml:space="preserve"> difficult to evaluate the prevalence and magnitude of therapeutic needs for tissue transplants and which needs are being met. </w:t>
      </w:r>
    </w:p>
    <w:p w14:paraId="1AB0E2D0" w14:textId="2EEA1BAA" w:rsidR="006C6EBA" w:rsidRPr="006720E4" w:rsidRDefault="006C6EBA" w:rsidP="00EA22AE">
      <w:pPr>
        <w:pStyle w:val="Heading4"/>
        <w:spacing w:after="120"/>
      </w:pPr>
      <w:bookmarkStart w:id="3807" w:name="_Potential_conflicts_of"/>
      <w:bookmarkStart w:id="3808" w:name="_Toc73301776"/>
      <w:bookmarkStart w:id="3809" w:name="_Toc73302282"/>
      <w:bookmarkStart w:id="3810" w:name="_Toc73303415"/>
      <w:bookmarkStart w:id="3811" w:name="_Toc74081560"/>
      <w:bookmarkStart w:id="3812" w:name="_Toc74172337"/>
      <w:bookmarkStart w:id="3813" w:name="_Toc74172873"/>
      <w:bookmarkStart w:id="3814" w:name="_Toc82773684"/>
      <w:bookmarkStart w:id="3815" w:name="_Toc82774037"/>
      <w:bookmarkEnd w:id="3807"/>
      <w:r w:rsidRPr="006720E4">
        <w:t>Potential conflicts of interest in allocation of tissues</w:t>
      </w:r>
      <w:bookmarkEnd w:id="3808"/>
      <w:bookmarkEnd w:id="3809"/>
      <w:bookmarkEnd w:id="3810"/>
      <w:bookmarkEnd w:id="3811"/>
      <w:bookmarkEnd w:id="3812"/>
      <w:bookmarkEnd w:id="3813"/>
      <w:bookmarkEnd w:id="3814"/>
      <w:bookmarkEnd w:id="3815"/>
    </w:p>
    <w:p w14:paraId="0EFA0149" w14:textId="130EAFDD" w:rsidR="006C6EBA" w:rsidRPr="00FD182A" w:rsidRDefault="006C6EBA" w:rsidP="00EA22AE">
      <w:pPr>
        <w:spacing w:after="120"/>
        <w:rPr>
          <w:rFonts w:ascii="Calibri" w:hAnsi="Calibri" w:cs="Calibri"/>
          <w:sz w:val="22"/>
          <w:szCs w:val="22"/>
        </w:rPr>
      </w:pPr>
      <w:r w:rsidRPr="006720E4">
        <w:rPr>
          <w:rFonts w:ascii="Calibri" w:hAnsi="Calibri" w:cs="Calibri"/>
          <w:sz w:val="22"/>
          <w:szCs w:val="22"/>
        </w:rPr>
        <w:t xml:space="preserve">In the absence of formal tissue allocation frameworks, concerns about potential conflicts of interest in decision-making may be </w:t>
      </w:r>
      <w:r w:rsidRPr="00FD182A">
        <w:rPr>
          <w:rFonts w:ascii="Calibri" w:hAnsi="Calibri" w:cs="Calibri"/>
          <w:sz w:val="22"/>
          <w:szCs w:val="22"/>
        </w:rPr>
        <w:t xml:space="preserve">more acute (see </w:t>
      </w:r>
      <w:hyperlink w:anchor="_Legislation" w:history="1">
        <w:r w:rsidR="00CB5556" w:rsidRPr="00FD182A">
          <w:rPr>
            <w:rStyle w:val="Hyperlink"/>
            <w:rFonts w:ascii="Calibri" w:hAnsi="Calibri" w:cs="Calibri"/>
            <w:sz w:val="22"/>
            <w:szCs w:val="22"/>
          </w:rPr>
          <w:t>Chapter 3.8</w:t>
        </w:r>
      </w:hyperlink>
      <w:r w:rsidRPr="00FD182A">
        <w:rPr>
          <w:rFonts w:ascii="Calibri" w:hAnsi="Calibri" w:cs="Calibri"/>
          <w:sz w:val="22"/>
          <w:szCs w:val="22"/>
        </w:rPr>
        <w:t>).</w:t>
      </w:r>
    </w:p>
    <w:p w14:paraId="280FF815" w14:textId="3639A52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There is an inherent conflict of interests when a health professional involved in the allocation of tissues requests tissues for their own patients. The primary duty of care that health professionals have is to prioritise the wellbeing of patients with whom they have an established therapeutic relationship (</w:t>
      </w:r>
      <w:r w:rsidR="00630779">
        <w:rPr>
          <w:rFonts w:ascii="Calibri" w:hAnsi="Calibri" w:cs="Calibri"/>
          <w:sz w:val="22"/>
          <w:szCs w:val="22"/>
        </w:rPr>
        <w:t xml:space="preserve">see </w:t>
      </w:r>
      <w:hyperlink w:anchor="_Duty_of_care" w:history="1">
        <w:r w:rsidR="00630779" w:rsidRPr="006720E4">
          <w:rPr>
            <w:rStyle w:val="Hyperlink"/>
            <w:rFonts w:ascii="Calibri" w:hAnsi="Calibri" w:cs="Calibri"/>
            <w:sz w:val="22"/>
            <w:szCs w:val="22"/>
          </w:rPr>
          <w:t>Chapter 3.3.4.1</w:t>
        </w:r>
      </w:hyperlink>
      <w:r w:rsidR="00630779">
        <w:rPr>
          <w:rFonts w:ascii="Calibri" w:hAnsi="Calibri" w:cs="Calibri"/>
          <w:sz w:val="22"/>
          <w:szCs w:val="22"/>
        </w:rPr>
        <w:t>).</w:t>
      </w:r>
      <w:r w:rsidRPr="006720E4">
        <w:rPr>
          <w:rFonts w:ascii="Calibri" w:hAnsi="Calibri" w:cs="Calibri"/>
          <w:sz w:val="22"/>
          <w:szCs w:val="22"/>
        </w:rPr>
        <w:t xml:space="preserve"> Although health professionals also have duties towards the wider community and an obligation to manage health resources efficiently and effectively, it is important that there are independent persons involved in decision-making about allocation of tissues and others who may advocate for the potential transplant needs of other patients. For example, if two burn centres simultaneously request skin allograft for the treatment of different patients, a tissue bank may need to facilitate discussion between health professionals at each centre if it is necessary to prioritise allocation of available grafts to specific patients.</w:t>
      </w:r>
    </w:p>
    <w:p w14:paraId="07ACF7B4" w14:textId="624ABF0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Potential conflicts of interest may also arise due to the relationships between tissue bank staff responsible for tissue distribution and those requesting tissues for transplantation. For example, if donor tissues are obtained at the same hospital at which a patient requires a tissue transplant, or if the surgeon requesting a graft for a patient has a relationship with or role in the providing tissue bank, these represent potential conflicts of interest. In some cases, some donor tissues may be “reserved” for use in the institution in which the donations are obtained, or the institution may be given some priority in accessing tissues. Financial conflicts of interest may also arise, which are </w:t>
      </w:r>
      <w:r w:rsidRPr="000B298E">
        <w:rPr>
          <w:rFonts w:ascii="Calibri" w:hAnsi="Calibri" w:cs="Calibri"/>
          <w:sz w:val="22"/>
          <w:szCs w:val="22"/>
        </w:rPr>
        <w:t xml:space="preserve">discussed in </w:t>
      </w:r>
      <w:hyperlink w:anchor="_Cost_recovery_and" w:history="1">
        <w:r w:rsidRPr="000B298E">
          <w:rPr>
            <w:rStyle w:val="Hyperlink"/>
            <w:rFonts w:ascii="Calibri" w:hAnsi="Calibri" w:cs="Calibri"/>
            <w:sz w:val="22"/>
            <w:szCs w:val="22"/>
          </w:rPr>
          <w:t xml:space="preserve">Chapter </w:t>
        </w:r>
        <w:r w:rsidR="000B298E" w:rsidRPr="000B298E">
          <w:rPr>
            <w:rStyle w:val="Hyperlink"/>
            <w:rFonts w:ascii="Calibri" w:hAnsi="Calibri" w:cs="Calibri"/>
            <w:sz w:val="22"/>
            <w:szCs w:val="22"/>
          </w:rPr>
          <w:t>10</w:t>
        </w:r>
        <w:r w:rsidRPr="000B298E">
          <w:rPr>
            <w:rStyle w:val="Hyperlink"/>
            <w:rFonts w:ascii="Calibri" w:hAnsi="Calibri" w:cs="Calibri"/>
            <w:sz w:val="22"/>
            <w:szCs w:val="22"/>
          </w:rPr>
          <w:t>.5</w:t>
        </w:r>
      </w:hyperlink>
      <w:r w:rsidRPr="000B298E">
        <w:rPr>
          <w:rFonts w:ascii="Calibri" w:hAnsi="Calibri" w:cs="Calibri"/>
          <w:sz w:val="22"/>
          <w:szCs w:val="22"/>
        </w:rPr>
        <w:t>.</w:t>
      </w:r>
    </w:p>
    <w:p w14:paraId="11A75F1A" w14:textId="7EC4B859" w:rsidR="006C6EBA" w:rsidRPr="006720E4" w:rsidRDefault="006C6EBA" w:rsidP="00EA22AE">
      <w:pPr>
        <w:pStyle w:val="Heading2"/>
        <w:spacing w:after="120"/>
      </w:pPr>
      <w:bookmarkStart w:id="3816" w:name="_Considerations_for_procedural"/>
      <w:bookmarkStart w:id="3817" w:name="_Toc63683457"/>
      <w:bookmarkStart w:id="3818" w:name="_Toc70241802"/>
      <w:bookmarkStart w:id="3819" w:name="_Toc70243437"/>
      <w:bookmarkStart w:id="3820" w:name="_Toc70414923"/>
      <w:bookmarkStart w:id="3821" w:name="_Toc70844241"/>
      <w:bookmarkStart w:id="3822" w:name="_Toc72615181"/>
      <w:bookmarkStart w:id="3823" w:name="_Toc73129904"/>
      <w:bookmarkStart w:id="3824" w:name="_Toc73301777"/>
      <w:bookmarkStart w:id="3825" w:name="_Toc73302283"/>
      <w:bookmarkStart w:id="3826" w:name="_Toc73303416"/>
      <w:bookmarkStart w:id="3827" w:name="_Toc73303635"/>
      <w:bookmarkStart w:id="3828" w:name="_Toc74080752"/>
      <w:bookmarkStart w:id="3829" w:name="_Toc74081060"/>
      <w:bookmarkStart w:id="3830" w:name="_Toc74081290"/>
      <w:bookmarkStart w:id="3831" w:name="_Toc74081561"/>
      <w:bookmarkStart w:id="3832" w:name="_Toc74171121"/>
      <w:bookmarkStart w:id="3833" w:name="_Toc74172338"/>
      <w:bookmarkStart w:id="3834" w:name="_Toc74172874"/>
      <w:bookmarkStart w:id="3835" w:name="_Toc74238795"/>
      <w:bookmarkStart w:id="3836" w:name="_Toc78304784"/>
      <w:bookmarkStart w:id="3837" w:name="_Toc79330885"/>
      <w:bookmarkStart w:id="3838" w:name="_Toc79331265"/>
      <w:bookmarkStart w:id="3839" w:name="_Toc79406448"/>
      <w:bookmarkStart w:id="3840" w:name="_Toc82773685"/>
      <w:bookmarkStart w:id="3841" w:name="_Toc82774038"/>
      <w:bookmarkStart w:id="3842" w:name="_Toc128314226"/>
      <w:bookmarkStart w:id="3843" w:name="_Toc135131471"/>
      <w:bookmarkEnd w:id="3816"/>
      <w:r w:rsidRPr="006720E4">
        <w:t>Considerations for procedural justice in distribution and allocation of donor tissues</w:t>
      </w:r>
      <w:bookmarkEnd w:id="3817"/>
      <w:bookmarkEnd w:id="3818"/>
      <w:bookmarkEnd w:id="3819"/>
      <w:bookmarkEnd w:id="3820"/>
      <w:bookmarkEnd w:id="3821"/>
      <w:bookmarkEnd w:id="3822"/>
      <w:bookmarkEnd w:id="3823"/>
      <w:r w:rsidRPr="006720E4">
        <w:t xml:space="preserve"> and organs</w:t>
      </w:r>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p>
    <w:p w14:paraId="5CF83073" w14:textId="5A36B39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following steps are recommended to assist in promoting equity and avoiding inequities in the distribution of donor tissues and organs</w:t>
      </w:r>
      <w:r w:rsidR="003D03F9">
        <w:rPr>
          <w:rFonts w:ascii="Calibri" w:hAnsi="Calibri" w:cs="Calibri"/>
          <w:sz w:val="22"/>
          <w:szCs w:val="22"/>
        </w:rPr>
        <w:t>:</w:t>
      </w:r>
    </w:p>
    <w:p w14:paraId="38679AF9" w14:textId="5C45A745" w:rsidR="006C6EBA" w:rsidRPr="006720E4" w:rsidRDefault="006C6EBA" w:rsidP="00C3783C">
      <w:pPr>
        <w:pStyle w:val="ListParagraph"/>
        <w:numPr>
          <w:ilvl w:val="0"/>
          <w:numId w:val="107"/>
        </w:numPr>
        <w:spacing w:after="120"/>
        <w:contextualSpacing w:val="0"/>
        <w:rPr>
          <w:rFonts w:cs="Calibri"/>
          <w:szCs w:val="22"/>
        </w:rPr>
      </w:pPr>
      <w:r w:rsidRPr="006720E4">
        <w:rPr>
          <w:rFonts w:cs="Calibri"/>
          <w:szCs w:val="22"/>
        </w:rPr>
        <w:t>All institutions or organi</w:t>
      </w:r>
      <w:r w:rsidR="000208BF">
        <w:rPr>
          <w:rFonts w:cs="Calibri"/>
          <w:szCs w:val="22"/>
        </w:rPr>
        <w:t>s</w:t>
      </w:r>
      <w:r w:rsidRPr="006720E4">
        <w:rPr>
          <w:rFonts w:cs="Calibri"/>
          <w:szCs w:val="22"/>
        </w:rPr>
        <w:t xml:space="preserve">ations involved in distribution or allocation of donor tissues or organs should have a clear and publicly communicated policy governing decision-making about the allocation or distribution of tissues or organs. </w:t>
      </w:r>
    </w:p>
    <w:p w14:paraId="79B10B36" w14:textId="77777777" w:rsidR="006C6EBA" w:rsidRDefault="006C6EBA" w:rsidP="00C3783C">
      <w:pPr>
        <w:pStyle w:val="ListParagraph"/>
        <w:numPr>
          <w:ilvl w:val="0"/>
          <w:numId w:val="107"/>
        </w:numPr>
        <w:spacing w:after="120"/>
        <w:contextualSpacing w:val="0"/>
        <w:rPr>
          <w:rFonts w:cs="Calibri"/>
          <w:szCs w:val="22"/>
        </w:rPr>
      </w:pPr>
      <w:r w:rsidRPr="006720E4">
        <w:rPr>
          <w:rFonts w:cs="Calibri"/>
          <w:szCs w:val="22"/>
        </w:rPr>
        <w:t xml:space="preserve">Policies should detail the ethical values and principles guiding decision-making and provide information on the goals of the policy, how decisions are made and how the impact of the policy is evaluated. </w:t>
      </w:r>
    </w:p>
    <w:p w14:paraId="2C8927D6" w14:textId="3FA9A854" w:rsidR="000B298E" w:rsidRPr="000B298E" w:rsidRDefault="000B298E" w:rsidP="00C3783C">
      <w:pPr>
        <w:pStyle w:val="FootnoteText1"/>
        <w:numPr>
          <w:ilvl w:val="1"/>
          <w:numId w:val="107"/>
        </w:numPr>
        <w:spacing w:after="120"/>
        <w:rPr>
          <w:rFonts w:cs="Calibri"/>
          <w:sz w:val="22"/>
          <w:szCs w:val="22"/>
        </w:rPr>
      </w:pPr>
      <w:r w:rsidRPr="006720E4">
        <w:rPr>
          <w:rFonts w:cs="Calibri"/>
          <w:sz w:val="22"/>
          <w:szCs w:val="22"/>
        </w:rPr>
        <w:t>Policies should be informed by the values and preferences of the communities in which they are implemented.</w:t>
      </w:r>
    </w:p>
    <w:p w14:paraId="1807FEC5" w14:textId="602691DE" w:rsidR="006C6EBA" w:rsidRPr="006720E4" w:rsidRDefault="006C6EBA" w:rsidP="00C3783C">
      <w:pPr>
        <w:pStyle w:val="ListParagraph"/>
        <w:numPr>
          <w:ilvl w:val="0"/>
          <w:numId w:val="107"/>
        </w:numPr>
        <w:spacing w:after="120"/>
        <w:contextualSpacing w:val="0"/>
        <w:rPr>
          <w:rFonts w:cs="Calibri"/>
          <w:szCs w:val="22"/>
        </w:rPr>
      </w:pPr>
      <w:r w:rsidRPr="006720E4">
        <w:rPr>
          <w:rFonts w:cs="Calibri"/>
          <w:szCs w:val="22"/>
        </w:rPr>
        <w:t>Policies should make provision for how donated tissues and organs may be shared between institutions or organi</w:t>
      </w:r>
      <w:r w:rsidR="000208BF">
        <w:rPr>
          <w:rFonts w:cs="Calibri"/>
          <w:szCs w:val="22"/>
        </w:rPr>
        <w:t>s</w:t>
      </w:r>
      <w:r w:rsidRPr="006720E4">
        <w:rPr>
          <w:rFonts w:cs="Calibri"/>
          <w:szCs w:val="22"/>
        </w:rPr>
        <w:t xml:space="preserve">ation such as tissue banks or transplant centres, or between jurisdictions, including provision of guidance on </w:t>
      </w:r>
    </w:p>
    <w:p w14:paraId="05C591A1" w14:textId="77777777" w:rsidR="006C6EBA" w:rsidRPr="006720E4" w:rsidRDefault="006C6EBA" w:rsidP="00C3783C">
      <w:pPr>
        <w:pStyle w:val="ListParagraph"/>
        <w:numPr>
          <w:ilvl w:val="2"/>
          <w:numId w:val="107"/>
        </w:numPr>
        <w:spacing w:after="120"/>
        <w:contextualSpacing w:val="0"/>
        <w:rPr>
          <w:rFonts w:cs="Calibri"/>
          <w:szCs w:val="22"/>
        </w:rPr>
      </w:pPr>
      <w:r w:rsidRPr="006720E4">
        <w:rPr>
          <w:rFonts w:cs="Calibri"/>
          <w:szCs w:val="22"/>
        </w:rPr>
        <w:t>how donations will be allocated in the event of temporary or longer-term insufficiency of supplies to meet all demands.</w:t>
      </w:r>
    </w:p>
    <w:p w14:paraId="07707A99" w14:textId="77777777" w:rsidR="006C6EBA" w:rsidRPr="006720E4" w:rsidRDefault="006C6EBA" w:rsidP="00C3783C">
      <w:pPr>
        <w:pStyle w:val="ListParagraph"/>
        <w:numPr>
          <w:ilvl w:val="2"/>
          <w:numId w:val="107"/>
        </w:numPr>
        <w:spacing w:after="120"/>
        <w:contextualSpacing w:val="0"/>
        <w:rPr>
          <w:rFonts w:cs="Calibri"/>
          <w:szCs w:val="22"/>
        </w:rPr>
      </w:pPr>
      <w:r w:rsidRPr="006720E4">
        <w:rPr>
          <w:rFonts w:cs="Calibri"/>
          <w:szCs w:val="22"/>
        </w:rPr>
        <w:lastRenderedPageBreak/>
        <w:t>how urgent and severe needs will be met.</w:t>
      </w:r>
    </w:p>
    <w:p w14:paraId="011C0066" w14:textId="77777777" w:rsidR="006C6EBA" w:rsidRPr="006720E4" w:rsidRDefault="006C6EBA" w:rsidP="00C3783C">
      <w:pPr>
        <w:pStyle w:val="ListParagraph"/>
        <w:numPr>
          <w:ilvl w:val="0"/>
          <w:numId w:val="107"/>
        </w:numPr>
        <w:spacing w:after="120"/>
        <w:contextualSpacing w:val="0"/>
        <w:rPr>
          <w:rFonts w:cs="Calibri"/>
          <w:szCs w:val="22"/>
        </w:rPr>
      </w:pPr>
      <w:r w:rsidRPr="006720E4">
        <w:rPr>
          <w:rFonts w:cs="Calibri"/>
          <w:szCs w:val="22"/>
        </w:rPr>
        <w:t xml:space="preserve">In the case of tissue banks, policies should also detail the priorities accorded to specific clinical indications for tissue transplantation and utilisation of specific graft types in settings of insufficient supply. </w:t>
      </w:r>
    </w:p>
    <w:p w14:paraId="2A48011A" w14:textId="4D9FBEF7" w:rsidR="006C6EBA" w:rsidRPr="006720E4" w:rsidRDefault="006C6EBA" w:rsidP="00C3783C">
      <w:pPr>
        <w:pStyle w:val="ListParagraph"/>
        <w:numPr>
          <w:ilvl w:val="0"/>
          <w:numId w:val="107"/>
        </w:numPr>
        <w:spacing w:after="120"/>
        <w:contextualSpacing w:val="0"/>
        <w:rPr>
          <w:rFonts w:cs="Calibri"/>
          <w:szCs w:val="22"/>
        </w:rPr>
      </w:pPr>
      <w:r w:rsidRPr="006720E4">
        <w:rPr>
          <w:rFonts w:cs="Calibri"/>
          <w:szCs w:val="22"/>
        </w:rPr>
        <w:t>Data should be routinely collected to help inform estimates of needs and priorities for transplantation</w:t>
      </w:r>
      <w:r w:rsidR="000B298E">
        <w:rPr>
          <w:rFonts w:cs="Calibri"/>
          <w:szCs w:val="22"/>
        </w:rPr>
        <w:t>.</w:t>
      </w:r>
    </w:p>
    <w:p w14:paraId="275F1731" w14:textId="77777777" w:rsidR="006C6EBA" w:rsidRPr="006720E4" w:rsidRDefault="006C6EBA" w:rsidP="00C3783C">
      <w:pPr>
        <w:pStyle w:val="ListParagraph"/>
        <w:numPr>
          <w:ilvl w:val="2"/>
          <w:numId w:val="107"/>
        </w:numPr>
        <w:spacing w:after="120"/>
        <w:contextualSpacing w:val="0"/>
        <w:rPr>
          <w:rFonts w:cs="Calibri"/>
          <w:szCs w:val="22"/>
        </w:rPr>
      </w:pPr>
      <w:r w:rsidRPr="006720E4">
        <w:rPr>
          <w:rFonts w:cs="Calibri"/>
          <w:szCs w:val="22"/>
        </w:rPr>
        <w:t xml:space="preserve">For example, regarding clinical requests for tissues and any other information that may be used to estimate the prevalence of needs if not demand for tissue products. </w:t>
      </w:r>
    </w:p>
    <w:p w14:paraId="0609827E" w14:textId="6AAB6DCA" w:rsidR="006C6EBA" w:rsidRPr="006720E4" w:rsidRDefault="006C6EBA" w:rsidP="00C3783C">
      <w:pPr>
        <w:pStyle w:val="ListParagraph"/>
        <w:numPr>
          <w:ilvl w:val="0"/>
          <w:numId w:val="107"/>
        </w:numPr>
        <w:spacing w:after="120"/>
        <w:contextualSpacing w:val="0"/>
        <w:rPr>
          <w:rFonts w:cs="Calibri"/>
          <w:szCs w:val="22"/>
        </w:rPr>
      </w:pPr>
      <w:r w:rsidRPr="006720E4">
        <w:rPr>
          <w:rFonts w:cs="Calibri"/>
          <w:szCs w:val="21"/>
        </w:rPr>
        <w:t>Data should be routinely collected to help inform estimates of needs and priorities for transplantation</w:t>
      </w:r>
      <w:r w:rsidR="000B298E">
        <w:rPr>
          <w:rFonts w:cs="Calibri"/>
          <w:szCs w:val="21"/>
        </w:rPr>
        <w:t>.</w:t>
      </w:r>
    </w:p>
    <w:p w14:paraId="35DFC2C6" w14:textId="77777777" w:rsidR="006C6EBA" w:rsidRPr="006720E4" w:rsidRDefault="006C6EBA" w:rsidP="00C3783C">
      <w:pPr>
        <w:pStyle w:val="ListParagraph"/>
        <w:numPr>
          <w:ilvl w:val="2"/>
          <w:numId w:val="107"/>
        </w:numPr>
        <w:spacing w:after="120"/>
        <w:contextualSpacing w:val="0"/>
        <w:rPr>
          <w:rFonts w:cs="Calibri"/>
          <w:szCs w:val="22"/>
        </w:rPr>
      </w:pPr>
      <w:r w:rsidRPr="006720E4">
        <w:rPr>
          <w:rFonts w:cs="Calibri"/>
          <w:szCs w:val="22"/>
        </w:rPr>
        <w:t xml:space="preserve">For example, regarding clinical requests for tissues and any other information that may be used to estimate the prevalence of needs if not demand for tissue products. </w:t>
      </w:r>
    </w:p>
    <w:p w14:paraId="64400174" w14:textId="77777777" w:rsidR="006C6EBA" w:rsidRPr="006720E4" w:rsidRDefault="006C6EBA" w:rsidP="00C3783C">
      <w:pPr>
        <w:pStyle w:val="ListParagraph"/>
        <w:numPr>
          <w:ilvl w:val="2"/>
          <w:numId w:val="107"/>
        </w:numPr>
        <w:spacing w:after="120"/>
        <w:contextualSpacing w:val="0"/>
        <w:rPr>
          <w:rFonts w:cs="Calibri"/>
          <w:szCs w:val="22"/>
        </w:rPr>
      </w:pPr>
      <w:r w:rsidRPr="006720E4">
        <w:rPr>
          <w:rFonts w:cs="Calibri"/>
          <w:szCs w:val="22"/>
        </w:rPr>
        <w:t>For example, regarding prevalence of end stage organ failure in the population.</w:t>
      </w:r>
    </w:p>
    <w:p w14:paraId="0684A74B" w14:textId="77777777" w:rsidR="006C6EBA" w:rsidRPr="006720E4" w:rsidRDefault="006C6EBA" w:rsidP="00C3783C">
      <w:pPr>
        <w:pStyle w:val="ListParagraph"/>
        <w:numPr>
          <w:ilvl w:val="0"/>
          <w:numId w:val="107"/>
        </w:numPr>
        <w:spacing w:after="120"/>
        <w:contextualSpacing w:val="0"/>
        <w:rPr>
          <w:rFonts w:cs="Calibri"/>
          <w:szCs w:val="22"/>
        </w:rPr>
      </w:pPr>
      <w:r w:rsidRPr="006720E4">
        <w:rPr>
          <w:rFonts w:cs="Calibri"/>
          <w:szCs w:val="21"/>
        </w:rPr>
        <w:t>Registries of recipients of transplants should be established and maintained not only for the purpose of vigilance and surveillance and follow up care of transplant recipient but also to assist in evaluating outcomes of allocation policies and decisions.</w:t>
      </w:r>
    </w:p>
    <w:p w14:paraId="4C797614" w14:textId="7F577BD6" w:rsidR="006C6EBA" w:rsidRPr="003D03F9" w:rsidRDefault="006C6EBA" w:rsidP="00C3783C">
      <w:pPr>
        <w:pStyle w:val="ListParagraph"/>
        <w:numPr>
          <w:ilvl w:val="0"/>
          <w:numId w:val="107"/>
        </w:numPr>
        <w:spacing w:after="120"/>
        <w:contextualSpacing w:val="0"/>
        <w:rPr>
          <w:rFonts w:cs="Calibri"/>
          <w:szCs w:val="22"/>
        </w:rPr>
      </w:pPr>
      <w:r w:rsidRPr="006720E4">
        <w:rPr>
          <w:rFonts w:cs="Calibri"/>
        </w:rPr>
        <w:t xml:space="preserve">Policies and data should be open to public scrutiny to maintain accountability to the public as </w:t>
      </w:r>
      <w:r w:rsidRPr="000B298E">
        <w:rPr>
          <w:rFonts w:cs="Calibri"/>
        </w:rPr>
        <w:t xml:space="preserve">donors of these materials and beneficiaries of these community resources (see </w:t>
      </w:r>
      <w:bookmarkStart w:id="3844" w:name="_Toc63683458"/>
      <w:bookmarkStart w:id="3845" w:name="_Toc70241803"/>
      <w:bookmarkStart w:id="3846" w:name="_Toc70243438"/>
      <w:r w:rsidRPr="000B298E">
        <w:rPr>
          <w:rFonts w:cs="Calibri"/>
        </w:rPr>
        <w:fldChar w:fldCharType="begin"/>
      </w:r>
      <w:r w:rsidRPr="000B298E">
        <w:rPr>
          <w:rFonts w:cs="Calibri"/>
        </w:rPr>
        <w:instrText xml:space="preserve"> HYPERLINK  \l "_Data_collection_and_1" </w:instrText>
      </w:r>
      <w:r w:rsidRPr="000B298E">
        <w:rPr>
          <w:rFonts w:cs="Calibri"/>
        </w:rPr>
      </w:r>
      <w:r w:rsidRPr="000B298E">
        <w:rPr>
          <w:rFonts w:cs="Calibri"/>
        </w:rPr>
        <w:fldChar w:fldCharType="separate"/>
      </w:r>
      <w:r w:rsidRPr="000B298E">
        <w:rPr>
          <w:rStyle w:val="Hyperlink"/>
          <w:rFonts w:cs="Calibri"/>
        </w:rPr>
        <w:t xml:space="preserve">Chapter </w:t>
      </w:r>
      <w:r w:rsidR="000B298E" w:rsidRPr="000B298E">
        <w:rPr>
          <w:rStyle w:val="Hyperlink"/>
          <w:rFonts w:cs="Calibri"/>
        </w:rPr>
        <w:t>8</w:t>
      </w:r>
      <w:r w:rsidRPr="000B298E">
        <w:rPr>
          <w:rStyle w:val="Hyperlink"/>
          <w:rFonts w:cs="Calibri"/>
        </w:rPr>
        <w:t>.4</w:t>
      </w:r>
      <w:r w:rsidRPr="000B298E">
        <w:rPr>
          <w:rFonts w:cs="Calibri"/>
        </w:rPr>
        <w:fldChar w:fldCharType="end"/>
      </w:r>
      <w:r w:rsidRPr="000B298E">
        <w:rPr>
          <w:rFonts w:cs="Calibri"/>
        </w:rPr>
        <w:t>), and policies should be reviewed at defined intervals and revised where</w:t>
      </w:r>
      <w:r w:rsidRPr="006720E4">
        <w:rPr>
          <w:rFonts w:cs="Calibri"/>
        </w:rPr>
        <w:t xml:space="preserve"> needed.</w:t>
      </w:r>
      <w:bookmarkEnd w:id="3844"/>
      <w:bookmarkEnd w:id="3845"/>
      <w:bookmarkEnd w:id="3846"/>
    </w:p>
    <w:p w14:paraId="6AB3BFA5" w14:textId="77777777" w:rsidR="006C6EBA" w:rsidRPr="006720E4" w:rsidRDefault="006C6EBA" w:rsidP="00EA22AE">
      <w:pPr>
        <w:spacing w:after="120"/>
        <w:rPr>
          <w:rFonts w:ascii="Calibri" w:hAnsi="Calibri" w:cs="Calibri"/>
        </w:rPr>
      </w:pPr>
      <w:bookmarkStart w:id="3847" w:name="_Toc70414926"/>
      <w:bookmarkStart w:id="3848" w:name="_Toc70844244"/>
      <w:bookmarkStart w:id="3849" w:name="_Toc70859010"/>
      <w:bookmarkStart w:id="3850" w:name="_Toc70861111"/>
      <w:bookmarkStart w:id="3851" w:name="_Toc70876596"/>
      <w:bookmarkStart w:id="3852" w:name="_Toc72615183"/>
      <w:bookmarkStart w:id="3853" w:name="_Toc73129906"/>
      <w:r w:rsidRPr="006720E4">
        <w:rPr>
          <w:rFonts w:ascii="Calibri" w:hAnsi="Calibri" w:cs="Calibri"/>
        </w:rPr>
        <w:br w:type="page"/>
      </w:r>
    </w:p>
    <w:p w14:paraId="0CCC09BE" w14:textId="77777777" w:rsidR="006C6EBA" w:rsidRPr="006720E4" w:rsidRDefault="006C6EBA" w:rsidP="00EA22AE">
      <w:pPr>
        <w:pStyle w:val="Heading1"/>
      </w:pPr>
      <w:bookmarkStart w:id="3854" w:name="_Commodification_of_organs"/>
      <w:bookmarkStart w:id="3855" w:name="_Self-sufficiency_in_organ"/>
      <w:bookmarkStart w:id="3856" w:name="_Sufficiency_and_sustainability"/>
      <w:bookmarkStart w:id="3857" w:name="_Toc63683475"/>
      <w:bookmarkStart w:id="3858" w:name="_Toc70241822"/>
      <w:bookmarkStart w:id="3859" w:name="_Toc70243457"/>
      <w:bookmarkStart w:id="3860" w:name="_Toc70328766"/>
      <w:bookmarkStart w:id="3861" w:name="_Toc70333996"/>
      <w:bookmarkStart w:id="3862" w:name="_Toc70414927"/>
      <w:bookmarkStart w:id="3863" w:name="_Toc70844245"/>
      <w:bookmarkStart w:id="3864" w:name="_Toc70859011"/>
      <w:bookmarkStart w:id="3865" w:name="_Toc70861112"/>
      <w:bookmarkStart w:id="3866" w:name="_Toc70876597"/>
      <w:bookmarkStart w:id="3867" w:name="_Toc72615184"/>
      <w:bookmarkStart w:id="3868" w:name="_Toc73129907"/>
      <w:bookmarkStart w:id="3869" w:name="_Toc73301779"/>
      <w:bookmarkStart w:id="3870" w:name="_Toc73302285"/>
      <w:bookmarkStart w:id="3871" w:name="_Toc73303418"/>
      <w:bookmarkStart w:id="3872" w:name="_Toc73303637"/>
      <w:bookmarkStart w:id="3873" w:name="_Toc74080754"/>
      <w:bookmarkStart w:id="3874" w:name="_Toc74081062"/>
      <w:bookmarkStart w:id="3875" w:name="_Toc74081292"/>
      <w:bookmarkStart w:id="3876" w:name="_Toc74081563"/>
      <w:bookmarkStart w:id="3877" w:name="_Toc74171123"/>
      <w:bookmarkStart w:id="3878" w:name="_Toc74172340"/>
      <w:bookmarkStart w:id="3879" w:name="_Toc74172876"/>
      <w:bookmarkStart w:id="3880" w:name="_Toc74238797"/>
      <w:bookmarkStart w:id="3881" w:name="_Toc78304786"/>
      <w:bookmarkStart w:id="3882" w:name="_Toc79330886"/>
      <w:bookmarkStart w:id="3883" w:name="_Toc79331266"/>
      <w:bookmarkStart w:id="3884" w:name="_Toc79406449"/>
      <w:bookmarkStart w:id="3885" w:name="_Toc82773686"/>
      <w:bookmarkStart w:id="3886" w:name="_Toc82774039"/>
      <w:bookmarkStart w:id="3887" w:name="_Toc128314227"/>
      <w:bookmarkStart w:id="3888" w:name="_Toc135131472"/>
      <w:bookmarkEnd w:id="3847"/>
      <w:bookmarkEnd w:id="3848"/>
      <w:bookmarkEnd w:id="3849"/>
      <w:bookmarkEnd w:id="3850"/>
      <w:bookmarkEnd w:id="3851"/>
      <w:bookmarkEnd w:id="3852"/>
      <w:bookmarkEnd w:id="3853"/>
      <w:bookmarkEnd w:id="3854"/>
      <w:bookmarkEnd w:id="3855"/>
      <w:bookmarkEnd w:id="3856"/>
      <w:r w:rsidRPr="006720E4">
        <w:lastRenderedPageBreak/>
        <w:t>Sufficiency and sustainability in donation and transplantation</w:t>
      </w:r>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r w:rsidRPr="006720E4">
        <w:t xml:space="preserve"> </w:t>
      </w:r>
    </w:p>
    <w:p w14:paraId="0A9E679D" w14:textId="44187593" w:rsidR="006C6EBA" w:rsidRPr="006720E4" w:rsidRDefault="006C6EBA" w:rsidP="00EA22AE">
      <w:pPr>
        <w:spacing w:after="120"/>
        <w:rPr>
          <w:rFonts w:ascii="Calibri" w:hAnsi="Calibri" w:cs="Calibri"/>
          <w:sz w:val="22"/>
          <w:szCs w:val="22"/>
        </w:rPr>
      </w:pPr>
      <w:r w:rsidRPr="00CF027A">
        <w:rPr>
          <w:rFonts w:ascii="Calibri" w:hAnsi="Calibri" w:cs="Calibri"/>
          <w:sz w:val="22"/>
          <w:szCs w:val="22"/>
        </w:rPr>
        <w:t>Self</w:t>
      </w:r>
      <w:r w:rsidRPr="006720E4">
        <w:rPr>
          <w:rFonts w:ascii="Calibri" w:hAnsi="Calibri" w:cs="Calibri"/>
          <w:sz w:val="22"/>
          <w:szCs w:val="22"/>
        </w:rPr>
        <w:t xml:space="preserve">-sufficiency is a strategic and ethical objective of organ and tissue donation and transplantation programs in Australia, consistent with the recommendations of the WHO. In the national context, the term refers to the goal of being able to meet the needs of people living in Australia for organ and tissue transplantation using resources from within the country. This means being able to rely on the Australian resident population for donation of organs and tissues without outsourcing burdens or responsibilities to other countries, and being able to reliably deliver necessary services to donors and transplant recipients within Australia that are safe and of high quality. </w:t>
      </w:r>
    </w:p>
    <w:p w14:paraId="33CDFAA1" w14:textId="2D5509C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Self-sufficiency may be pursued at a local or national level, or, in some cases in international collaboration with other populations who may choose to work together in solidarity and share resources to meet collective needs more effectively. Although the term self-sufficiency is rarely applied to HSC donation and </w:t>
      </w:r>
      <w:r w:rsidRPr="00A963CF">
        <w:rPr>
          <w:rFonts w:ascii="Calibri" w:hAnsi="Calibri" w:cs="Calibri"/>
          <w:sz w:val="22"/>
          <w:szCs w:val="22"/>
        </w:rPr>
        <w:t xml:space="preserve">transplantation (see </w:t>
      </w:r>
      <w:hyperlink w:anchor="_Global_sufficiency_in" w:history="1">
        <w:r w:rsidRPr="00A963CF">
          <w:rPr>
            <w:rStyle w:val="Hyperlink"/>
            <w:rFonts w:ascii="Calibri" w:hAnsi="Calibri" w:cs="Calibri"/>
            <w:sz w:val="22"/>
            <w:szCs w:val="22"/>
          </w:rPr>
          <w:t xml:space="preserve">Chapter </w:t>
        </w:r>
        <w:r w:rsidR="00A963CF" w:rsidRPr="00A963CF">
          <w:rPr>
            <w:rStyle w:val="Hyperlink"/>
            <w:rFonts w:ascii="Calibri" w:hAnsi="Calibri" w:cs="Calibri"/>
            <w:sz w:val="22"/>
            <w:szCs w:val="22"/>
          </w:rPr>
          <w:t>9</w:t>
        </w:r>
        <w:r w:rsidRPr="00A963CF">
          <w:rPr>
            <w:rStyle w:val="Hyperlink"/>
            <w:rFonts w:ascii="Calibri" w:hAnsi="Calibri" w:cs="Calibri"/>
            <w:sz w:val="22"/>
            <w:szCs w:val="22"/>
          </w:rPr>
          <w:t>.1.3</w:t>
        </w:r>
      </w:hyperlink>
      <w:r w:rsidRPr="00A963CF">
        <w:rPr>
          <w:rFonts w:ascii="Calibri" w:hAnsi="Calibri" w:cs="Calibri"/>
          <w:sz w:val="22"/>
          <w:szCs w:val="22"/>
        </w:rPr>
        <w:t>), solidarity</w:t>
      </w:r>
      <w:r w:rsidRPr="006720E4">
        <w:rPr>
          <w:rFonts w:ascii="Calibri" w:hAnsi="Calibri" w:cs="Calibri"/>
          <w:sz w:val="22"/>
          <w:szCs w:val="22"/>
        </w:rPr>
        <w:t>, sufficiency, safety, quality and sustainability of supply are equally important in the context of HSCs.</w:t>
      </w:r>
      <w:bookmarkStart w:id="3889" w:name="_Ethical_values_embedded"/>
      <w:bookmarkStart w:id="3890" w:name="_Toc63683476"/>
      <w:bookmarkStart w:id="3891" w:name="_Toc70241823"/>
      <w:bookmarkStart w:id="3892" w:name="_Toc70243458"/>
      <w:bookmarkStart w:id="3893" w:name="_Toc70328767"/>
      <w:bookmarkStart w:id="3894" w:name="_Toc70333997"/>
      <w:bookmarkStart w:id="3895" w:name="_Toc70414928"/>
      <w:bookmarkStart w:id="3896" w:name="_Toc70844246"/>
      <w:bookmarkStart w:id="3897" w:name="_Toc70859012"/>
      <w:bookmarkStart w:id="3898" w:name="_Toc70861113"/>
      <w:bookmarkStart w:id="3899" w:name="_Toc70876598"/>
      <w:bookmarkStart w:id="3900" w:name="_Toc72615185"/>
      <w:bookmarkStart w:id="3901" w:name="_Toc73129908"/>
      <w:bookmarkStart w:id="3902" w:name="_Toc73301780"/>
      <w:bookmarkStart w:id="3903" w:name="_Toc73302286"/>
      <w:bookmarkStart w:id="3904" w:name="_Toc73303419"/>
      <w:bookmarkStart w:id="3905" w:name="_Toc73303638"/>
      <w:bookmarkStart w:id="3906" w:name="_Toc74080755"/>
      <w:bookmarkStart w:id="3907" w:name="_Toc74081063"/>
      <w:bookmarkStart w:id="3908" w:name="_Toc74081293"/>
      <w:bookmarkStart w:id="3909" w:name="_Toc74081564"/>
      <w:bookmarkStart w:id="3910" w:name="_Toc74171124"/>
      <w:bookmarkStart w:id="3911" w:name="_Toc74172341"/>
      <w:bookmarkStart w:id="3912" w:name="_Toc74172877"/>
      <w:bookmarkStart w:id="3913" w:name="_Toc74238798"/>
      <w:bookmarkStart w:id="3914" w:name="_Toc78304787"/>
      <w:bookmarkEnd w:id="3889"/>
    </w:p>
    <w:p w14:paraId="0014C2E4" w14:textId="1A4A1D6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Further readings and resources of relevant to this chapter can be found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3785547C" w14:textId="7FA7E7E7" w:rsidR="006C6EBA" w:rsidRPr="006720E4" w:rsidRDefault="006C6EBA" w:rsidP="00EA22AE">
      <w:pPr>
        <w:pStyle w:val="Heading2"/>
        <w:spacing w:after="120"/>
      </w:pPr>
      <w:bookmarkStart w:id="3915" w:name="_Ethical_values_embedded_1"/>
      <w:bookmarkStart w:id="3916" w:name="_Toc79330887"/>
      <w:bookmarkStart w:id="3917" w:name="_Toc79331267"/>
      <w:bookmarkStart w:id="3918" w:name="_Toc79406450"/>
      <w:bookmarkStart w:id="3919" w:name="_Toc82773687"/>
      <w:bookmarkStart w:id="3920" w:name="_Toc82774040"/>
      <w:bookmarkStart w:id="3921" w:name="_Toc128314228"/>
      <w:bookmarkStart w:id="3922" w:name="_Toc135131473"/>
      <w:bookmarkEnd w:id="3915"/>
      <w:r w:rsidRPr="006720E4">
        <w:t>Ethical values embedded in the self-sufficiency concept</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6"/>
      <w:bookmarkEnd w:id="3917"/>
      <w:bookmarkEnd w:id="3918"/>
      <w:bookmarkEnd w:id="3919"/>
      <w:bookmarkEnd w:id="3920"/>
      <w:bookmarkEnd w:id="3921"/>
      <w:bookmarkEnd w:id="3922"/>
    </w:p>
    <w:p w14:paraId="1106E09C"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globalization of health care provides opportunities for international exchange of cells, tissues, and organs as well as travel by individuals to access donation or transplantation. This may assist individuals in meeting transplant needs in the short term, but may also exacerbate inequities in donation and access to transplantation, cause harm to donors or transplant recipients, or negatively impact the long-term sustainability of donation and transplantation programs in Australia and internationally. </w:t>
      </w:r>
    </w:p>
    <w:p w14:paraId="4FE36D54" w14:textId="440D425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Progress towards national self-sufficiency in donation and transplantation is valuable because it means that Australia is better able to meet its own needs for transplants, and thus able to ensure that donation and transplantation activities meet our national ethical and clinical standards of quality, safety and care in donation and transplantation practice. Reduced dependence on other populations to help us meet needs for transplantation means that we are less exposed if events within or outside Australia negatively impact supply or exchange of cells, tissues or organs.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10.1038/s41409-020-0873-x","ISSN":"14765365","PMID":"32203269","author":[{"dropping-particle":"","family":"Szer","given":"Jeff","non-dropping-particle":"","parse-names":false,"suffix":""},{"dropping-particle":"","family":"Weisdorf","given":"Daniel","non-dropping-particle":"","parse-names":false,"suffix":""},{"dropping-particle":"","family":"Querol","given":"Sergio","non-dropping-particle":"","parse-names":false,"suffix":""},{"dropping-particle":"","family":"Foeken","given":"Lydia","non-dropping-particle":"","parse-names":false,"suffix":""},{"dropping-particle":"","family":"Madrigal","given":"Alejandro","non-dropping-particle":"","parse-names":false,"suffix":""}],"container-title":"Bone Marrow Transplantation","id":"ITEM-1","issue":"10","issued":{"date-parts":[["2020"]]},"page":"2043-2044","publisher":"Springer US","title":"The impact of COVID-19 on the provision of donor hematopoietic stem cell products worldwide: collateral damage","type":"article-journal","volume":"55"},"uris":["http://www.mendeley.com/documents/?uuid=c0590186-cbc8-4f1e-b3eb-b40dd2f1470e"]}],"mendeley":{"formattedCitation":"(139)","plainTextFormattedCitation":"(139)","previouslyFormattedCitation":"(139)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(139)</w:t>
      </w:r>
      <w:r w:rsidRPr="006720E4">
        <w:rPr>
          <w:rFonts w:ascii="Calibri" w:hAnsi="Calibri" w:cs="Calibri"/>
          <w:sz w:val="22"/>
          <w:szCs w:val="22"/>
        </w:rPr>
        <w:fldChar w:fldCharType="end"/>
      </w:r>
      <w:r w:rsidRPr="006720E4">
        <w:rPr>
          <w:rFonts w:ascii="Calibri" w:hAnsi="Calibri" w:cs="Calibri"/>
          <w:sz w:val="22"/>
          <w:szCs w:val="22"/>
        </w:rPr>
        <w:t xml:space="preserve"> </w:t>
      </w:r>
    </w:p>
    <w:p w14:paraId="62E6133E"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It also means that we are better able to ensure that the potential benefits and burdens of donation are shared equitably within the community.</w:t>
      </w:r>
    </w:p>
    <w:p w14:paraId="2F7D28A9" w14:textId="7FB5182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Promoting self-sufficiency does not </w:t>
      </w:r>
      <w:r w:rsidR="00CF027A">
        <w:rPr>
          <w:rFonts w:ascii="Calibri" w:hAnsi="Calibri" w:cs="Calibri"/>
          <w:sz w:val="22"/>
          <w:szCs w:val="22"/>
        </w:rPr>
        <w:t>entail</w:t>
      </w:r>
      <w:r w:rsidRPr="006720E4">
        <w:rPr>
          <w:rFonts w:ascii="Calibri" w:hAnsi="Calibri" w:cs="Calibri"/>
          <w:sz w:val="22"/>
          <w:szCs w:val="22"/>
        </w:rPr>
        <w:t xml:space="preserve"> self-centredness or selfishness. Collaboration with other </w:t>
      </w:r>
      <w:r w:rsidRPr="00CF027A">
        <w:rPr>
          <w:rFonts w:ascii="Calibri" w:hAnsi="Calibri" w:cs="Calibri"/>
          <w:sz w:val="22"/>
          <w:szCs w:val="22"/>
        </w:rPr>
        <w:t xml:space="preserve">populations in order to meet needs for some resources may be necessary and mutually beneficial (see </w:t>
      </w:r>
      <w:hyperlink w:anchor="_Global_sufficiency_in" w:history="1">
        <w:r w:rsidRPr="00CF027A">
          <w:rPr>
            <w:rStyle w:val="Hyperlink"/>
            <w:rFonts w:ascii="Calibri" w:hAnsi="Calibri" w:cs="Calibri"/>
            <w:sz w:val="22"/>
            <w:szCs w:val="22"/>
          </w:rPr>
          <w:t xml:space="preserve">Chapter </w:t>
        </w:r>
        <w:r w:rsidR="00CF027A" w:rsidRPr="00CF027A">
          <w:rPr>
            <w:rStyle w:val="Hyperlink"/>
            <w:rFonts w:ascii="Calibri" w:hAnsi="Calibri" w:cs="Calibri"/>
            <w:sz w:val="22"/>
            <w:szCs w:val="22"/>
          </w:rPr>
          <w:t>9</w:t>
        </w:r>
        <w:r w:rsidRPr="00CF027A">
          <w:rPr>
            <w:rStyle w:val="Hyperlink"/>
            <w:rFonts w:ascii="Calibri" w:hAnsi="Calibri" w:cs="Calibri"/>
            <w:sz w:val="22"/>
            <w:szCs w:val="22"/>
          </w:rPr>
          <w:t>.1.3</w:t>
        </w:r>
      </w:hyperlink>
      <w:r w:rsidRPr="00CF027A">
        <w:rPr>
          <w:rFonts w:ascii="Calibri" w:hAnsi="Calibri" w:cs="Calibri"/>
          <w:sz w:val="22"/>
          <w:szCs w:val="22"/>
        </w:rPr>
        <w:t>), and sharing of our</w:t>
      </w:r>
      <w:r w:rsidRPr="006720E4">
        <w:rPr>
          <w:rFonts w:ascii="Calibri" w:hAnsi="Calibri" w:cs="Calibri"/>
          <w:sz w:val="22"/>
          <w:szCs w:val="22"/>
        </w:rPr>
        <w:t xml:space="preserve"> own resources with individuals or populations outside Australia may be ethically appropriate in some circumstances. Adopting the goal of self-sufficiency implies a commitment to efforts to meet our own transplant needs rather than outsourcing these efforts to other populations, which occurs when individuals or national authorities purchase organs or tissues from people who are unable to access the benefits of transplantation.</w:t>
      </w:r>
    </w:p>
    <w:p w14:paraId="6F8DADE3" w14:textId="1A8DBC7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Progress towards self-sufficiency depends on respect for equity, reciprocity and solidarity in donation and </w:t>
      </w:r>
      <w:r w:rsidRPr="005E037B">
        <w:rPr>
          <w:rFonts w:ascii="Calibri" w:hAnsi="Calibri" w:cs="Calibri"/>
          <w:sz w:val="22"/>
          <w:szCs w:val="22"/>
        </w:rPr>
        <w:t>transplantation</w:t>
      </w:r>
      <w:r w:rsidR="00471664" w:rsidRPr="005E037B">
        <w:rPr>
          <w:rFonts w:ascii="Calibri" w:hAnsi="Calibri" w:cs="Calibri"/>
          <w:sz w:val="22"/>
          <w:szCs w:val="22"/>
        </w:rPr>
        <w:t xml:space="preserve"> (see</w:t>
      </w:r>
      <w:r w:rsidR="005E037B">
        <w:rPr>
          <w:rFonts w:ascii="Calibri" w:hAnsi="Calibri" w:cs="Calibri"/>
          <w:sz w:val="22"/>
          <w:szCs w:val="22"/>
        </w:rPr>
        <w:t xml:space="preserve"> </w:t>
      </w:r>
      <w:hyperlink w:anchor="_Justice_in_donation" w:history="1">
        <w:r w:rsidR="005E037B" w:rsidRPr="005E037B">
          <w:rPr>
            <w:rStyle w:val="Hyperlink"/>
            <w:rFonts w:ascii="Calibri" w:hAnsi="Calibri" w:cs="Calibri"/>
            <w:sz w:val="22"/>
            <w:szCs w:val="22"/>
          </w:rPr>
          <w:t>Chapter 3.3.9</w:t>
        </w:r>
      </w:hyperlink>
      <w:r w:rsidR="00471664" w:rsidRPr="005E037B">
        <w:rPr>
          <w:rFonts w:ascii="Calibri" w:hAnsi="Calibri" w:cs="Calibri"/>
          <w:sz w:val="22"/>
          <w:szCs w:val="22"/>
        </w:rPr>
        <w:t>)</w:t>
      </w:r>
      <w:r w:rsidRPr="005E037B">
        <w:rPr>
          <w:rFonts w:ascii="Calibri" w:hAnsi="Calibri" w:cs="Calibri"/>
          <w:sz w:val="22"/>
          <w:szCs w:val="22"/>
        </w:rPr>
        <w:t>. It is a communal</w:t>
      </w:r>
      <w:r w:rsidRPr="006720E4">
        <w:rPr>
          <w:rFonts w:ascii="Calibri" w:hAnsi="Calibri" w:cs="Calibri"/>
          <w:sz w:val="22"/>
          <w:szCs w:val="22"/>
        </w:rPr>
        <w:t xml:space="preserve"> goal, which means that all those on whom we depend as potential donors within the resident population may be offered the option to donate and should be entitled to benefit from transplants when these are available and necessary, although not all members of the population will have the opportunity to donate, and not all will need a transplant.</w:t>
      </w:r>
    </w:p>
    <w:p w14:paraId="2954DD25" w14:textId="46D500EA" w:rsidR="006C6EBA" w:rsidRPr="006720E4" w:rsidRDefault="006C6EBA" w:rsidP="00EA22AE">
      <w:pPr>
        <w:pStyle w:val="Heading3"/>
        <w:spacing w:after="120"/>
      </w:pPr>
      <w:bookmarkStart w:id="3923" w:name="_Toc63683477"/>
      <w:bookmarkStart w:id="3924" w:name="_Toc70241824"/>
      <w:bookmarkStart w:id="3925" w:name="_Toc70243459"/>
      <w:bookmarkStart w:id="3926" w:name="_Toc70414929"/>
      <w:bookmarkStart w:id="3927" w:name="_Toc70844247"/>
      <w:bookmarkStart w:id="3928" w:name="_Toc72615186"/>
      <w:bookmarkStart w:id="3929" w:name="_Toc73129909"/>
      <w:bookmarkStart w:id="3930" w:name="_Toc73301781"/>
      <w:bookmarkStart w:id="3931" w:name="_Toc73302287"/>
      <w:bookmarkStart w:id="3932" w:name="_Toc73303420"/>
      <w:bookmarkStart w:id="3933" w:name="_Toc73303639"/>
      <w:bookmarkStart w:id="3934" w:name="_Toc74080756"/>
      <w:bookmarkStart w:id="3935" w:name="_Toc74081064"/>
      <w:bookmarkStart w:id="3936" w:name="_Toc74081294"/>
      <w:bookmarkStart w:id="3937" w:name="_Toc74081565"/>
      <w:bookmarkStart w:id="3938" w:name="_Toc74171125"/>
      <w:bookmarkStart w:id="3939" w:name="_Toc74172342"/>
      <w:bookmarkStart w:id="3940" w:name="_Toc74172878"/>
      <w:bookmarkStart w:id="3941" w:name="_Toc74238799"/>
      <w:bookmarkStart w:id="3942" w:name="_Toc79406451"/>
      <w:bookmarkStart w:id="3943" w:name="_Toc82773688"/>
      <w:bookmarkStart w:id="3944" w:name="_Toc82774041"/>
      <w:r w:rsidRPr="006720E4">
        <w:t>Self-sufficiency in organs or tissues at the local level within Australia</w:t>
      </w:r>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p>
    <w:p w14:paraId="37B49BB3" w14:textId="4FF0A74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Self-sufficiency in some organs or tissues is sometimes pursued at the local level within a nation, particularly where local donations of a particular resource such as corneas may be sufficient to meet </w:t>
      </w:r>
      <w:r w:rsidRPr="006720E4">
        <w:rPr>
          <w:rFonts w:ascii="Calibri" w:hAnsi="Calibri" w:cs="Calibri"/>
          <w:sz w:val="22"/>
          <w:szCs w:val="22"/>
        </w:rPr>
        <w:lastRenderedPageBreak/>
        <w:t xml:space="preserve">local needs for transplantation of that resource. It is possible that activities or policies in one region may sometimes have a negative impact on other regions. Mergers or formal exchange of resources may in some cases be beneficial for smaller populations that join together to pursue self-sufficiency, but they may also risk undermining programs that are strategically important at the local level. Oversight at the national level is needed to ensure that collaboration between the various donation and transplant programs is equitable and contributes to efficiency and sustainability of all programs. </w:t>
      </w:r>
    </w:p>
    <w:p w14:paraId="26C5F1E7" w14:textId="5E4DCEF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Where self-sufficiency in particular tissues or organs is pursued at the level of states, territories or other subnational regions in Australia, the same principles governing self-sufficiency and ethical considerations outlined in this chapter are relevant.</w:t>
      </w:r>
    </w:p>
    <w:p w14:paraId="12DDF686" w14:textId="6A08DB53" w:rsidR="006C6EBA" w:rsidRPr="006720E4" w:rsidRDefault="006C6EBA" w:rsidP="00EA22AE">
      <w:pPr>
        <w:pStyle w:val="Heading3"/>
        <w:spacing w:after="120"/>
      </w:pPr>
      <w:bookmarkStart w:id="3945" w:name="_Regional_self-sufficiency_in"/>
      <w:bookmarkStart w:id="3946" w:name="_Toc63683478"/>
      <w:bookmarkStart w:id="3947" w:name="_Toc70241825"/>
      <w:bookmarkStart w:id="3948" w:name="_Toc70243460"/>
      <w:bookmarkStart w:id="3949" w:name="_Toc70414930"/>
      <w:bookmarkStart w:id="3950" w:name="_Toc70844248"/>
      <w:bookmarkStart w:id="3951" w:name="_Toc72615187"/>
      <w:bookmarkStart w:id="3952" w:name="_Toc73129910"/>
      <w:bookmarkStart w:id="3953" w:name="_Toc73301782"/>
      <w:bookmarkStart w:id="3954" w:name="_Toc73302288"/>
      <w:bookmarkStart w:id="3955" w:name="_Toc73303421"/>
      <w:bookmarkStart w:id="3956" w:name="_Toc73303640"/>
      <w:bookmarkStart w:id="3957" w:name="_Toc74080757"/>
      <w:bookmarkStart w:id="3958" w:name="_Toc74081065"/>
      <w:bookmarkStart w:id="3959" w:name="_Toc74081295"/>
      <w:bookmarkStart w:id="3960" w:name="_Toc74081566"/>
      <w:bookmarkStart w:id="3961" w:name="_Toc74171126"/>
      <w:bookmarkStart w:id="3962" w:name="_Toc74172343"/>
      <w:bookmarkStart w:id="3963" w:name="_Toc74172879"/>
      <w:bookmarkStart w:id="3964" w:name="_Toc74238800"/>
      <w:bookmarkStart w:id="3965" w:name="_Toc79406452"/>
      <w:bookmarkStart w:id="3966" w:name="_Toc82773689"/>
      <w:bookmarkStart w:id="3967" w:name="_Toc82774042"/>
      <w:bookmarkEnd w:id="3945"/>
      <w:r w:rsidRPr="006720E4">
        <w:t>Regional self-sufficiency in deceased organ donation</w:t>
      </w:r>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p>
    <w:p w14:paraId="684730B8" w14:textId="3EF9699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Australia collaborates with New Zealand in the context of deceased organ donation, such that in specific circumstances some organs from deceased donors based in Australia may be exported for transplantation in New Zealand and vice versa. Organs are shared between these two countries when it is necessary to help meet urgent needs for a transplant in one country, or when no suitable recipient for a particular organ is available within the donor’s country. These exchanges are consistent with pursuit of self-sufficiency because residents of both countries may contribute to and benefit from this sharing agreement.</w:t>
      </w:r>
    </w:p>
    <w:p w14:paraId="0E24EBF9" w14:textId="0155A37A" w:rsidR="006C6EBA" w:rsidRPr="006720E4" w:rsidRDefault="006C6EBA" w:rsidP="00EA22AE">
      <w:pPr>
        <w:pStyle w:val="Heading3"/>
        <w:spacing w:after="120"/>
      </w:pPr>
      <w:bookmarkStart w:id="3968" w:name="_Global_sufficiency_in"/>
      <w:bookmarkStart w:id="3969" w:name="_Toc70241826"/>
      <w:bookmarkStart w:id="3970" w:name="_Toc70243461"/>
      <w:bookmarkStart w:id="3971" w:name="_Toc70414931"/>
      <w:bookmarkStart w:id="3972" w:name="_Toc70844249"/>
      <w:bookmarkStart w:id="3973" w:name="_Toc72615188"/>
      <w:bookmarkStart w:id="3974" w:name="_Toc73129911"/>
      <w:bookmarkStart w:id="3975" w:name="_Toc73301783"/>
      <w:bookmarkStart w:id="3976" w:name="_Toc73302289"/>
      <w:bookmarkStart w:id="3977" w:name="_Toc73303422"/>
      <w:bookmarkStart w:id="3978" w:name="_Toc73303641"/>
      <w:bookmarkStart w:id="3979" w:name="_Toc74080758"/>
      <w:bookmarkStart w:id="3980" w:name="_Toc74081066"/>
      <w:bookmarkStart w:id="3981" w:name="_Toc74081296"/>
      <w:bookmarkStart w:id="3982" w:name="_Toc74081567"/>
      <w:bookmarkStart w:id="3983" w:name="_Toc74171127"/>
      <w:bookmarkStart w:id="3984" w:name="_Toc74172344"/>
      <w:bookmarkStart w:id="3985" w:name="_Toc74172880"/>
      <w:bookmarkStart w:id="3986" w:name="_Toc74238801"/>
      <w:bookmarkStart w:id="3987" w:name="_Toc79406453"/>
      <w:bookmarkStart w:id="3988" w:name="_Toc82773690"/>
      <w:bookmarkStart w:id="3989" w:name="_Toc82774043"/>
      <w:bookmarkEnd w:id="3968"/>
      <w:r w:rsidRPr="006720E4">
        <w:t>Global sufficiency in HSC donation</w:t>
      </w:r>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p>
    <w:p w14:paraId="397D5CDD" w14:textId="3BA5C634" w:rsidR="006C6EBA" w:rsidRPr="006720E4" w:rsidRDefault="006C6EBA" w:rsidP="00EA22AE">
      <w:pPr>
        <w:spacing w:after="120"/>
        <w:rPr>
          <w:rFonts w:ascii="Calibri" w:hAnsi="Calibri" w:cs="Calibri"/>
          <w:sz w:val="22"/>
          <w:szCs w:val="22"/>
        </w:rPr>
      </w:pPr>
      <w:bookmarkStart w:id="3990" w:name="_Toc63683479"/>
      <w:bookmarkStart w:id="3991" w:name="_Toc70241827"/>
      <w:bookmarkStart w:id="3992" w:name="_Toc70243462"/>
      <w:bookmarkStart w:id="3993" w:name="_Toc70328768"/>
      <w:bookmarkStart w:id="3994" w:name="_Toc70333998"/>
      <w:bookmarkStart w:id="3995" w:name="_Toc70414932"/>
      <w:bookmarkStart w:id="3996" w:name="_Toc70844250"/>
      <w:bookmarkStart w:id="3997" w:name="_Toc70859013"/>
      <w:bookmarkStart w:id="3998" w:name="_Toc70861114"/>
      <w:bookmarkStart w:id="3999" w:name="_Toc70876599"/>
      <w:bookmarkStart w:id="4000" w:name="_Toc72615189"/>
      <w:r w:rsidRPr="006720E4">
        <w:rPr>
          <w:rFonts w:ascii="Calibri" w:hAnsi="Calibri" w:cs="Calibri"/>
          <w:sz w:val="22"/>
          <w:szCs w:val="22"/>
        </w:rPr>
        <w:t xml:space="preserve">In the case of HSC donation, the difficulties of finding a suitably matched donor for individual recipients and the diversity of many populations means that international collaboration is necessary to meet more needs for HSC transplantation. Immunological difficulties in matching potential HSC donors with recipients means that it is often necessary to draw on a very large and diverse pool of donors in order to find a suitable match for a recipient. Consequently, national donor registries such as the ABMDR are connected via the WMDA, which helps to facilitate international matches where necessary. </w:t>
      </w:r>
    </w:p>
    <w:p w14:paraId="196066F9" w14:textId="079B04C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Donors in Australia therefore routinely contribute to meeting transplant needs in other countries and foreign donors help to meet needs in Australia. Currently, most non-directed HSC donations used for transplantation in Australia are in fact from international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{"citationItems":[{"id":"ITEM-1","itemData":{"URL":"https://strengthtogive.org.au/","accessed":{"date-parts":[["2021","7","20"]]},"author":[{"dropping-particle":"","family":"Australian Bone Marrow Donor Registry (ABMDR)","given":"","non-dropping-particle":"","parse-names":false,"suffix":""}],"id":"ITEM-1","issued":{"date-parts":[["2019"]]},"title":"Why you should consider being a donor","type":"webpage"},"uris":["http://www.mendeley.com/documents/?uuid=5ebf995c-d4f5-41b2-95aa-e68a60963f1c"]}],"mendeley":{"formattedCitation":"(140)","plainTextFormattedCitation":"(140)","previouslyFormattedCitation":"(140)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(140)</w:t>
      </w:r>
      <w:r w:rsidRPr="006720E4">
        <w:rPr>
          <w:rFonts w:ascii="Calibri" w:hAnsi="Calibri" w:cs="Calibri"/>
          <w:sz w:val="22"/>
          <w:szCs w:val="22"/>
        </w:rPr>
        <w:fldChar w:fldCharType="end"/>
      </w:r>
      <w:r w:rsidRPr="006720E4">
        <w:rPr>
          <w:rFonts w:ascii="Calibri" w:hAnsi="Calibri" w:cs="Calibri"/>
          <w:sz w:val="22"/>
          <w:szCs w:val="22"/>
        </w:rPr>
        <w:t xml:space="preserve"> Nevertheless, reduced dependence on international donors and progress towards self-sufficiency in HSC donation within Australia are valued as this reduces the risks of disruption to supply if international events impact donations or distribution of donations from other countries to Australia.</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10.1038/s41409-020-0873-x","ISSN":"14765365","PMID":"32203269","author":[{"dropping-particle":"","family":"Szer","given":"Jeff","non-dropping-particle":"","parse-names":false,"suffix":""},{"dropping-particle":"","family":"Weisdorf","given":"Daniel","non-dropping-particle":"","parse-names":false,"suffix":""},{"dropping-particle":"","family":"Querol","given":"Sergio","non-dropping-particle":"","parse-names":false,"suffix":""},{"dropping-particle":"","family":"Foeken","given":"Lydia","non-dropping-particle":"","parse-names":false,"suffix":""},{"dropping-particle":"","family":"Madrigal","given":"Alejandro","non-dropping-particle":"","parse-names":false,"suffix":""}],"container-title":"Bone Marrow Transplantation","id":"ITEM-1","issue":"10","issued":{"date-parts":[["2020"]]},"page":"2043-2044","publisher":"Springer US","title":"The impact of COVID-19 on the provision of donor hematopoietic stem cell products worldwide: collateral damage","type":"article-journal","volume":"55"},"uris":["http://www.mendeley.com/documents/?uuid=c0590186-cbc8-4f1e-b3eb-b40dd2f1470e"]}],"mendeley":{"formattedCitation":"(139)","plainTextFormattedCitation":"(139)","previouslyFormattedCitation":"(139)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(139)</w:t>
      </w:r>
      <w:r w:rsidRPr="006720E4">
        <w:rPr>
          <w:rFonts w:ascii="Calibri" w:hAnsi="Calibri" w:cs="Calibri"/>
          <w:sz w:val="22"/>
          <w:szCs w:val="22"/>
        </w:rPr>
        <w:fldChar w:fldCharType="end"/>
      </w:r>
      <w:r w:rsidRPr="006720E4">
        <w:rPr>
          <w:rFonts w:ascii="Calibri" w:hAnsi="Calibri" w:cs="Calibri"/>
          <w:sz w:val="22"/>
          <w:szCs w:val="22"/>
        </w:rPr>
        <w:t xml:space="preserve">  </w:t>
      </w:r>
    </w:p>
    <w:p w14:paraId="225B2C62" w14:textId="7CDF671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ABMDR works with partner organi</w:t>
      </w:r>
      <w:r w:rsidR="000208BF">
        <w:rPr>
          <w:rFonts w:ascii="Calibri" w:hAnsi="Calibri" w:cs="Calibri"/>
          <w:sz w:val="22"/>
          <w:szCs w:val="22"/>
        </w:rPr>
        <w:t>s</w:t>
      </w:r>
      <w:r w:rsidRPr="006720E4">
        <w:rPr>
          <w:rFonts w:ascii="Calibri" w:hAnsi="Calibri" w:cs="Calibri"/>
          <w:sz w:val="22"/>
          <w:szCs w:val="22"/>
        </w:rPr>
        <w:t xml:space="preserve">ations in Australia such as </w:t>
      </w:r>
      <w:proofErr w:type="spellStart"/>
      <w:r w:rsidRPr="006720E4">
        <w:rPr>
          <w:rFonts w:ascii="Calibri" w:hAnsi="Calibri" w:cs="Calibri"/>
          <w:sz w:val="22"/>
          <w:szCs w:val="22"/>
        </w:rPr>
        <w:t>LifeBlood</w:t>
      </w:r>
      <w:proofErr w:type="spellEnd"/>
      <w:r w:rsidRPr="006720E4">
        <w:rPr>
          <w:rFonts w:ascii="Calibri" w:hAnsi="Calibri" w:cs="Calibri"/>
          <w:sz w:val="22"/>
          <w:szCs w:val="22"/>
        </w:rPr>
        <w:t xml:space="preserve"> to support recruitment of non-directed HSC donors within Australia. By expanding the potential HSC donor pool within Australia, we are better able to meet domestic needs for transplant and to reciprocate the contributions of international donors by contributing donations to other countries. </w:t>
      </w:r>
    </w:p>
    <w:p w14:paraId="1EC281D9" w14:textId="18232BC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Support is needed for domestic donor recruitment programs, including targeted campaigns to recruit donors from groups that are under-represented in in the ABMDR, in order to improve equity of access to HSC </w:t>
      </w:r>
      <w:r w:rsidRPr="00D11BFA">
        <w:rPr>
          <w:rFonts w:ascii="Calibri" w:hAnsi="Calibri" w:cs="Calibri"/>
          <w:sz w:val="22"/>
          <w:szCs w:val="22"/>
        </w:rPr>
        <w:t xml:space="preserve">transplantation (see </w:t>
      </w:r>
      <w:hyperlink w:anchor="_Equity_in_access_2"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.3.2</w:t>
        </w:r>
      </w:hyperlink>
      <w:r w:rsidRPr="00D11BFA">
        <w:rPr>
          <w:rFonts w:ascii="Calibri" w:hAnsi="Calibri" w:cs="Calibri"/>
          <w:sz w:val="22"/>
          <w:szCs w:val="22"/>
        </w:rPr>
        <w:t>) and equity in</w:t>
      </w:r>
      <w:r w:rsidRPr="006720E4">
        <w:rPr>
          <w:rFonts w:ascii="Calibri" w:hAnsi="Calibri" w:cs="Calibri"/>
          <w:sz w:val="22"/>
          <w:szCs w:val="22"/>
        </w:rPr>
        <w:t xml:space="preserve"> the exchange of HSC donations internationally. </w:t>
      </w:r>
    </w:p>
    <w:p w14:paraId="26FC17EF" w14:textId="6F54159C" w:rsidR="006C6EBA" w:rsidRPr="006720E4" w:rsidRDefault="006C6EBA" w:rsidP="00EA22AE">
      <w:pPr>
        <w:pStyle w:val="Heading3"/>
        <w:spacing w:after="120"/>
      </w:pPr>
      <w:bookmarkStart w:id="4001" w:name="_Toc73129912"/>
      <w:bookmarkStart w:id="4002" w:name="_Toc73301784"/>
      <w:bookmarkStart w:id="4003" w:name="_Toc73302290"/>
      <w:bookmarkStart w:id="4004" w:name="_Toc73303423"/>
      <w:bookmarkStart w:id="4005" w:name="_Toc73303642"/>
      <w:bookmarkStart w:id="4006" w:name="_Toc74080759"/>
      <w:bookmarkStart w:id="4007" w:name="_Toc74081067"/>
      <w:bookmarkStart w:id="4008" w:name="_Toc74081297"/>
      <w:bookmarkStart w:id="4009" w:name="_Toc74081568"/>
      <w:bookmarkStart w:id="4010" w:name="_Toc74171128"/>
      <w:bookmarkStart w:id="4011" w:name="_Toc74172345"/>
      <w:bookmarkStart w:id="4012" w:name="_Toc74172881"/>
      <w:bookmarkStart w:id="4013" w:name="_Toc74238802"/>
      <w:bookmarkStart w:id="4014" w:name="_Toc82773691"/>
      <w:bookmarkStart w:id="4015" w:name="_Toc82774044"/>
      <w:bookmarkStart w:id="4016" w:name="_Toc79406454"/>
      <w:r w:rsidRPr="006720E4">
        <w:t>Barriers to self-sufficiency</w:t>
      </w:r>
      <w:bookmarkEnd w:id="4001"/>
      <w:bookmarkEnd w:id="4002"/>
      <w:bookmarkEnd w:id="4003"/>
      <w:bookmarkEnd w:id="4004"/>
      <w:bookmarkEnd w:id="4005"/>
      <w:bookmarkEnd w:id="4006"/>
      <w:bookmarkEnd w:id="4007"/>
      <w:bookmarkEnd w:id="4008"/>
      <w:bookmarkEnd w:id="4009"/>
      <w:bookmarkEnd w:id="4010"/>
      <w:bookmarkEnd w:id="4011"/>
      <w:bookmarkEnd w:id="4012"/>
      <w:bookmarkEnd w:id="4013"/>
      <w:r w:rsidRPr="006720E4">
        <w:t xml:space="preserve"> in tissues and organs</w:t>
      </w:r>
      <w:bookmarkEnd w:id="4014"/>
      <w:bookmarkEnd w:id="4015"/>
      <w:r w:rsidRPr="006720E4">
        <w:t xml:space="preserve"> </w:t>
      </w:r>
      <w:bookmarkEnd w:id="4016"/>
    </w:p>
    <w:p w14:paraId="302EE4D9" w14:textId="012E4DF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major challenge in achieving self-sufficiency is the insufficient supply of organs and some tissues within Australia. This may be due to missed opportunities for donation or short-term difficulties in meeting specific needs or addressing unexpected surges in demand for specific organs or tissues. For example, an infectious disease outbreak may temporarily exclude potential donors in Australia, or a bushfire crisis resulting in increased needs for skin graft transplants could create or exacerbate existing shortages of supply of organs or tissues. </w:t>
      </w:r>
    </w:p>
    <w:p w14:paraId="120E1514" w14:textId="68718E9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There may also be shortages in supply of specific tissues or tissue-derived medical products if these are not recovered or produced in Australia. This may occur, for example, because infrequent demand for a specific type of tissue or tissue-derived product means it is economically difficult to develop and maintain the relevant program within Australia.</w:t>
      </w:r>
    </w:p>
    <w:p w14:paraId="414B553D" w14:textId="77777777" w:rsidR="006C6EBA" w:rsidRPr="006720E4" w:rsidRDefault="006C6EBA" w:rsidP="00EA22AE">
      <w:pPr>
        <w:pStyle w:val="Heading2"/>
        <w:spacing w:after="120"/>
      </w:pPr>
      <w:bookmarkStart w:id="4017" w:name="_Ethical_obligations_of_1"/>
      <w:bookmarkStart w:id="4018" w:name="_Toc79330888"/>
      <w:bookmarkStart w:id="4019" w:name="_Toc79331268"/>
      <w:bookmarkStart w:id="4020" w:name="_Toc79406455"/>
      <w:bookmarkStart w:id="4021" w:name="_Toc82773692"/>
      <w:bookmarkStart w:id="4022" w:name="_Toc82774045"/>
      <w:bookmarkStart w:id="4023" w:name="_Toc128314229"/>
      <w:bookmarkStart w:id="4024" w:name="_Toc135131474"/>
      <w:bookmarkStart w:id="4025" w:name="_Toc73129913"/>
      <w:bookmarkStart w:id="4026" w:name="_Toc73301785"/>
      <w:bookmarkStart w:id="4027" w:name="_Toc73302291"/>
      <w:bookmarkStart w:id="4028" w:name="_Toc73303424"/>
      <w:bookmarkStart w:id="4029" w:name="_Toc73303643"/>
      <w:bookmarkStart w:id="4030" w:name="_Toc74080760"/>
      <w:bookmarkStart w:id="4031" w:name="_Toc74081068"/>
      <w:bookmarkStart w:id="4032" w:name="_Toc74081298"/>
      <w:bookmarkStart w:id="4033" w:name="_Toc74081569"/>
      <w:bookmarkStart w:id="4034" w:name="_Toc74171129"/>
      <w:bookmarkStart w:id="4035" w:name="_Toc74172346"/>
      <w:bookmarkStart w:id="4036" w:name="_Toc74172882"/>
      <w:bookmarkStart w:id="4037" w:name="_Toc74238803"/>
      <w:bookmarkStart w:id="4038" w:name="_Toc78304788"/>
      <w:bookmarkEnd w:id="4017"/>
      <w:r w:rsidRPr="006720E4">
        <w:t>Ethical obligations of custodians when receiving or transferring donor cells, tissues or organs</w:t>
      </w:r>
      <w:bookmarkEnd w:id="4018"/>
      <w:bookmarkEnd w:id="4019"/>
      <w:bookmarkEnd w:id="4020"/>
      <w:bookmarkEnd w:id="4021"/>
      <w:bookmarkEnd w:id="4022"/>
      <w:bookmarkEnd w:id="4023"/>
      <w:bookmarkEnd w:id="4024"/>
      <w:r w:rsidRPr="006720E4">
        <w:t xml:space="preserve"> </w:t>
      </w:r>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p>
    <w:p w14:paraId="0211EF1D" w14:textId="3601771C" w:rsidR="006C6EBA" w:rsidRPr="006720E4" w:rsidRDefault="00471664" w:rsidP="00EA22AE">
      <w:pPr>
        <w:spacing w:after="120"/>
        <w:rPr>
          <w:rFonts w:ascii="Calibri" w:hAnsi="Calibri" w:cs="Calibri"/>
          <w:sz w:val="22"/>
          <w:szCs w:val="22"/>
        </w:rPr>
      </w:pPr>
      <w:r>
        <w:rPr>
          <w:rFonts w:ascii="Calibri" w:hAnsi="Calibri" w:cs="Calibri"/>
          <w:sz w:val="22"/>
          <w:szCs w:val="22"/>
        </w:rPr>
        <w:t xml:space="preserve">Stewardship of the common good is a core value underpinning donation and transplantation in Australia (see </w:t>
      </w:r>
      <w:hyperlink w:anchor="_Stewardship_of_the" w:history="1">
        <w:r w:rsidR="005E037B" w:rsidRPr="004F318F">
          <w:rPr>
            <w:rStyle w:val="Hyperlink"/>
            <w:rFonts w:ascii="Calibri" w:hAnsi="Calibri" w:cs="Calibri"/>
            <w:sz w:val="22"/>
            <w:szCs w:val="22"/>
            <w:lang w:val="en-GB"/>
          </w:rPr>
          <w:t>Chapter 3.2.5</w:t>
        </w:r>
      </w:hyperlink>
      <w:r>
        <w:rPr>
          <w:rFonts w:ascii="Calibri" w:hAnsi="Calibri" w:cs="Calibri"/>
          <w:sz w:val="22"/>
          <w:szCs w:val="22"/>
        </w:rPr>
        <w:t>). This means that p</w:t>
      </w:r>
      <w:r w:rsidR="006C6EBA" w:rsidRPr="006720E4">
        <w:rPr>
          <w:rFonts w:ascii="Calibri" w:hAnsi="Calibri" w:cs="Calibri"/>
          <w:sz w:val="22"/>
          <w:szCs w:val="22"/>
        </w:rPr>
        <w:t>rofessionals and organi</w:t>
      </w:r>
      <w:r w:rsidR="000208BF">
        <w:rPr>
          <w:rFonts w:ascii="Calibri" w:hAnsi="Calibri" w:cs="Calibri"/>
          <w:sz w:val="22"/>
          <w:szCs w:val="22"/>
        </w:rPr>
        <w:t>s</w:t>
      </w:r>
      <w:r w:rsidR="006C6EBA" w:rsidRPr="006720E4">
        <w:rPr>
          <w:rFonts w:ascii="Calibri" w:hAnsi="Calibri" w:cs="Calibri"/>
          <w:sz w:val="22"/>
          <w:szCs w:val="22"/>
        </w:rPr>
        <w:t>ations involved in receiving or transferring donated cells, tissues or organs for use in transplantation have ethical obligations as custodians or prospective custodians of these materials. In particular, they have obligations to ensure that:</w:t>
      </w:r>
    </w:p>
    <w:p w14:paraId="050ED8DF" w14:textId="77777777" w:rsidR="006C6EBA" w:rsidRPr="006720E4" w:rsidRDefault="006C6EBA" w:rsidP="00C3783C">
      <w:pPr>
        <w:pStyle w:val="ListParagraph"/>
        <w:numPr>
          <w:ilvl w:val="0"/>
          <w:numId w:val="31"/>
        </w:numPr>
        <w:spacing w:after="120"/>
        <w:contextualSpacing w:val="0"/>
        <w:rPr>
          <w:rFonts w:cs="Calibri"/>
          <w:szCs w:val="22"/>
        </w:rPr>
      </w:pPr>
      <w:r w:rsidRPr="006720E4">
        <w:rPr>
          <w:rFonts w:cs="Calibri"/>
          <w:szCs w:val="22"/>
        </w:rPr>
        <w:t>Relevant legal, clinical, and ethical conditions relating to removal, transfer, import or export of human cells, tissues and organs have been met,</w:t>
      </w:r>
    </w:p>
    <w:p w14:paraId="25A2925F" w14:textId="77777777" w:rsidR="006C6EBA" w:rsidRPr="006720E4" w:rsidRDefault="006C6EBA" w:rsidP="00C3783C">
      <w:pPr>
        <w:pStyle w:val="ListParagraph"/>
        <w:numPr>
          <w:ilvl w:val="0"/>
          <w:numId w:val="31"/>
        </w:numPr>
        <w:spacing w:after="120"/>
        <w:contextualSpacing w:val="0"/>
        <w:rPr>
          <w:rFonts w:cs="Calibri"/>
          <w:szCs w:val="22"/>
        </w:rPr>
      </w:pPr>
      <w:r w:rsidRPr="006720E4">
        <w:rPr>
          <w:rFonts w:cs="Calibri"/>
          <w:szCs w:val="22"/>
        </w:rPr>
        <w:t>Traceability of donated materials is maintained from donation to transplantation,</w:t>
      </w:r>
    </w:p>
    <w:p w14:paraId="68D60930" w14:textId="67770CFE" w:rsidR="006C6EBA" w:rsidRPr="006720E4" w:rsidRDefault="006C6EBA" w:rsidP="00C3783C">
      <w:pPr>
        <w:pStyle w:val="ListParagraph"/>
        <w:numPr>
          <w:ilvl w:val="0"/>
          <w:numId w:val="31"/>
        </w:numPr>
        <w:spacing w:after="120"/>
        <w:contextualSpacing w:val="0"/>
        <w:rPr>
          <w:rFonts w:cs="Calibri"/>
          <w:szCs w:val="22"/>
        </w:rPr>
      </w:pPr>
      <w:r w:rsidRPr="006720E4">
        <w:rPr>
          <w:rFonts w:cs="Calibri"/>
          <w:szCs w:val="22"/>
        </w:rPr>
        <w:t>Relevant clinical and ethical standards in the care of donated materials are maintained throughout the period of custodianship,</w:t>
      </w:r>
    </w:p>
    <w:p w14:paraId="762B5A5A" w14:textId="3A814CDC" w:rsidR="006C6EBA" w:rsidRPr="006720E4" w:rsidRDefault="006C6EBA" w:rsidP="00C3783C">
      <w:pPr>
        <w:pStyle w:val="ListParagraph"/>
        <w:numPr>
          <w:ilvl w:val="0"/>
          <w:numId w:val="31"/>
        </w:numPr>
        <w:spacing w:after="120"/>
        <w:contextualSpacing w:val="0"/>
        <w:rPr>
          <w:rFonts w:cs="Calibri"/>
          <w:szCs w:val="22"/>
        </w:rPr>
      </w:pPr>
      <w:r w:rsidRPr="006720E4">
        <w:rPr>
          <w:rFonts w:cs="Calibri"/>
          <w:szCs w:val="22"/>
        </w:rPr>
        <w:t>Donor cells, tissues and organs are received from, or entrusted to organi</w:t>
      </w:r>
      <w:r w:rsidR="000208BF">
        <w:rPr>
          <w:rFonts w:cs="Calibri"/>
          <w:szCs w:val="22"/>
        </w:rPr>
        <w:t>s</w:t>
      </w:r>
      <w:r w:rsidRPr="006720E4">
        <w:rPr>
          <w:rFonts w:cs="Calibri"/>
          <w:szCs w:val="22"/>
        </w:rPr>
        <w:t>ations or individuals who are suitably qualified, accredited and competent to ensure that ethical and clinical standards are maintained in all activities relating to donation, storage, distribution or use of donor cells, tissues or organs.</w:t>
      </w:r>
    </w:p>
    <w:p w14:paraId="78362408" w14:textId="616158E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Although individuals or organi</w:t>
      </w:r>
      <w:r w:rsidR="000208BF">
        <w:rPr>
          <w:rFonts w:ascii="Calibri" w:hAnsi="Calibri" w:cs="Calibri"/>
          <w:sz w:val="22"/>
          <w:szCs w:val="22"/>
        </w:rPr>
        <w:t>s</w:t>
      </w:r>
      <w:r w:rsidRPr="006720E4">
        <w:rPr>
          <w:rFonts w:ascii="Calibri" w:hAnsi="Calibri" w:cs="Calibri"/>
          <w:sz w:val="22"/>
          <w:szCs w:val="22"/>
        </w:rPr>
        <w:t>ations may not be accountable for the actions of others from whom they receive or to whom they entrust donated materials in all circumstances, they have a responsibility to ensure that sufficient mechanisms and standards are in place to warrant trust. It is the responsibility of custodians and prospective custodians to take action in response to signs or reports of potential ethical concerns, ensuring a chain of ethical custodianship is maintained.</w:t>
      </w:r>
    </w:p>
    <w:p w14:paraId="50113221" w14:textId="032DC39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Specific ethical considerations with regards to the import or export of donor cells, tissues, and organs are </w:t>
      </w:r>
      <w:r w:rsidRPr="00471664">
        <w:rPr>
          <w:rFonts w:ascii="Calibri" w:hAnsi="Calibri" w:cs="Calibri"/>
          <w:sz w:val="22"/>
          <w:szCs w:val="22"/>
        </w:rPr>
        <w:t xml:space="preserve">discussed in </w:t>
      </w:r>
      <w:hyperlink w:anchor="_Ethical_conditions_for"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.3</w:t>
        </w:r>
      </w:hyperlink>
      <w:r w:rsidRPr="00471664">
        <w:rPr>
          <w:rFonts w:ascii="Calibri" w:hAnsi="Calibri" w:cs="Calibri"/>
          <w:sz w:val="22"/>
          <w:szCs w:val="22"/>
        </w:rPr>
        <w:t>.</w:t>
      </w:r>
      <w:r w:rsidRPr="006720E4">
        <w:rPr>
          <w:rFonts w:ascii="Calibri" w:hAnsi="Calibri" w:cs="Calibri"/>
          <w:sz w:val="22"/>
          <w:szCs w:val="22"/>
        </w:rPr>
        <w:t xml:space="preserve"> </w:t>
      </w:r>
    </w:p>
    <w:p w14:paraId="3EBCF321" w14:textId="77777777" w:rsidR="006C6EBA" w:rsidRPr="006720E4" w:rsidRDefault="006C6EBA" w:rsidP="00EA22AE">
      <w:pPr>
        <w:pStyle w:val="Heading2"/>
        <w:spacing w:after="120"/>
      </w:pPr>
      <w:bookmarkStart w:id="4039" w:name="_Ethical_conditions_for"/>
      <w:bookmarkStart w:id="4040" w:name="_Toc79330889"/>
      <w:bookmarkStart w:id="4041" w:name="_Toc79331269"/>
      <w:bookmarkStart w:id="4042" w:name="_Toc79406456"/>
      <w:bookmarkStart w:id="4043" w:name="_Toc82773693"/>
      <w:bookmarkStart w:id="4044" w:name="_Toc82774046"/>
      <w:bookmarkStart w:id="4045" w:name="_Toc128314230"/>
      <w:bookmarkStart w:id="4046" w:name="_Toc135131475"/>
      <w:bookmarkStart w:id="4047" w:name="_Toc73129914"/>
      <w:bookmarkStart w:id="4048" w:name="_Toc73301786"/>
      <w:bookmarkStart w:id="4049" w:name="_Toc73302292"/>
      <w:bookmarkStart w:id="4050" w:name="_Toc73303425"/>
      <w:bookmarkStart w:id="4051" w:name="_Toc73303644"/>
      <w:bookmarkStart w:id="4052" w:name="_Toc74080761"/>
      <w:bookmarkStart w:id="4053" w:name="_Toc74081069"/>
      <w:bookmarkStart w:id="4054" w:name="_Toc74081299"/>
      <w:bookmarkStart w:id="4055" w:name="_Toc74081570"/>
      <w:bookmarkStart w:id="4056" w:name="_Toc74171130"/>
      <w:bookmarkStart w:id="4057" w:name="_Toc74172347"/>
      <w:bookmarkStart w:id="4058" w:name="_Toc74172883"/>
      <w:bookmarkStart w:id="4059" w:name="_Toc74238804"/>
      <w:bookmarkStart w:id="4060" w:name="_Toc78304789"/>
      <w:bookmarkEnd w:id="4039"/>
      <w:r w:rsidRPr="006720E4">
        <w:t>Ethical conditions for the international import and export of donations</w:t>
      </w:r>
      <w:bookmarkEnd w:id="4040"/>
      <w:bookmarkEnd w:id="4041"/>
      <w:bookmarkEnd w:id="4042"/>
      <w:bookmarkEnd w:id="4043"/>
      <w:bookmarkEnd w:id="4044"/>
      <w:bookmarkEnd w:id="4045"/>
      <w:bookmarkEnd w:id="4046"/>
      <w:r w:rsidRPr="006720E4">
        <w:t xml:space="preserve"> </w:t>
      </w:r>
    </w:p>
    <w:bookmarkEnd w:id="3990"/>
    <w:bookmarkEnd w:id="3991"/>
    <w:bookmarkEnd w:id="3992"/>
    <w:bookmarkEnd w:id="3993"/>
    <w:bookmarkEnd w:id="3994"/>
    <w:bookmarkEnd w:id="3995"/>
    <w:bookmarkEnd w:id="3996"/>
    <w:bookmarkEnd w:id="3997"/>
    <w:bookmarkEnd w:id="3998"/>
    <w:bookmarkEnd w:id="3999"/>
    <w:bookmarkEnd w:id="4000"/>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p w14:paraId="71C81C57" w14:textId="4135811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the purpose of these Guidelines, international importation is defined as the transfer into Australia of human cells, tissues or organs, including tissue-derived products, that were donated outside Australia’s borders for use in transplantation by Australian residents.</w:t>
      </w:r>
      <w:r w:rsidR="00FE5314">
        <w:rPr>
          <w:rFonts w:ascii="Calibri" w:hAnsi="Calibri" w:cs="Calibri"/>
          <w:sz w:val="22"/>
          <w:szCs w:val="22"/>
        </w:rPr>
        <w:t xml:space="preserve"> Legislation governing import and export of human cells, tissues and organs is briefly addressed in </w:t>
      </w:r>
      <w:hyperlink w:anchor="_Legislation_governing_import" w:history="1">
        <w:r w:rsidR="00FE5314" w:rsidRPr="00FE5314">
          <w:rPr>
            <w:rStyle w:val="Hyperlink"/>
            <w:rFonts w:ascii="Calibri" w:hAnsi="Calibri" w:cs="Calibri"/>
            <w:sz w:val="22"/>
            <w:szCs w:val="22"/>
          </w:rPr>
          <w:t>Chapter 9.3.5</w:t>
        </w:r>
      </w:hyperlink>
      <w:r w:rsidR="00FE5314">
        <w:rPr>
          <w:rFonts w:ascii="Calibri" w:hAnsi="Calibri" w:cs="Calibri"/>
          <w:sz w:val="22"/>
          <w:szCs w:val="22"/>
        </w:rPr>
        <w:t>.</w:t>
      </w:r>
    </w:p>
    <w:p w14:paraId="2A3312A8" w14:textId="77777777" w:rsidR="00876237" w:rsidRDefault="006C6EBA" w:rsidP="00EA22AE">
      <w:pPr>
        <w:spacing w:after="120"/>
        <w:rPr>
          <w:rFonts w:ascii="Calibri" w:hAnsi="Calibri" w:cs="Calibri"/>
          <w:sz w:val="22"/>
          <w:szCs w:val="22"/>
        </w:rPr>
      </w:pPr>
      <w:r w:rsidRPr="006720E4">
        <w:rPr>
          <w:rFonts w:ascii="Calibri" w:hAnsi="Calibri" w:cs="Calibri"/>
          <w:sz w:val="22"/>
          <w:szCs w:val="22"/>
        </w:rPr>
        <w:t>Similarly, international exportation is defined as the transfer outside of Australia of human cells, tissues or organs, including tissue-derived products, that were donated within Australia’s borders for use in transplantation by individuals or populations that are not resident in Australia.</w:t>
      </w:r>
    </w:p>
    <w:p w14:paraId="46EC6184" w14:textId="4A67F6A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following sections we discuss </w:t>
      </w:r>
      <w:r w:rsidRPr="00471664">
        <w:rPr>
          <w:rFonts w:ascii="Calibri" w:hAnsi="Calibri" w:cs="Calibri"/>
          <w:sz w:val="22"/>
          <w:szCs w:val="22"/>
        </w:rPr>
        <w:t>specific ethical considerations that may be relevant in the context of import and export of donor cells (</w:t>
      </w:r>
      <w:hyperlink w:anchor="_Ethical_considerations_in_2"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.3.1</w:t>
        </w:r>
      </w:hyperlink>
      <w:r w:rsidRPr="00471664">
        <w:rPr>
          <w:rFonts w:ascii="Calibri" w:hAnsi="Calibri" w:cs="Calibri"/>
          <w:sz w:val="22"/>
          <w:szCs w:val="22"/>
        </w:rPr>
        <w:t>), and of donor tissues and organs (</w:t>
      </w:r>
      <w:hyperlink w:anchor="_Ethical_considerations_in_3"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.3.2</w:t>
        </w:r>
      </w:hyperlink>
      <w:r w:rsidRPr="00471664">
        <w:rPr>
          <w:rFonts w:ascii="Calibri" w:hAnsi="Calibri" w:cs="Calibri"/>
          <w:sz w:val="22"/>
          <w:szCs w:val="22"/>
        </w:rPr>
        <w:t xml:space="preserve"> and </w:t>
      </w:r>
      <w:hyperlink w:anchor="_Ethical_considerations_in_4"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.3.3</w:t>
        </w:r>
      </w:hyperlink>
      <w:r w:rsidRPr="00471664">
        <w:rPr>
          <w:rFonts w:ascii="Calibri" w:hAnsi="Calibri" w:cs="Calibri"/>
          <w:sz w:val="22"/>
          <w:szCs w:val="22"/>
        </w:rPr>
        <w:t>).</w:t>
      </w:r>
    </w:p>
    <w:p w14:paraId="7565E35C" w14:textId="77EA4882" w:rsidR="006C6EBA" w:rsidRPr="006720E4" w:rsidRDefault="006C6EBA" w:rsidP="00EA22AE">
      <w:pPr>
        <w:pStyle w:val="Heading3"/>
        <w:spacing w:after="120"/>
      </w:pPr>
      <w:bookmarkStart w:id="4061" w:name="_Ethical_considerations_in_2"/>
      <w:bookmarkStart w:id="4062" w:name="_Toc79406457"/>
      <w:bookmarkStart w:id="4063" w:name="_Toc82773694"/>
      <w:bookmarkStart w:id="4064" w:name="_Toc82774047"/>
      <w:bookmarkEnd w:id="4061"/>
      <w:r w:rsidRPr="006720E4">
        <w:t>Ethical considerations in the import and export of donor cells</w:t>
      </w:r>
      <w:bookmarkEnd w:id="4062"/>
      <w:bookmarkEnd w:id="4063"/>
      <w:bookmarkEnd w:id="4064"/>
    </w:p>
    <w:p w14:paraId="60D03B87" w14:textId="2BD9951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w:t>
      </w:r>
      <w:r w:rsidRPr="00471664">
        <w:rPr>
          <w:rFonts w:ascii="Calibri" w:hAnsi="Calibri" w:cs="Calibri"/>
          <w:sz w:val="22"/>
          <w:szCs w:val="22"/>
        </w:rPr>
        <w:t xml:space="preserve">noted in </w:t>
      </w:r>
      <w:hyperlink w:anchor="_Global_sufficiency_in"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.1.3</w:t>
        </w:r>
      </w:hyperlink>
      <w:r w:rsidRPr="00471664">
        <w:rPr>
          <w:rFonts w:ascii="Calibri" w:hAnsi="Calibri" w:cs="Calibri"/>
          <w:sz w:val="22"/>
          <w:szCs w:val="22"/>
        </w:rPr>
        <w:t>, international exchange</w:t>
      </w:r>
      <w:r w:rsidRPr="006720E4">
        <w:rPr>
          <w:rFonts w:ascii="Calibri" w:hAnsi="Calibri" w:cs="Calibri"/>
          <w:sz w:val="22"/>
          <w:szCs w:val="22"/>
        </w:rPr>
        <w:t xml:space="preserve"> of donated HSCs is necessary in order to better meet needs for HSC transplants worldwide. Import and exchange of donor cells is therefore routine. </w:t>
      </w:r>
    </w:p>
    <w:p w14:paraId="2F8894AB" w14:textId="733086A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Key ethical considerations guiding import and export of donor HSCs to and from Australia include the ethical obligations of </w:t>
      </w:r>
      <w:r w:rsidRPr="00471664">
        <w:rPr>
          <w:rFonts w:ascii="Calibri" w:hAnsi="Calibri" w:cs="Calibri"/>
          <w:sz w:val="22"/>
          <w:szCs w:val="22"/>
        </w:rPr>
        <w:t xml:space="preserve">custodians as outlined in </w:t>
      </w:r>
      <w:hyperlink w:anchor="_Ethical_obligations_of_1"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.2</w:t>
        </w:r>
      </w:hyperlink>
      <w:r w:rsidRPr="00471664">
        <w:rPr>
          <w:rFonts w:ascii="Calibri" w:hAnsi="Calibri" w:cs="Calibri"/>
          <w:sz w:val="22"/>
          <w:szCs w:val="22"/>
        </w:rPr>
        <w:t>. The ABMDR</w:t>
      </w:r>
      <w:r w:rsidRPr="006720E4">
        <w:rPr>
          <w:rFonts w:ascii="Calibri" w:hAnsi="Calibri" w:cs="Calibri"/>
          <w:sz w:val="22"/>
          <w:szCs w:val="22"/>
        </w:rPr>
        <w:t xml:space="preserve"> works closely in collaboration with the WMDA and collaborating donor registries worldwide to ensure that established clinical and ethical standards are maintained throughout the global network.</w:t>
      </w:r>
    </w:p>
    <w:p w14:paraId="25BC29CE" w14:textId="77777777" w:rsidR="006C6EBA" w:rsidRPr="006720E4" w:rsidRDefault="006C6EBA" w:rsidP="00EA22AE">
      <w:pPr>
        <w:pStyle w:val="Heading3"/>
        <w:spacing w:after="120"/>
      </w:pPr>
      <w:bookmarkStart w:id="4065" w:name="_Ethical_considerations_in_3"/>
      <w:bookmarkStart w:id="4066" w:name="_Toc79406458"/>
      <w:bookmarkStart w:id="4067" w:name="_Toc82773695"/>
      <w:bookmarkStart w:id="4068" w:name="_Toc82774048"/>
      <w:bookmarkEnd w:id="4065"/>
      <w:r w:rsidRPr="006720E4">
        <w:t xml:space="preserve">Ethical considerations in the import </w:t>
      </w:r>
      <w:bookmarkEnd w:id="4066"/>
      <w:r w:rsidRPr="006720E4">
        <w:t>of donor organs and tissues</w:t>
      </w:r>
      <w:bookmarkEnd w:id="4067"/>
      <w:bookmarkEnd w:id="4068"/>
    </w:p>
    <w:p w14:paraId="3E9C9AD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Occasional </w:t>
      </w:r>
      <w:r w:rsidRPr="006720E4">
        <w:rPr>
          <w:rFonts w:ascii="Calibri" w:hAnsi="Calibri" w:cs="Calibri"/>
          <w:b/>
          <w:bCs/>
          <w:sz w:val="22"/>
          <w:szCs w:val="22"/>
        </w:rPr>
        <w:t>importation</w:t>
      </w:r>
      <w:r w:rsidRPr="006720E4">
        <w:rPr>
          <w:rFonts w:ascii="Calibri" w:hAnsi="Calibri" w:cs="Calibri"/>
          <w:sz w:val="22"/>
          <w:szCs w:val="22"/>
        </w:rPr>
        <w:t xml:space="preserve"> of donor organs or tissues into Australia may be ethically appropriate if:</w:t>
      </w:r>
    </w:p>
    <w:p w14:paraId="18EC8C70" w14:textId="7325B413" w:rsidR="006C6EBA" w:rsidRPr="006720E4" w:rsidRDefault="006C6EBA" w:rsidP="00EA22AE">
      <w:pPr>
        <w:pStyle w:val="Bullet"/>
        <w:numPr>
          <w:ilvl w:val="0"/>
          <w:numId w:val="16"/>
        </w:numPr>
        <w:spacing w:after="120"/>
        <w:contextualSpacing w:val="0"/>
        <w:rPr>
          <w:rFonts w:cs="Calibri"/>
          <w:szCs w:val="22"/>
        </w:rPr>
      </w:pPr>
      <w:r w:rsidRPr="006720E4">
        <w:rPr>
          <w:rFonts w:cs="Calibri"/>
          <w:szCs w:val="22"/>
        </w:rPr>
        <w:t xml:space="preserve">It is necessary to meet (an) urgent, serious, and unavoidable need(s) for transplantation, and if importation is limited to the immediate period of necessity. For example, if a disaster results in significant demand for life-saving skin graft and there are insufficient supplies of donor skin grafts within Australia, it may be appropriate to import available grafts from another country. </w:t>
      </w:r>
    </w:p>
    <w:p w14:paraId="45D45ADC" w14:textId="087A3FBB" w:rsidR="006C6EBA" w:rsidRPr="006720E4" w:rsidRDefault="006C6EBA" w:rsidP="00EA22AE">
      <w:pPr>
        <w:pStyle w:val="Bullet"/>
        <w:numPr>
          <w:ilvl w:val="0"/>
          <w:numId w:val="16"/>
        </w:numPr>
        <w:spacing w:after="120"/>
        <w:contextualSpacing w:val="0"/>
        <w:rPr>
          <w:rFonts w:cs="Calibri"/>
          <w:szCs w:val="22"/>
        </w:rPr>
      </w:pPr>
      <w:r w:rsidRPr="006720E4">
        <w:rPr>
          <w:rFonts w:cs="Calibri"/>
          <w:szCs w:val="22"/>
        </w:rPr>
        <w:t>Importation is not expected to negatively impact people in need of transplants within the donor country. For example, if importation of the skin grafts from the United States will not result in Americans being unable to access such grafts.</w:t>
      </w:r>
    </w:p>
    <w:p w14:paraId="7EAE9045" w14:textId="6EB6AFFC" w:rsidR="006C6EBA" w:rsidRPr="006720E4" w:rsidRDefault="006C6EBA" w:rsidP="00EA22AE">
      <w:pPr>
        <w:pStyle w:val="Bullet"/>
        <w:numPr>
          <w:ilvl w:val="0"/>
          <w:numId w:val="16"/>
        </w:numPr>
        <w:spacing w:after="120"/>
        <w:contextualSpacing w:val="0"/>
        <w:rPr>
          <w:rFonts w:cs="Calibri"/>
          <w:szCs w:val="22"/>
        </w:rPr>
      </w:pPr>
      <w:r w:rsidRPr="006720E4">
        <w:rPr>
          <w:rFonts w:cs="Calibri"/>
          <w:szCs w:val="22"/>
        </w:rPr>
        <w:t xml:space="preserve">The imported materials were obtained and processed in accordance with ethical and clinical standards equivalent to those of Australia. For example, skin grafts should not be imported if they were from obtained from a country that is suspected of removing tissues from donors without valid consent, or if traceability of donors is not possible, as these raise ethical and safety concerns. </w:t>
      </w:r>
    </w:p>
    <w:p w14:paraId="09E1ABEB" w14:textId="77777777" w:rsidR="006C6EBA" w:rsidRPr="006720E4" w:rsidRDefault="006C6EBA" w:rsidP="00EA22AE">
      <w:pPr>
        <w:pStyle w:val="Bullet"/>
        <w:numPr>
          <w:ilvl w:val="0"/>
          <w:numId w:val="16"/>
        </w:numPr>
        <w:spacing w:after="120"/>
        <w:contextualSpacing w:val="0"/>
        <w:rPr>
          <w:rFonts w:cs="Calibri"/>
          <w:szCs w:val="22"/>
        </w:rPr>
      </w:pPr>
      <w:r w:rsidRPr="006720E4">
        <w:rPr>
          <w:rFonts w:cs="Calibri"/>
          <w:szCs w:val="22"/>
        </w:rPr>
        <w:t>Importation is not expected to negatively impact donation and transplantation in Australia.</w:t>
      </w:r>
    </w:p>
    <w:p w14:paraId="318D0BCC" w14:textId="77777777" w:rsidR="006C6EBA" w:rsidRPr="006720E4" w:rsidRDefault="006C6EBA" w:rsidP="00EA22AE">
      <w:pPr>
        <w:pStyle w:val="Bullet"/>
        <w:numPr>
          <w:ilvl w:val="0"/>
          <w:numId w:val="16"/>
        </w:numPr>
        <w:spacing w:after="120"/>
        <w:contextualSpacing w:val="0"/>
        <w:rPr>
          <w:rFonts w:cs="Calibri"/>
          <w:szCs w:val="22"/>
        </w:rPr>
      </w:pPr>
      <w:r w:rsidRPr="006720E4">
        <w:rPr>
          <w:rFonts w:cs="Calibri"/>
          <w:szCs w:val="22"/>
        </w:rPr>
        <w:t xml:space="preserve">The circumstances underpinning the need for importation are reviewed to determine if strategies can be implemented to reduce the risk of future needs for importation, and steps are taken to reduce reliance on importation at the earliest opportunity. </w:t>
      </w:r>
    </w:p>
    <w:p w14:paraId="0B0A5825" w14:textId="6446FC36"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If it is determined that regular importation of specific organs or tissues may be necessary and beneficial, for example in the context of a collaborative sharing agreement, it is important to ensure the arrangement is equitable, sustainable, and that ethical, clinical, and regulatory standards are met in the country of export as well as in Australia. The arrangement for organ sharing between Australia and New Zealand is an example of occasional importation that satisfies these criteria.</w:t>
      </w:r>
      <w:r w:rsidRPr="006720E4">
        <w:rPr>
          <w:rFonts w:cs="Calibri"/>
          <w:szCs w:val="22"/>
        </w:rPr>
        <w:fldChar w:fldCharType="begin" w:fldLock="1"/>
      </w:r>
      <w:r w:rsidR="00485565" w:rsidRPr="006720E4">
        <w:rPr>
          <w:rFonts w:cs="Calibri"/>
          <w:szCs w:val="22"/>
        </w:rPr>
        <w:instrText>ADDIN CSL_CITATION {"citationItems":[{"id":"ITEM-1","itemData":{"ISBN":"9781925129595","author":[{"dropping-particle":"","family":"Transplantation Society of Australia and New Zealand (TSANZ)","given":"","non-dropping-particle":"","parse-names":false,"suffix":""}],"id":"ITEM-1","issue":"May","issued":{"date-parts":[["2021"]]},"title":"Clinical guidelines for organ transplantation from deceased donors","type":"report"},"uris":["http://www.mendeley.com/documents/?uuid=bed9703f-62ef-4593-9f4e-35aad01a7878"]}],"mendeley":{"formattedCitation":"(12)","plainTextFormattedCitation":"(12)","previouslyFormattedCitation":"(12)"},"properties":{"noteIndex":0},"schema":"https://github.com/citation-style-language/schema/raw/master/csl-citation.json"}</w:instrText>
      </w:r>
      <w:r w:rsidRPr="006720E4">
        <w:rPr>
          <w:rFonts w:cs="Calibri"/>
          <w:szCs w:val="22"/>
        </w:rPr>
        <w:fldChar w:fldCharType="separate"/>
      </w:r>
      <w:r w:rsidR="00485565" w:rsidRPr="006720E4">
        <w:rPr>
          <w:rFonts w:cs="Calibri"/>
          <w:noProof/>
          <w:szCs w:val="22"/>
        </w:rPr>
        <w:t>(12)</w:t>
      </w:r>
      <w:r w:rsidRPr="006720E4">
        <w:rPr>
          <w:rFonts w:cs="Calibri"/>
          <w:szCs w:val="22"/>
        </w:rPr>
        <w:fldChar w:fldCharType="end"/>
      </w:r>
    </w:p>
    <w:p w14:paraId="26E43E69" w14:textId="03C5923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Care should be taken in particular to ensure that importation of tissues does not have a negative impact on local tissue banking.</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{"citationItems":[{"id":"ITEM-1","itemData":{"author":[{"dropping-particle":"","family":"Eye Bank Association of Australia New Zealand (EBAANZ)","given":"","non-dropping-particle":"","parse-names":false,"suffix":""}],"id":"ITEM-1","issued":{"date-parts":[["2015"]]},"title":"Bioethical Framework for Policy and Procedure 2015","type":"report"},"uris":["http://www.mendeley.com/documents/?uuid=0eb70356-db7c-4181-9664-75df1ad2f841"]}],"mendeley":{"formattedCitation":"(141)","plainTextFormattedCitation":"(141)","previouslyFormattedCitation":"(141)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(141)</w:t>
      </w:r>
      <w:r w:rsidRPr="006720E4">
        <w:rPr>
          <w:rFonts w:ascii="Calibri" w:hAnsi="Calibri" w:cs="Calibri"/>
          <w:sz w:val="22"/>
          <w:szCs w:val="22"/>
        </w:rPr>
        <w:fldChar w:fldCharType="end"/>
      </w:r>
      <w:r w:rsidRPr="006720E4">
        <w:rPr>
          <w:rFonts w:ascii="Calibri" w:hAnsi="Calibri" w:cs="Calibri"/>
          <w:sz w:val="22"/>
          <w:szCs w:val="22"/>
        </w:rPr>
        <w:t xml:space="preserve"> As d</w:t>
      </w:r>
      <w:r w:rsidRPr="00471664">
        <w:rPr>
          <w:rFonts w:ascii="Calibri" w:hAnsi="Calibri" w:cs="Calibri"/>
          <w:sz w:val="22"/>
          <w:szCs w:val="22"/>
        </w:rPr>
        <w:t xml:space="preserve">iscussed in </w:t>
      </w:r>
      <w:hyperlink w:anchor="_Cost_recovery_and"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10</w:t>
        </w:r>
        <w:r w:rsidRPr="00471664">
          <w:rPr>
            <w:rStyle w:val="Hyperlink"/>
            <w:rFonts w:ascii="Calibri" w:hAnsi="Calibri" w:cs="Calibri"/>
            <w:sz w:val="22"/>
            <w:szCs w:val="22"/>
          </w:rPr>
          <w:t>.5</w:t>
        </w:r>
      </w:hyperlink>
      <w:r w:rsidRPr="00471664">
        <w:rPr>
          <w:rFonts w:ascii="Calibri" w:hAnsi="Calibri" w:cs="Calibri"/>
          <w:sz w:val="22"/>
          <w:szCs w:val="22"/>
        </w:rPr>
        <w:t>, substantive</w:t>
      </w:r>
      <w:r w:rsidRPr="006720E4">
        <w:rPr>
          <w:rFonts w:ascii="Calibri" w:hAnsi="Calibri" w:cs="Calibri"/>
          <w:sz w:val="22"/>
          <w:szCs w:val="22"/>
        </w:rPr>
        <w:t xml:space="preserve"> importation of specific tissues or tissue-derived products may jeopardise sustainability of local donation and manufacturing activities.</w:t>
      </w:r>
    </w:p>
    <w:p w14:paraId="1D3B1A1D" w14:textId="718A5001" w:rsidR="006C6EBA" w:rsidRPr="006720E4" w:rsidRDefault="006C6EBA" w:rsidP="00EA22AE">
      <w:pPr>
        <w:pStyle w:val="Heading3"/>
        <w:spacing w:after="120"/>
      </w:pPr>
      <w:bookmarkStart w:id="4069" w:name="_Ethical_considerations_in_4"/>
      <w:bookmarkStart w:id="4070" w:name="_Toc79406459"/>
      <w:bookmarkStart w:id="4071" w:name="_Toc82773696"/>
      <w:bookmarkStart w:id="4072" w:name="_Toc82774049"/>
      <w:bookmarkEnd w:id="4069"/>
      <w:r w:rsidRPr="006720E4">
        <w:t>Ethical considerations in the export of donor organs and tissues</w:t>
      </w:r>
      <w:bookmarkEnd w:id="4070"/>
      <w:bookmarkEnd w:id="4071"/>
      <w:bookmarkEnd w:id="4072"/>
    </w:p>
    <w:p w14:paraId="7F658773" w14:textId="0B8E078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pursuing self-sufficiency in organs and tissues, the needs of Australian residents for transplantation should generally be prioritised. This may be considered fair as a matter of reciprocity </w:t>
      </w:r>
      <w:r w:rsidRPr="00471664">
        <w:rPr>
          <w:rFonts w:ascii="Calibri" w:hAnsi="Calibri" w:cs="Calibri"/>
          <w:sz w:val="22"/>
          <w:szCs w:val="22"/>
        </w:rPr>
        <w:t xml:space="preserve">(see </w:t>
      </w:r>
      <w:hyperlink w:anchor="_Reciprocity"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8</w:t>
        </w:r>
        <w:r w:rsidRPr="00471664">
          <w:rPr>
            <w:rStyle w:val="Hyperlink"/>
            <w:rFonts w:ascii="Calibri" w:hAnsi="Calibri" w:cs="Calibri"/>
            <w:sz w:val="22"/>
            <w:szCs w:val="22"/>
          </w:rPr>
          <w:t>.2.1.5</w:t>
        </w:r>
      </w:hyperlink>
      <w:r w:rsidRPr="00471664">
        <w:rPr>
          <w:rFonts w:ascii="Calibri" w:hAnsi="Calibri" w:cs="Calibri"/>
          <w:sz w:val="22"/>
          <w:szCs w:val="22"/>
        </w:rPr>
        <w:t>), given</w:t>
      </w:r>
      <w:r w:rsidRPr="006720E4">
        <w:rPr>
          <w:rFonts w:ascii="Calibri" w:hAnsi="Calibri" w:cs="Calibri"/>
          <w:sz w:val="22"/>
          <w:szCs w:val="22"/>
        </w:rPr>
        <w:t xml:space="preserve"> that it is this population which contributes the invaluable resources necessary for transplantation by donating organs and tissues. For example, it is only in exceptional circumstances that foreign patients visiting Australia may be considered eligible to receive a deceased donor organ </w:t>
      </w:r>
      <w:r w:rsidRPr="00471664">
        <w:rPr>
          <w:rFonts w:ascii="Calibri" w:hAnsi="Calibri" w:cs="Calibri"/>
          <w:sz w:val="22"/>
          <w:szCs w:val="22"/>
        </w:rPr>
        <w:t xml:space="preserve">transplant (see </w:t>
      </w:r>
      <w:hyperlink w:anchor="_Unplanned_donation_by"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.4.4</w:t>
        </w:r>
      </w:hyperlink>
      <w:r w:rsidRPr="00471664">
        <w:rPr>
          <w:rFonts w:ascii="Calibri" w:hAnsi="Calibri" w:cs="Calibri"/>
          <w:sz w:val="22"/>
          <w:szCs w:val="22"/>
        </w:rPr>
        <w:t xml:space="preserve"> for a discussion</w:t>
      </w:r>
      <w:r w:rsidRPr="006720E4">
        <w:rPr>
          <w:rFonts w:ascii="Calibri" w:hAnsi="Calibri" w:cs="Calibri"/>
          <w:sz w:val="22"/>
          <w:szCs w:val="22"/>
        </w:rPr>
        <w:t xml:space="preserve"> of international travel for transplantation). </w:t>
      </w:r>
    </w:p>
    <w:p w14:paraId="750A3A77"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circumstances, organs or tissues donated in Australia may be available for transplantation that are surplus to the needs of Australian residents, or for whom a matching recipient isn’t available in Australia. For example, while some tissues may be stored for later use within Australia, some donations may be wasted if it is not possible to transplant them in a timely manner. When this </w:t>
      </w:r>
      <w:r w:rsidRPr="006720E4">
        <w:rPr>
          <w:rFonts w:ascii="Calibri" w:hAnsi="Calibri" w:cs="Calibri"/>
          <w:sz w:val="22"/>
          <w:szCs w:val="22"/>
        </w:rPr>
        <w:lastRenderedPageBreak/>
        <w:t>occurs, the possibility of sharing these resources with those in need of transplantation outside Australia may be considered.</w:t>
      </w:r>
    </w:p>
    <w:p w14:paraId="2471D27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this occurs, or when the availability of stored tissues outweighs the predicted needs, the possibility of sharing these resources with those in imminent need of transplantation outside Australia may be considered.</w:t>
      </w:r>
    </w:p>
    <w:p w14:paraId="3DA3834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Exportation is defined as the transfer outside of Australia of organs or tissues that were donated within Australia’s borders for use in transplantation by individuals or populations that are not resident in Australia.</w:t>
      </w:r>
    </w:p>
    <w:p w14:paraId="44F0448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Occasional exportation of organs or tissues from Australia may be ethically appropriate if the following conditions are satisfied:</w:t>
      </w:r>
    </w:p>
    <w:p w14:paraId="508129E2" w14:textId="6AA8BDDA" w:rsidR="006C6EBA" w:rsidRPr="006720E4" w:rsidRDefault="006C6EBA" w:rsidP="00EA22AE">
      <w:pPr>
        <w:pStyle w:val="Bullet"/>
        <w:numPr>
          <w:ilvl w:val="0"/>
          <w:numId w:val="17"/>
        </w:numPr>
        <w:spacing w:after="120"/>
        <w:contextualSpacing w:val="0"/>
        <w:rPr>
          <w:rFonts w:cs="Calibri"/>
          <w:szCs w:val="22"/>
        </w:rPr>
      </w:pPr>
      <w:r w:rsidRPr="006720E4">
        <w:rPr>
          <w:rFonts w:cs="Calibri"/>
          <w:szCs w:val="22"/>
        </w:rPr>
        <w:t xml:space="preserve">It is necessary to avoid wasting donations that would otherwise be discarded, or if it is necessary to assist in saving lives in other countries and will not jeopardise lives within Australia. For example, a liver may be available from an Australian deceased donor for whom no suitable liver transplant candidate is available within Australia, but an eligible recipient is available in New Zealand. </w:t>
      </w:r>
    </w:p>
    <w:p w14:paraId="0630AA35" w14:textId="63789E76" w:rsidR="006C6EBA" w:rsidRPr="006720E4" w:rsidRDefault="006C6EBA" w:rsidP="00EA22AE">
      <w:pPr>
        <w:pStyle w:val="Bullet"/>
        <w:numPr>
          <w:ilvl w:val="0"/>
          <w:numId w:val="17"/>
        </w:numPr>
        <w:spacing w:after="120"/>
        <w:contextualSpacing w:val="0"/>
        <w:rPr>
          <w:rFonts w:cs="Calibri"/>
          <w:szCs w:val="22"/>
        </w:rPr>
      </w:pPr>
      <w:r w:rsidRPr="006720E4">
        <w:rPr>
          <w:rFonts w:cs="Calibri"/>
          <w:szCs w:val="22"/>
        </w:rPr>
        <w:t xml:space="preserve">It is reasonable to presume that relevant donors would be willing for their donations to be exported or if explicit consent for export has been </w:t>
      </w:r>
      <w:r w:rsidRPr="00471664">
        <w:rPr>
          <w:rFonts w:cs="Calibri"/>
          <w:szCs w:val="22"/>
        </w:rPr>
        <w:t xml:space="preserve">provided (see </w:t>
      </w:r>
      <w:hyperlink w:anchor="_Implications_of_import" w:history="1">
        <w:r w:rsidRPr="00471664">
          <w:rPr>
            <w:rStyle w:val="Hyperlink"/>
            <w:rFonts w:cs="Calibri"/>
            <w:szCs w:val="22"/>
          </w:rPr>
          <w:t xml:space="preserve">Chapter </w:t>
        </w:r>
        <w:r w:rsidR="00471664" w:rsidRPr="00471664">
          <w:rPr>
            <w:rStyle w:val="Hyperlink"/>
            <w:rFonts w:cs="Calibri"/>
            <w:szCs w:val="22"/>
          </w:rPr>
          <w:t>9</w:t>
        </w:r>
        <w:r w:rsidRPr="00471664">
          <w:rPr>
            <w:rStyle w:val="Hyperlink"/>
            <w:rFonts w:cs="Calibri"/>
            <w:szCs w:val="22"/>
          </w:rPr>
          <w:t>.3.4</w:t>
        </w:r>
      </w:hyperlink>
      <w:r w:rsidRPr="00471664">
        <w:rPr>
          <w:rFonts w:cs="Calibri"/>
          <w:szCs w:val="22"/>
        </w:rPr>
        <w:t>).</w:t>
      </w:r>
      <w:r w:rsidRPr="006720E4">
        <w:rPr>
          <w:rFonts w:cs="Calibri"/>
          <w:szCs w:val="22"/>
        </w:rPr>
        <w:t xml:space="preserve"> </w:t>
      </w:r>
    </w:p>
    <w:p w14:paraId="13FE6456" w14:textId="77777777" w:rsidR="006C6EBA" w:rsidRPr="006720E4" w:rsidRDefault="006C6EBA" w:rsidP="00EA22AE">
      <w:pPr>
        <w:pStyle w:val="Bullet"/>
        <w:numPr>
          <w:ilvl w:val="0"/>
          <w:numId w:val="17"/>
        </w:numPr>
        <w:spacing w:after="120"/>
        <w:contextualSpacing w:val="0"/>
        <w:rPr>
          <w:rFonts w:cs="Calibri"/>
          <w:szCs w:val="22"/>
        </w:rPr>
      </w:pPr>
      <w:r w:rsidRPr="006720E4">
        <w:rPr>
          <w:rFonts w:cs="Calibri"/>
          <w:szCs w:val="22"/>
        </w:rPr>
        <w:t xml:space="preserve">Exportation is not expected to negatively impact donation or transplantation programs within Australia or within the recipient country. For example, regular exportation of donor tissues from Australia could discourage efforts in destination countries to establish or sustain their own donation programs or could discourage donation within Australia. </w:t>
      </w:r>
    </w:p>
    <w:p w14:paraId="215BE9BF" w14:textId="77777777" w:rsidR="006C6EBA" w:rsidRPr="006720E4" w:rsidRDefault="006C6EBA" w:rsidP="00EA22AE">
      <w:pPr>
        <w:pStyle w:val="Bullet"/>
        <w:numPr>
          <w:ilvl w:val="0"/>
          <w:numId w:val="17"/>
        </w:numPr>
        <w:spacing w:after="120"/>
        <w:contextualSpacing w:val="0"/>
        <w:rPr>
          <w:rFonts w:cs="Calibri"/>
          <w:szCs w:val="22"/>
        </w:rPr>
      </w:pPr>
      <w:r w:rsidRPr="006720E4">
        <w:rPr>
          <w:rFonts w:cs="Calibri"/>
          <w:szCs w:val="22"/>
        </w:rPr>
        <w:t xml:space="preserve">The donated materials meet clinical standards in the destination country, and will be used lawfully in the destination country in accordance with ethical standards equivalent to those set out in these guidelines. </w:t>
      </w:r>
    </w:p>
    <w:p w14:paraId="5E230832" w14:textId="3CD31487" w:rsidR="006C6EBA" w:rsidRPr="006720E4" w:rsidRDefault="006C6EBA" w:rsidP="00EA22AE">
      <w:pPr>
        <w:pStyle w:val="Bullet"/>
        <w:numPr>
          <w:ilvl w:val="0"/>
          <w:numId w:val="17"/>
        </w:numPr>
        <w:spacing w:after="120"/>
        <w:contextualSpacing w:val="0"/>
        <w:rPr>
          <w:rFonts w:cs="Calibri"/>
          <w:szCs w:val="22"/>
        </w:rPr>
      </w:pPr>
      <w:r w:rsidRPr="006720E4">
        <w:rPr>
          <w:rFonts w:cs="Calibri"/>
          <w:szCs w:val="22"/>
        </w:rPr>
        <w:t xml:space="preserve">Any charges for the provision of organs or tissues that are exported by Australia are consistent with the costs of providing equivalent services within Australia and aimed at recovery of costs, not </w:t>
      </w:r>
      <w:r w:rsidRPr="00471664">
        <w:rPr>
          <w:rFonts w:cs="Calibri"/>
          <w:szCs w:val="22"/>
        </w:rPr>
        <w:t xml:space="preserve">generation of profits (see </w:t>
      </w:r>
      <w:hyperlink w:anchor="_Determining__ethically" w:history="1">
        <w:r w:rsidRPr="00471664">
          <w:rPr>
            <w:rStyle w:val="Hyperlink"/>
            <w:rFonts w:cs="Calibri"/>
            <w:szCs w:val="22"/>
          </w:rPr>
          <w:t xml:space="preserve">Chapter </w:t>
        </w:r>
        <w:r w:rsidR="00471664" w:rsidRPr="00471664">
          <w:rPr>
            <w:rStyle w:val="Hyperlink"/>
            <w:rFonts w:cs="Calibri"/>
            <w:szCs w:val="22"/>
          </w:rPr>
          <w:t>10</w:t>
        </w:r>
        <w:r w:rsidRPr="00471664">
          <w:rPr>
            <w:rStyle w:val="Hyperlink"/>
            <w:rFonts w:cs="Calibri"/>
            <w:szCs w:val="22"/>
          </w:rPr>
          <w:t>.5.2</w:t>
        </w:r>
      </w:hyperlink>
      <w:r w:rsidRPr="00471664">
        <w:rPr>
          <w:rFonts w:cs="Calibri"/>
          <w:szCs w:val="22"/>
        </w:rPr>
        <w:t>).</w:t>
      </w:r>
      <w:r w:rsidRPr="006720E4">
        <w:rPr>
          <w:rFonts w:cs="Calibri"/>
          <w:szCs w:val="22"/>
        </w:rPr>
        <w:t xml:space="preserve"> </w:t>
      </w:r>
    </w:p>
    <w:p w14:paraId="00FE4EC5" w14:textId="074DCEC3" w:rsidR="006C6EBA" w:rsidRPr="006720E4" w:rsidRDefault="006C6EBA" w:rsidP="00EA22AE">
      <w:pPr>
        <w:pStyle w:val="Bullet"/>
        <w:numPr>
          <w:ilvl w:val="0"/>
          <w:numId w:val="17"/>
        </w:numPr>
        <w:spacing w:after="120"/>
        <w:contextualSpacing w:val="0"/>
        <w:rPr>
          <w:rFonts w:cs="Calibri"/>
          <w:szCs w:val="22"/>
        </w:rPr>
      </w:pPr>
      <w:r w:rsidRPr="006720E4">
        <w:rPr>
          <w:rFonts w:cs="Calibri"/>
          <w:szCs w:val="22"/>
        </w:rPr>
        <w:t xml:space="preserve">Decisions regarding the distribution of Australian organs or tissues (including tissue-derived products) via export are determined using equivalent values and principles that guide equitable allocation of these resources within </w:t>
      </w:r>
      <w:r w:rsidRPr="005E037B">
        <w:rPr>
          <w:rFonts w:cs="Calibri"/>
          <w:szCs w:val="22"/>
        </w:rPr>
        <w:t xml:space="preserve">Australia (see </w:t>
      </w:r>
      <w:hyperlink w:anchor="_Equity_in_opportunities" w:history="1">
        <w:r w:rsidR="005E037B" w:rsidRPr="005E037B">
          <w:rPr>
            <w:rStyle w:val="Hyperlink"/>
            <w:rFonts w:cs="Calibri"/>
            <w:szCs w:val="22"/>
          </w:rPr>
          <w:t>Chapter 8</w:t>
        </w:r>
      </w:hyperlink>
      <w:r w:rsidRPr="005E037B">
        <w:rPr>
          <w:rFonts w:cs="Calibri"/>
          <w:szCs w:val="22"/>
        </w:rPr>
        <w:t>).</w:t>
      </w:r>
      <w:r w:rsidRPr="006720E4">
        <w:rPr>
          <w:rFonts w:cs="Calibri"/>
          <w:szCs w:val="22"/>
        </w:rPr>
        <w:t xml:space="preserve"> </w:t>
      </w:r>
    </w:p>
    <w:p w14:paraId="37207E8F" w14:textId="77777777" w:rsidR="006C6EBA" w:rsidRPr="006720E4" w:rsidRDefault="006C6EBA" w:rsidP="00EA22AE">
      <w:pPr>
        <w:pStyle w:val="Bullet"/>
        <w:numPr>
          <w:ilvl w:val="0"/>
          <w:numId w:val="17"/>
        </w:numPr>
        <w:spacing w:after="120"/>
        <w:contextualSpacing w:val="0"/>
        <w:rPr>
          <w:rFonts w:cs="Calibri"/>
          <w:szCs w:val="22"/>
        </w:rPr>
      </w:pPr>
      <w:r w:rsidRPr="006720E4">
        <w:rPr>
          <w:rFonts w:cs="Calibri"/>
          <w:szCs w:val="22"/>
        </w:rPr>
        <w:t xml:space="preserve">The circumstances underpinning the need or opportunity for exportation are reviewed to determine if strategies should be implemented to ensure better management of donation and transplantation activities within Australia and/or to establish formal collaborations with other countries for the regular exchange of resources. </w:t>
      </w:r>
    </w:p>
    <w:p w14:paraId="74A4071E" w14:textId="44335BF7" w:rsidR="006C6EBA" w:rsidRPr="006720E4" w:rsidRDefault="006C6EBA" w:rsidP="00EA22AE">
      <w:pPr>
        <w:pStyle w:val="Heading3"/>
        <w:spacing w:after="120"/>
      </w:pPr>
      <w:bookmarkStart w:id="4073" w:name="_Implications_of_import"/>
      <w:bookmarkStart w:id="4074" w:name="_Toc79406460"/>
      <w:bookmarkStart w:id="4075" w:name="_Toc82773697"/>
      <w:bookmarkStart w:id="4076" w:name="_Toc82774050"/>
      <w:bookmarkEnd w:id="4073"/>
      <w:r w:rsidRPr="006720E4">
        <w:t>Implications of import and export of donor organs and tissues for consent</w:t>
      </w:r>
      <w:bookmarkEnd w:id="4074"/>
      <w:bookmarkEnd w:id="4075"/>
      <w:bookmarkEnd w:id="4076"/>
    </w:p>
    <w:p w14:paraId="53B20707" w14:textId="015BDB7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possibility of receiving a transplant using organs or tissues that have been donated outside Australia, and of organs and tissues donated within Australia being exported for transplantation in other countries have important implications for consent.</w:t>
      </w:r>
    </w:p>
    <w:p w14:paraId="6FC47E91" w14:textId="0DE3F5A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Information about these possibilities may be relevant to some people when making a decision about donation or transplantation and hence should be disclosed if necessary to ensure valid consent is obtained (</w:t>
      </w:r>
      <w:r w:rsidRPr="00471664">
        <w:rPr>
          <w:rFonts w:ascii="Calibri" w:hAnsi="Calibri" w:cs="Calibri"/>
          <w:sz w:val="22"/>
          <w:szCs w:val="22"/>
        </w:rPr>
        <w:t xml:space="preserve">see </w:t>
      </w:r>
      <w:hyperlink w:anchor="_Information_and_understanding"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4</w:t>
        </w:r>
        <w:r w:rsidRPr="00471664">
          <w:rPr>
            <w:rStyle w:val="Hyperlink"/>
            <w:rFonts w:ascii="Calibri" w:hAnsi="Calibri" w:cs="Calibri"/>
            <w:sz w:val="22"/>
            <w:szCs w:val="22"/>
          </w:rPr>
          <w:t>.1.3</w:t>
        </w:r>
      </w:hyperlink>
      <w:r w:rsidRPr="00471664">
        <w:rPr>
          <w:rFonts w:ascii="Calibri" w:hAnsi="Calibri" w:cs="Calibri"/>
          <w:sz w:val="22"/>
          <w:szCs w:val="22"/>
        </w:rPr>
        <w:t>). Strategies</w:t>
      </w:r>
      <w:r w:rsidRPr="006720E4">
        <w:rPr>
          <w:rFonts w:ascii="Calibri" w:hAnsi="Calibri" w:cs="Calibri"/>
          <w:sz w:val="22"/>
          <w:szCs w:val="22"/>
        </w:rPr>
        <w:t xml:space="preserve"> to ensure that potential donors, deceased donation decision-makers and transplant recipients are making informed decisions with regards to donations that may be imported or exported from Australia should be tailored to specific contexts.  </w:t>
      </w:r>
    </w:p>
    <w:p w14:paraId="6038778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While it is reasonable to presume that donors would want their donations to be used to help others, this does not mean that all donors would be willing for their donations to be exported outside of </w:t>
      </w:r>
      <w:r w:rsidRPr="006720E4">
        <w:rPr>
          <w:rFonts w:ascii="Calibri" w:hAnsi="Calibri" w:cs="Calibri"/>
          <w:sz w:val="22"/>
          <w:szCs w:val="22"/>
        </w:rPr>
        <w:lastRenderedPageBreak/>
        <w:t>Australia. If people are unaware, and unwilling for their donations to be shared with people in other countries, discovery of this after donation has occurred may lead to a loss of trust in donation.</w:t>
      </w:r>
    </w:p>
    <w:p w14:paraId="714DB9B9" w14:textId="77777777" w:rsidR="006C6EBA" w:rsidRDefault="006C6EBA" w:rsidP="00EA22AE">
      <w:pPr>
        <w:spacing w:after="120"/>
        <w:rPr>
          <w:rFonts w:ascii="Calibri" w:hAnsi="Calibri" w:cs="Calibri"/>
          <w:sz w:val="22"/>
          <w:szCs w:val="22"/>
        </w:rPr>
      </w:pPr>
      <w:r w:rsidRPr="006720E4">
        <w:rPr>
          <w:rFonts w:ascii="Calibri" w:hAnsi="Calibri" w:cs="Calibri"/>
          <w:sz w:val="22"/>
          <w:szCs w:val="22"/>
        </w:rPr>
        <w:t xml:space="preserve">Many people in Australia may make a decision about donation with the understanding that their gifts will be used to help other people living within Australia, as promotion of organ and tissue donation focuses on the importance of meeting needs for transplantation within Australia.  There may be circumstances in which individuals would prefer not to donate if their donation was likely to be exported. In particular, some Aboriginal and Torres Strait Islander people may object to exportation of their donated organs or tissues due to their connection to Country.  </w:t>
      </w:r>
    </w:p>
    <w:p w14:paraId="2508B267" w14:textId="77777777" w:rsidR="00155F59" w:rsidRDefault="00155F59" w:rsidP="00EA22AE">
      <w:pPr>
        <w:spacing w:after="120"/>
        <w:rPr>
          <w:rFonts w:ascii="Calibri" w:hAnsi="Calibri" w:cs="Calibri"/>
          <w:sz w:val="22"/>
          <w:szCs w:val="22"/>
        </w:rPr>
      </w:pPr>
    </w:p>
    <w:p w14:paraId="73C4FB78" w14:textId="77777777" w:rsidR="00EA11BB" w:rsidRPr="00EA11BB" w:rsidRDefault="000A471B" w:rsidP="00EA11BB">
      <w:pPr>
        <w:spacing w:after="80"/>
        <w:rPr>
          <w:rFonts w:ascii="Calibri" w:eastAsiaTheme="majorEastAsia" w:hAnsi="Calibri" w:cs="Calibri"/>
          <w:b/>
          <w:color w:val="2F5496" w:themeColor="accent1" w:themeShade="BF"/>
          <w:kern w:val="2"/>
          <w:sz w:val="26"/>
          <w:szCs w:val="26"/>
          <w:lang w:eastAsia="en-US"/>
          <w14:ligatures w14:val="standardContextual"/>
        </w:rPr>
      </w:pPr>
      <w:r>
        <w:rPr>
          <w:rFonts w:ascii="Calibri" w:eastAsiaTheme="majorEastAsia" w:hAnsi="Calibri" w:cs="Calibri"/>
          <w:b/>
          <w:color w:val="2F5496" w:themeColor="accent1" w:themeShade="BF"/>
          <w:sz w:val="26"/>
          <w:szCs w:val="26"/>
        </w:rPr>
        <w:t xml:space="preserve">Case Study  – </w:t>
      </w:r>
      <w:r w:rsidR="00EA11BB" w:rsidRPr="00EA11BB">
        <w:rPr>
          <w:rFonts w:ascii="Calibri" w:eastAsiaTheme="majorEastAsia" w:hAnsi="Calibri" w:cs="Calibri"/>
          <w:b/>
          <w:color w:val="2F5496" w:themeColor="accent1" w:themeShade="BF"/>
          <w:kern w:val="2"/>
          <w:sz w:val="26"/>
          <w:szCs w:val="26"/>
          <w:lang w:eastAsia="en-US"/>
          <w14:ligatures w14:val="standardContextual"/>
        </w:rPr>
        <w:t xml:space="preserve">Consent for deceased donation and export of tissues </w:t>
      </w:r>
    </w:p>
    <w:p w14:paraId="68246841" w14:textId="77777777" w:rsidR="009B2393" w:rsidRPr="009B2393" w:rsidRDefault="009B2393" w:rsidP="009B2393">
      <w:pPr>
        <w:spacing w:after="120"/>
        <w:rPr>
          <w:rFonts w:ascii="Calibri" w:eastAsiaTheme="minorHAnsi" w:hAnsi="Calibri" w:cs="Calibri"/>
          <w:i/>
          <w:iCs/>
          <w:color w:val="4472C4" w:themeColor="accent1"/>
          <w:kern w:val="2"/>
          <w:sz w:val="22"/>
          <w:szCs w:val="22"/>
          <w:lang w:eastAsia="en-US"/>
          <w14:ligatures w14:val="standardContextual"/>
        </w:rPr>
      </w:pPr>
      <w:r w:rsidRPr="009B2393">
        <w:rPr>
          <w:rFonts w:ascii="Calibri" w:eastAsiaTheme="minorHAnsi" w:hAnsi="Calibri" w:cs="Calibri"/>
          <w:i/>
          <w:iCs/>
          <w:color w:val="4472C4" w:themeColor="accent1"/>
          <w:kern w:val="2"/>
          <w:sz w:val="22"/>
          <w:szCs w:val="22"/>
          <w:lang w:eastAsia="en-US"/>
          <w14:ligatures w14:val="standardContextual"/>
        </w:rPr>
        <w:t>Jake is a 36-year-old man who suffers a devastating brain injury as a result of a car accident. Despite surgery, Jake’s condition worsens and the intensive care team determine that he meets the criteria for neurological determination of death (‘brain death’). They explain this to his family, and after a general discussion about the implications of this, Jake’s sister asks if it is possible for him to donate his organs. Jake is not registered as a donor.</w:t>
      </w:r>
    </w:p>
    <w:p w14:paraId="57C06AEA" w14:textId="77777777" w:rsidR="009B2393" w:rsidRPr="009B2393" w:rsidRDefault="009B2393" w:rsidP="009B2393">
      <w:pPr>
        <w:spacing w:after="120"/>
        <w:rPr>
          <w:rFonts w:ascii="Calibri" w:eastAsiaTheme="minorHAnsi" w:hAnsi="Calibri" w:cs="Calibri"/>
          <w:i/>
          <w:iCs/>
          <w:color w:val="4472C4" w:themeColor="accent1"/>
          <w:kern w:val="2"/>
          <w:sz w:val="22"/>
          <w:szCs w:val="22"/>
          <w:lang w:eastAsia="en-US"/>
          <w14:ligatures w14:val="standardContextual"/>
        </w:rPr>
      </w:pPr>
      <w:r w:rsidRPr="009B2393">
        <w:rPr>
          <w:rFonts w:ascii="Calibri" w:eastAsiaTheme="minorHAnsi" w:hAnsi="Calibri" w:cs="Calibri"/>
          <w:i/>
          <w:iCs/>
          <w:color w:val="4472C4" w:themeColor="accent1"/>
          <w:kern w:val="2"/>
          <w:sz w:val="22"/>
          <w:szCs w:val="22"/>
          <w:lang w:eastAsia="en-US"/>
          <w14:ligatures w14:val="standardContextual"/>
        </w:rPr>
        <w:t xml:space="preserve">A donor coordinator meets with Jake’s family to discuss the possibility of organ and tissue donation. Jake’s mother, partner and his sister all state that they believe Jake would want to be a donor, given his cousin received a kidney transplant some years ago, and several of his family members are on dialysis. The family agrees to authorise donation including all organs and tissues, except his corneas, as his mother says she doesn’t feel comfortable with the idea of eye donation. </w:t>
      </w:r>
    </w:p>
    <w:p w14:paraId="0BD28307" w14:textId="77777777" w:rsidR="009B2393" w:rsidRPr="009B2393" w:rsidRDefault="009B2393" w:rsidP="009B2393">
      <w:pPr>
        <w:spacing w:after="120"/>
        <w:rPr>
          <w:rFonts w:ascii="Calibri" w:eastAsiaTheme="minorHAnsi" w:hAnsi="Calibri" w:cs="Calibri"/>
          <w:i/>
          <w:iCs/>
          <w:color w:val="4472C4" w:themeColor="accent1"/>
          <w:kern w:val="2"/>
          <w:sz w:val="22"/>
          <w:szCs w:val="22"/>
          <w:lang w:eastAsia="en-US"/>
          <w14:ligatures w14:val="standardContextual"/>
        </w:rPr>
      </w:pPr>
      <w:r w:rsidRPr="009B2393">
        <w:rPr>
          <w:rFonts w:ascii="Calibri" w:eastAsiaTheme="minorHAnsi" w:hAnsi="Calibri" w:cs="Calibri"/>
          <w:i/>
          <w:iCs/>
          <w:color w:val="4472C4" w:themeColor="accent1"/>
          <w:kern w:val="2"/>
          <w:sz w:val="22"/>
          <w:szCs w:val="22"/>
          <w:lang w:eastAsia="en-US"/>
          <w14:ligatures w14:val="standardContextual"/>
        </w:rPr>
        <w:t>The donor coordinator is new and seeks advice from a senior colleague, asking, “Should I encourage the family to think more about the possibility of corneal donation? And should I tell them there’s a possibility that some of the tissues could be exported overseas?” The senior colleague replies, “It’s probably a cultural thing so there’s no point talking further with them about the eye donation. But you should let them know that some tissues might be sent to recipients in other countries if there’s no suitable recipient in Australia.”</w:t>
      </w:r>
    </w:p>
    <w:p w14:paraId="25F96C3A" w14:textId="77777777" w:rsidR="009B2393" w:rsidRPr="009B2393" w:rsidRDefault="009B2393" w:rsidP="009B2393">
      <w:p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sz w:val="22"/>
          <w:szCs w:val="22"/>
          <w:u w:color="0000FF"/>
          <w:lang w:val="en-GB" w:eastAsia="en-US"/>
          <w14:ligatures w14:val="standardContextual"/>
        </w:rPr>
        <w:t>Points to consider:</w:t>
      </w:r>
    </w:p>
    <w:p w14:paraId="6CB9A7E3" w14:textId="77777777" w:rsidR="009B2393" w:rsidRPr="009B2393" w:rsidRDefault="009B2393" w:rsidP="009B2393">
      <w:pPr>
        <w:numPr>
          <w:ilvl w:val="0"/>
          <w:numId w:val="141"/>
        </w:num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sz w:val="22"/>
          <w:szCs w:val="22"/>
          <w:u w:color="0000FF"/>
          <w:lang w:val="en-GB" w:eastAsia="en-US"/>
          <w14:ligatures w14:val="standardContextual"/>
        </w:rPr>
        <w:t>This case illustrates some of the complexities of deceased donation decision-making.</w:t>
      </w:r>
    </w:p>
    <w:p w14:paraId="296A9FDC" w14:textId="77777777" w:rsidR="009B2393" w:rsidRPr="009B2393" w:rsidRDefault="009B2393" w:rsidP="009B2393">
      <w:pPr>
        <w:numPr>
          <w:ilvl w:val="0"/>
          <w:numId w:val="141"/>
        </w:num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sz w:val="22"/>
          <w:szCs w:val="22"/>
          <w:u w:color="0000FF"/>
          <w:lang w:val="en-GB" w:eastAsia="en-US"/>
          <w14:ligatures w14:val="standardContextual"/>
        </w:rPr>
        <w:t>Two principles are especially relevant to this case:</w:t>
      </w:r>
    </w:p>
    <w:p w14:paraId="7A838014" w14:textId="77777777" w:rsidR="009B2393" w:rsidRPr="009B2393" w:rsidRDefault="009B2393" w:rsidP="009B2393">
      <w:pPr>
        <w:numPr>
          <w:ilvl w:val="1"/>
          <w:numId w:val="141"/>
        </w:num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b/>
          <w:bCs/>
          <w:sz w:val="22"/>
          <w:szCs w:val="22"/>
          <w:u w:color="0000FF"/>
          <w:lang w:val="en-GB" w:eastAsia="en-US"/>
          <w14:ligatures w14:val="standardContextual"/>
        </w:rPr>
        <w:t>Principle 1</w:t>
      </w:r>
      <w:r w:rsidRPr="009B2393">
        <w:rPr>
          <w:rFonts w:ascii="Calibri" w:eastAsiaTheme="minorHAnsi" w:hAnsi="Calibri" w:cs="Calibri"/>
          <w:sz w:val="22"/>
          <w:szCs w:val="22"/>
          <w:u w:color="0000FF"/>
          <w:lang w:val="en-GB" w:eastAsia="en-US"/>
          <w14:ligatures w14:val="standardContextual"/>
        </w:rPr>
        <w:t xml:space="preserve"> Decision-making about donation and transplantation should seek out and take account of expressed preferences of donors, recipients, their families and communities, and facilitate self-determination.</w:t>
      </w:r>
    </w:p>
    <w:p w14:paraId="21D57235" w14:textId="77777777" w:rsidR="009B2393" w:rsidRPr="009B2393" w:rsidRDefault="009B2393" w:rsidP="009B2393">
      <w:pPr>
        <w:numPr>
          <w:ilvl w:val="1"/>
          <w:numId w:val="141"/>
        </w:num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b/>
          <w:bCs/>
          <w:sz w:val="22"/>
          <w:szCs w:val="22"/>
          <w:u w:color="0000FF"/>
          <w:lang w:val="en-GB" w:eastAsia="en-US"/>
          <w14:ligatures w14:val="standardContextual"/>
        </w:rPr>
        <w:t>Principle 2</w:t>
      </w:r>
      <w:r w:rsidRPr="009B2393">
        <w:rPr>
          <w:rFonts w:ascii="Calibri" w:eastAsiaTheme="minorHAnsi" w:hAnsi="Calibri" w:cs="Calibri"/>
          <w:sz w:val="22"/>
          <w:szCs w:val="22"/>
          <w:u w:color="0000FF"/>
          <w:lang w:val="en-GB" w:eastAsia="en-US"/>
          <w14:ligatures w14:val="standardContextual"/>
        </w:rPr>
        <w:t xml:space="preserve"> Decision-making about donation and transplantation should promote cultural safety, demonstrating cultural humility, critical reflection, and awareness of power dynamics. </w:t>
      </w:r>
    </w:p>
    <w:p w14:paraId="148B274F" w14:textId="77777777" w:rsidR="009B2393" w:rsidRPr="009B2393" w:rsidRDefault="009B2393" w:rsidP="009B2393">
      <w:pPr>
        <w:numPr>
          <w:ilvl w:val="0"/>
          <w:numId w:val="141"/>
        </w:num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sz w:val="22"/>
          <w:szCs w:val="22"/>
          <w:u w:color="0000FF"/>
          <w:lang w:val="en-GB" w:eastAsia="en-US"/>
          <w14:ligatures w14:val="standardContextual"/>
        </w:rPr>
        <w:t>It is important not to make assumptions about the reasons why a potential donor or relative of a potential donor may wish to decline donation of specific organs or tissues. While some people may hold cultural or religious beliefs that could influence their attitudes towards donation of particular tissues or organs, many people who share a common culture or religion may hold different attitudes. Many people may feel uncomfortable with the idea of donating particular body parts for reasons they may have difficulty explaining, and which may not be related to culture or religion at all.</w:t>
      </w:r>
    </w:p>
    <w:p w14:paraId="396FC330" w14:textId="473109A6" w:rsidR="009B2393" w:rsidRPr="009B2393" w:rsidRDefault="009B2393" w:rsidP="009B2393">
      <w:pPr>
        <w:numPr>
          <w:ilvl w:val="0"/>
          <w:numId w:val="141"/>
        </w:num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sz w:val="22"/>
          <w:szCs w:val="22"/>
          <w:u w:color="0000FF"/>
          <w:lang w:val="en-GB" w:eastAsia="en-US"/>
          <w14:ligatures w14:val="standardContextual"/>
        </w:rPr>
        <w:t xml:space="preserve">Cultural factors may play an important role in decision-making about donation or transplantation. It’s essential that decision-making takes place in a culturally safe environment, in which health professionals practise cultural humility. This involves being </w:t>
      </w:r>
      <w:r w:rsidRPr="009B2393">
        <w:rPr>
          <w:rFonts w:ascii="Calibri" w:eastAsiaTheme="minorHAnsi" w:hAnsi="Calibri" w:cs="Calibri"/>
          <w:sz w:val="22"/>
          <w:szCs w:val="22"/>
          <w:u w:color="0000FF"/>
          <w:lang w:val="en-GB" w:eastAsia="en-US"/>
          <w14:ligatures w14:val="standardContextual"/>
        </w:rPr>
        <w:lastRenderedPageBreak/>
        <w:t xml:space="preserve">conscious of one’s own culture, respectful of potential cultural differences, and mindful of the ways that historical and contemporary cultures may influence power dynamics in relationships. That requires health professionals, like the donor coordinator in this case, to create an environment in which Jake’s family is empowered to express their views and beliefs and supported to make decisions that are consistent with </w:t>
      </w:r>
      <w:r w:rsidRPr="0014540C">
        <w:rPr>
          <w:rFonts w:ascii="Calibri" w:eastAsiaTheme="minorHAnsi" w:hAnsi="Calibri" w:cs="Calibri"/>
          <w:sz w:val="22"/>
          <w:szCs w:val="22"/>
          <w:u w:color="0000FF"/>
          <w:lang w:val="en-GB" w:eastAsia="en-US"/>
          <w14:ligatures w14:val="standardContextual"/>
        </w:rPr>
        <w:t xml:space="preserve">their values (see </w:t>
      </w:r>
      <w:r w:rsidR="0014540C" w:rsidRPr="008528BE">
        <w:rPr>
          <w:rFonts w:ascii="Calibri" w:eastAsiaTheme="minorHAnsi" w:hAnsi="Calibri" w:cs="Calibri"/>
          <w:sz w:val="22"/>
          <w:szCs w:val="22"/>
          <w:u w:color="0000FF"/>
          <w:lang w:val="en-GB" w:eastAsia="en-US"/>
          <w14:ligatures w14:val="standardContextual"/>
        </w:rPr>
        <w:t>Chapter 3.4.2)</w:t>
      </w:r>
      <w:r w:rsidRPr="0014540C">
        <w:rPr>
          <w:rFonts w:ascii="Calibri" w:eastAsiaTheme="minorHAnsi" w:hAnsi="Calibri" w:cs="Calibri"/>
          <w:sz w:val="22"/>
          <w:szCs w:val="22"/>
          <w:u w:color="0000FF"/>
          <w:lang w:val="en-GB" w:eastAsia="en-US"/>
          <w14:ligatures w14:val="standardContextual"/>
        </w:rPr>
        <w:t xml:space="preserve"> As donation decision-makers, they should be encouraged to make decisions using a ‘substituted judgement’ approach that prioritises what they believe Jake would have</w:t>
      </w:r>
      <w:r w:rsidRPr="009B2393">
        <w:rPr>
          <w:rFonts w:ascii="Calibri" w:eastAsiaTheme="minorHAnsi" w:hAnsi="Calibri" w:cs="Calibri"/>
          <w:sz w:val="22"/>
          <w:szCs w:val="22"/>
          <w:u w:color="0000FF"/>
          <w:lang w:val="en-GB" w:eastAsia="en-US"/>
          <w14:ligatures w14:val="standardContextual"/>
        </w:rPr>
        <w:t xml:space="preserve"> wanted. (see </w:t>
      </w:r>
      <w:hyperlink w:anchor="_Consent_for_deceased" w:history="1">
        <w:r w:rsidRPr="008528BE">
          <w:rPr>
            <w:rStyle w:val="Hyperlink"/>
            <w:rFonts w:ascii="Calibri" w:eastAsiaTheme="minorHAnsi" w:hAnsi="Calibri" w:cs="Calibri"/>
            <w:sz w:val="22"/>
            <w:szCs w:val="22"/>
            <w:lang w:val="en-GB" w:eastAsia="en-US"/>
            <w14:ligatures w14:val="standardContextual"/>
          </w:rPr>
          <w:t>Chapter 4.4.)</w:t>
        </w:r>
      </w:hyperlink>
    </w:p>
    <w:p w14:paraId="0F9FD8D7" w14:textId="376A9BFE" w:rsidR="009B2393" w:rsidRPr="009B2393" w:rsidRDefault="009B2393" w:rsidP="009B2393">
      <w:pPr>
        <w:numPr>
          <w:ilvl w:val="0"/>
          <w:numId w:val="141"/>
        </w:num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sz w:val="22"/>
          <w:szCs w:val="22"/>
          <w:u w:color="0000FF"/>
          <w:lang w:val="en-GB" w:eastAsia="en-US"/>
          <w14:ligatures w14:val="standardContextual"/>
        </w:rPr>
        <w:t xml:space="preserve">It would be appropriate for the donor coordinator to respectfully explore Jake’s mother’s concerns about eye donation, as her reluctance to approve donation might be based on mistaken beliefs or lack of knowledge of what is involved in donation or of the benefits of corneal transplantation. Ensuring that donation decision-making is informed helps to ensure that families make the right decision for </w:t>
      </w:r>
      <w:r w:rsidR="008528BE" w:rsidRPr="009B2393">
        <w:rPr>
          <w:rFonts w:ascii="Calibri" w:eastAsiaTheme="minorHAnsi" w:hAnsi="Calibri" w:cs="Calibri"/>
          <w:sz w:val="22"/>
          <w:szCs w:val="22"/>
          <w:u w:color="0000FF"/>
          <w:lang w:val="en-GB" w:eastAsia="en-US"/>
          <w14:ligatures w14:val="standardContextual"/>
        </w:rPr>
        <w:t>them and</w:t>
      </w:r>
      <w:r w:rsidRPr="009B2393">
        <w:rPr>
          <w:rFonts w:ascii="Calibri" w:eastAsiaTheme="minorHAnsi" w:hAnsi="Calibri" w:cs="Calibri"/>
          <w:sz w:val="22"/>
          <w:szCs w:val="22"/>
          <w:u w:color="0000FF"/>
          <w:lang w:val="en-GB" w:eastAsia="en-US"/>
          <w14:ligatures w14:val="standardContextual"/>
        </w:rPr>
        <w:t xml:space="preserve"> reduces the risk they could regret their decision at a later time. (See </w:t>
      </w:r>
      <w:hyperlink w:anchor="_Ethical_considerations_in_5" w:history="1">
        <w:r w:rsidRPr="008528BE">
          <w:rPr>
            <w:rStyle w:val="Hyperlink"/>
            <w:rFonts w:ascii="Calibri" w:eastAsiaTheme="minorHAnsi" w:hAnsi="Calibri" w:cs="Calibri"/>
            <w:sz w:val="22"/>
            <w:szCs w:val="22"/>
            <w:lang w:val="en-GB" w:eastAsia="en-US"/>
            <w14:ligatures w14:val="standardContextual"/>
          </w:rPr>
          <w:t>Chapter 4.4.2</w:t>
        </w:r>
      </w:hyperlink>
      <w:r w:rsidRPr="009B2393">
        <w:rPr>
          <w:rFonts w:ascii="Calibri" w:eastAsiaTheme="minorHAnsi" w:hAnsi="Calibri" w:cs="Calibri"/>
          <w:i/>
          <w:iCs/>
          <w:sz w:val="22"/>
          <w:szCs w:val="22"/>
          <w:u w:color="0000FF"/>
          <w:lang w:val="en-GB" w:eastAsia="en-US"/>
          <w14:ligatures w14:val="standardContextual"/>
        </w:rPr>
        <w:t>)</w:t>
      </w:r>
      <w:r w:rsidRPr="009B2393">
        <w:rPr>
          <w:rFonts w:ascii="Calibri" w:eastAsiaTheme="minorHAnsi" w:hAnsi="Calibri" w:cs="Calibri"/>
          <w:sz w:val="22"/>
          <w:szCs w:val="22"/>
          <w:u w:color="0000FF"/>
          <w:lang w:val="en-GB" w:eastAsia="en-US"/>
          <w14:ligatures w14:val="standardContextual"/>
        </w:rPr>
        <w:t>.</w:t>
      </w:r>
    </w:p>
    <w:p w14:paraId="024E5FC4" w14:textId="48BD5230" w:rsidR="009B2393" w:rsidRPr="009B2393" w:rsidRDefault="009B2393" w:rsidP="009B2393">
      <w:pPr>
        <w:numPr>
          <w:ilvl w:val="0"/>
          <w:numId w:val="141"/>
        </w:numPr>
        <w:spacing w:after="120"/>
        <w:rPr>
          <w:rFonts w:ascii="Calibri" w:eastAsiaTheme="minorHAnsi" w:hAnsi="Calibri" w:cs="Calibri"/>
          <w:sz w:val="22"/>
          <w:szCs w:val="22"/>
          <w:u w:color="0000FF"/>
          <w:lang w:val="en-GB" w:eastAsia="en-US"/>
          <w14:ligatures w14:val="standardContextual"/>
        </w:rPr>
      </w:pPr>
      <w:r w:rsidRPr="009B2393">
        <w:rPr>
          <w:rFonts w:ascii="Calibri" w:eastAsiaTheme="minorHAnsi" w:hAnsi="Calibri" w:cs="Calibri"/>
          <w:sz w:val="22"/>
          <w:szCs w:val="22"/>
          <w:u w:color="0000FF"/>
          <w:lang w:val="en-GB" w:eastAsia="en-US"/>
          <w14:ligatures w14:val="standardContextual"/>
        </w:rPr>
        <w:t>It is important to disclose information about the possibility that some donated tissues might later be exported.</w:t>
      </w:r>
      <w:r w:rsidRPr="009B2393" w:rsidDel="00EC4B19">
        <w:rPr>
          <w:rFonts w:ascii="Calibri" w:eastAsiaTheme="minorHAnsi" w:hAnsi="Calibri" w:cs="Calibri"/>
          <w:sz w:val="22"/>
          <w:szCs w:val="22"/>
          <w:u w:color="0000FF"/>
          <w:lang w:val="en-GB" w:eastAsia="en-US"/>
          <w14:ligatures w14:val="standardContextual"/>
        </w:rPr>
        <w:t xml:space="preserve"> </w:t>
      </w:r>
      <w:r w:rsidRPr="009B2393">
        <w:rPr>
          <w:rFonts w:ascii="Calibri" w:eastAsiaTheme="minorHAnsi" w:hAnsi="Calibri" w:cs="Calibri"/>
          <w:sz w:val="22"/>
          <w:szCs w:val="22"/>
          <w:u w:color="0000FF"/>
          <w:lang w:val="en-GB" w:eastAsia="en-US"/>
          <w14:ligatures w14:val="standardContextual"/>
        </w:rPr>
        <w:t xml:space="preserve">. Any family making a decision about donation may have an interest in knowing about the possibility that tissues or organs may be shared with people in other countries. While some may not care about this possibility, it could be an important consideration in decision-making for some people due to personal or cultural values and beliefs. (see </w:t>
      </w:r>
      <w:hyperlink w:anchor="_Implications_of_import" w:history="1">
        <w:r w:rsidRPr="008528BE">
          <w:rPr>
            <w:rStyle w:val="Hyperlink"/>
            <w:rFonts w:ascii="Calibri" w:eastAsiaTheme="minorHAnsi" w:hAnsi="Calibri" w:cs="Calibri"/>
            <w:sz w:val="22"/>
            <w:szCs w:val="22"/>
            <w:lang w:val="en-GB" w:eastAsia="en-US"/>
            <w14:ligatures w14:val="standardContextual"/>
          </w:rPr>
          <w:t>Chapter 9.3.4).</w:t>
        </w:r>
      </w:hyperlink>
    </w:p>
    <w:p w14:paraId="6F3858C8" w14:textId="77777777" w:rsidR="00155F59" w:rsidRPr="006720E4" w:rsidRDefault="00155F59" w:rsidP="00EA22AE">
      <w:pPr>
        <w:spacing w:after="120"/>
        <w:rPr>
          <w:rFonts w:ascii="Calibri" w:hAnsi="Calibri" w:cs="Calibri"/>
          <w:sz w:val="22"/>
          <w:szCs w:val="22"/>
        </w:rPr>
      </w:pPr>
    </w:p>
    <w:p w14:paraId="37D30FEE" w14:textId="727DE54A" w:rsidR="00FE5314" w:rsidRDefault="00FE5314" w:rsidP="00EA22AE">
      <w:pPr>
        <w:pStyle w:val="Heading3"/>
        <w:spacing w:after="120"/>
      </w:pPr>
      <w:bookmarkStart w:id="4077" w:name="_International_travel_for"/>
      <w:bookmarkStart w:id="4078" w:name="_Legislation_governing_import"/>
      <w:bookmarkStart w:id="4079" w:name="_Toc63683481"/>
      <w:bookmarkStart w:id="4080" w:name="_Toc70241829"/>
      <w:bookmarkStart w:id="4081" w:name="_Toc70243464"/>
      <w:bookmarkStart w:id="4082" w:name="_Toc70328770"/>
      <w:bookmarkStart w:id="4083" w:name="_Toc70334000"/>
      <w:bookmarkStart w:id="4084" w:name="_Toc70414934"/>
      <w:bookmarkStart w:id="4085" w:name="_Toc70844252"/>
      <w:bookmarkStart w:id="4086" w:name="_Toc70859015"/>
      <w:bookmarkStart w:id="4087" w:name="_Toc70861116"/>
      <w:bookmarkStart w:id="4088" w:name="_Toc70876601"/>
      <w:bookmarkStart w:id="4089" w:name="_Toc72615191"/>
      <w:bookmarkStart w:id="4090" w:name="_Toc73129916"/>
      <w:bookmarkStart w:id="4091" w:name="_Toc73301788"/>
      <w:bookmarkStart w:id="4092" w:name="_Toc73302294"/>
      <w:bookmarkStart w:id="4093" w:name="_Toc73303427"/>
      <w:bookmarkStart w:id="4094" w:name="_Toc73303646"/>
      <w:bookmarkStart w:id="4095" w:name="_Toc74080763"/>
      <w:bookmarkStart w:id="4096" w:name="_Toc74081071"/>
      <w:bookmarkStart w:id="4097" w:name="_Toc74081301"/>
      <w:bookmarkStart w:id="4098" w:name="_Toc74081572"/>
      <w:bookmarkStart w:id="4099" w:name="_Toc74171132"/>
      <w:bookmarkStart w:id="4100" w:name="_Toc74172349"/>
      <w:bookmarkStart w:id="4101" w:name="_Toc74172885"/>
      <w:bookmarkStart w:id="4102" w:name="_Toc74238806"/>
      <w:bookmarkStart w:id="4103" w:name="_Toc78304791"/>
      <w:bookmarkStart w:id="4104" w:name="_Toc79330890"/>
      <w:bookmarkStart w:id="4105" w:name="_Toc79331270"/>
      <w:bookmarkStart w:id="4106" w:name="_Toc79406461"/>
      <w:bookmarkStart w:id="4107" w:name="_Toc82773698"/>
      <w:bookmarkStart w:id="4108" w:name="_Toc82774051"/>
      <w:bookmarkStart w:id="4109" w:name="_Toc128314231"/>
      <w:bookmarkEnd w:id="4077"/>
      <w:bookmarkEnd w:id="4078"/>
      <w:r w:rsidRPr="00B17D3F">
        <w:t>Legislation</w:t>
      </w:r>
      <w:r>
        <w:t xml:space="preserve"> governing import and export of human cells, organs and tissues</w:t>
      </w:r>
    </w:p>
    <w:p w14:paraId="247B16CE" w14:textId="77777777" w:rsidR="00FE5314" w:rsidRPr="00A9455B" w:rsidRDefault="00FE5314" w:rsidP="00EA22AE">
      <w:pPr>
        <w:spacing w:after="120"/>
        <w:rPr>
          <w:rFonts w:asciiTheme="minorHAnsi" w:hAnsiTheme="minorHAnsi" w:cstheme="minorBidi"/>
          <w:kern w:val="2"/>
          <w:sz w:val="22"/>
          <w:szCs w:val="22"/>
          <w:lang w:val="en-GB"/>
        </w:rPr>
      </w:pPr>
      <w:r w:rsidRPr="00A9455B">
        <w:rPr>
          <w:rFonts w:ascii="Calibri" w:hAnsi="Calibri" w:cs="Calibri"/>
          <w:sz w:val="22"/>
          <w:szCs w:val="22"/>
          <w:u w:color="0000FF"/>
          <w:lang w:val="en-GB"/>
        </w:rPr>
        <w:t xml:space="preserve">Organs, tissues and cells imported for the purpose of therapeutic transplantation are not regulated by the TGA but are subject to the prohibition of commercial trade that exists in all State and Territory human tissue legislation. Therapeutic products derived from human cells, organs and tissues may be imported if they constitute a Biological that is on the Australian Register of Therapeutic Goods. Other forms of approval can also be sought from the TGA, for example, for products given during clinical trials or the prescription of unapproved therapies. The importation of material derived from human embryo clones is regulated by the NHMRC. Importing human remains or ashes (for burial) may be subject to biosecurity requirements. </w:t>
      </w:r>
    </w:p>
    <w:p w14:paraId="542B8430" w14:textId="4F01BF78" w:rsidR="00FE5314" w:rsidRPr="005E037B" w:rsidRDefault="00FE5314" w:rsidP="005E037B">
      <w:pPr>
        <w:pStyle w:val="Guidelinesnormalparagraph"/>
        <w:rPr>
          <w:rFonts w:ascii="Calibri" w:hAnsi="Calibri" w:cs="Calibri"/>
          <w:kern w:val="0"/>
          <w:szCs w:val="22"/>
          <w:u w:color="0000FF"/>
          <w:lang w:val="en-GB"/>
        </w:rPr>
      </w:pPr>
      <w:r w:rsidRPr="00A9455B">
        <w:rPr>
          <w:rFonts w:ascii="Calibri" w:hAnsi="Calibri" w:cs="Calibri"/>
          <w:kern w:val="0"/>
          <w:szCs w:val="22"/>
          <w:u w:color="0000FF"/>
          <w:lang w:val="en-GB"/>
        </w:rPr>
        <w:t>The export of human cells, organs and tissues and substances or products derived from those sources is generally</w:t>
      </w:r>
      <w:r>
        <w:rPr>
          <w:rFonts w:ascii="Calibri" w:hAnsi="Calibri" w:cs="Calibri"/>
          <w:kern w:val="0"/>
          <w:szCs w:val="22"/>
          <w:u w:color="0000FF"/>
          <w:lang w:val="en-GB"/>
        </w:rPr>
        <w:t xml:space="preserve"> regulated via permission from the TGA. There are different pathways for authorisation: for example, as an exception to the </w:t>
      </w:r>
      <w:r w:rsidRPr="00260CDA">
        <w:rPr>
          <w:rFonts w:ascii="Calibri" w:hAnsi="Calibri" w:cs="Calibri"/>
          <w:kern w:val="0"/>
          <w:szCs w:val="22"/>
          <w:u w:color="0000FF"/>
          <w:lang w:val="en-GB"/>
        </w:rPr>
        <w:t>Customs (Prohibited Export) Regulations 1958</w:t>
      </w:r>
      <w:r>
        <w:rPr>
          <w:rFonts w:ascii="Calibri" w:hAnsi="Calibri" w:cs="Calibri"/>
          <w:kern w:val="0"/>
          <w:szCs w:val="22"/>
          <w:u w:color="0000FF"/>
          <w:lang w:val="en-GB"/>
        </w:rPr>
        <w:t xml:space="preserve"> or as a Biological on the </w:t>
      </w:r>
      <w:r w:rsidRPr="00615C6E">
        <w:rPr>
          <w:rFonts w:ascii="Calibri" w:hAnsi="Calibri" w:cs="Calibri"/>
          <w:kern w:val="0"/>
          <w:szCs w:val="22"/>
          <w:u w:color="0000FF"/>
          <w:lang w:val="en-GB"/>
        </w:rPr>
        <w:t>Australian Register of Therapeutic Goods</w:t>
      </w:r>
      <w:r>
        <w:rPr>
          <w:rFonts w:ascii="Calibri" w:hAnsi="Calibri" w:cs="Calibri"/>
          <w:kern w:val="0"/>
          <w:szCs w:val="22"/>
          <w:u w:color="0000FF"/>
          <w:lang w:val="en-GB"/>
        </w:rPr>
        <w:t xml:space="preserve">. Beyond the TGA, the NHMRC can issue permits for export of material derived from human embryo clones and the export of human remains or ashes generally does not require permission. </w:t>
      </w:r>
    </w:p>
    <w:p w14:paraId="4DDAE5F1" w14:textId="1D49EB42" w:rsidR="006C6EBA" w:rsidRPr="006720E4" w:rsidRDefault="006C6EBA" w:rsidP="00EA22AE">
      <w:pPr>
        <w:pStyle w:val="Heading2"/>
        <w:spacing w:after="120"/>
      </w:pPr>
      <w:bookmarkStart w:id="4110" w:name="_Toc135131476"/>
      <w:r w:rsidRPr="006720E4">
        <w:t>International travel for organ or tissue transplantation</w:t>
      </w:r>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r w:rsidRPr="006720E4">
        <w:t xml:space="preserve"> or donation</w:t>
      </w:r>
      <w:bookmarkEnd w:id="4104"/>
      <w:bookmarkEnd w:id="4105"/>
      <w:bookmarkEnd w:id="4106"/>
      <w:bookmarkEnd w:id="4107"/>
      <w:bookmarkEnd w:id="4108"/>
      <w:bookmarkEnd w:id="4109"/>
      <w:bookmarkEnd w:id="4110"/>
    </w:p>
    <w:p w14:paraId="61B43294" w14:textId="4BB6ED6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Due to the difficulties of transporting human organs across long distances while maintaining their viability for transplantation, and to the chronic shortage of organs for transplantation in most countries, there is limited international exportation or importation of organs, except within regions such as the European Union. However, it is estimated that thousands of people travel across national borders each year for the purpose of accessing organ transplantation or serving as a living organ donor in other countries.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{"citationItems":[{"id":"ITEM-1","itemData":{"DOI":"10.2471/BLT.06.039370","ISSN":"00429686","PMID":"18278256","abstract":"Organ transplantation is widely practised worldwide. The expansion of organ transplantation has led to a critical shortage of organs and the development of the organ trade. Many patients travel to areas where organs are obtainable through commercial transactions. Although the international organ trade is regarded as an important health policy issue, its current state remains obscure because of scarce data and the lack of efforts to synthesize available data. This paper is an attempt to integrate information about the current international organ trade and create a tentative global picture based on a systematic review of 309 media reports, journal articles and other documents. The international organ trade is described in terms of its forms, the organ-exporting countries, the organ-importing countries and its outcomes and consequences.","author":[{"dropping-particle":"","family":"Shimazono","given":"Yosuke","non-dropping-particle":"","parse-names":false,"suffix":""}],"container-title":"Bulletin of the World Health Organization","id":"ITEM-1","issue":"12","issued":{"date-parts":[["2007"]]},"page":"955-962","title":"The state of the international organ trade: A provisional picture based on integration of available information","type":"article-journal","volume":"85"},"uris":["http://www.mendeley.com/documents/?uuid=e7e50955-3d47-478b-aa13-6605228b6462"]}],"mendeley":{"formattedCitation":"(142)","plainTextFormattedCitation":"(142)","previouslyFormattedCitation":"(142)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(142)</w:t>
      </w:r>
      <w:r w:rsidRPr="006720E4">
        <w:rPr>
          <w:rFonts w:ascii="Calibri" w:hAnsi="Calibri" w:cs="Calibri"/>
          <w:sz w:val="22"/>
          <w:szCs w:val="22"/>
        </w:rPr>
        <w:fldChar w:fldCharType="end"/>
      </w:r>
      <w:r w:rsidRPr="006720E4">
        <w:rPr>
          <w:rFonts w:ascii="Calibri" w:hAnsi="Calibri" w:cs="Calibri"/>
          <w:sz w:val="22"/>
          <w:szCs w:val="22"/>
        </w:rPr>
        <w:t xml:space="preserve"> Only a small number of Australians are known to travel internationally for organ transplantation.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10.5694/mja2.50333","ISSN":"13265377","PMID":"31502265","author":[{"dropping-particle":"","family":"Smith","given":"Georgia","non-dropping-particle":"","parse-names":false,"suffix":""},{"dropping-particle":"","family":"Gujari","given":"Diba","non-dropping-particle":"","parse-names":false,"suffix":""},{"dropping-particle":"","family":"Russell","given":"Oscar","non-dropping-particle":"","parse-names":false,"suffix":""},{"dropping-particle":"","family":"Palmer","given":"Lyle","non-dropping-particle":"","parse-names":false,"suffix":""},{"dropping-particle":"","family":"Toews","given":"Maeghan","non-dropping-particle":"","parse-names":false,"suffix":""},{"dropping-particle":"","family":"Wong","given":"Germaine","non-dropping-particle":"","parse-names":false,"suffix":""},{"dropping-particle":"","family":"Lim","given":"Wai","non-dropping-particle":"","parse-names":false,"suffix":""},{"dropping-particle":"","family":"McDonald","given":"Stephen","non-dropping-particle":"","parse-names":false,"suffix":""},{"dropping-particle":"","family":"Clayton","given":"Phillip","non-dropping-particle":"","parse-names":false,"suffix":""},{"dropping-particle":"","family":"Martin","given":"Dominique","non-dropping-particle":"","parse-names":false,"suffix":""},{"dropping-particle":"","family":"Coates","given":"Patrick T.","non-dropping-particle":"","parse-names":false,"suffix":""}],"container-title":"Medical Journal of Australia","id":"ITEM-1","issue":"10","issued":{"date-parts":[["2019"]]},"page":"460","title":"International travel by Australians for overseas transplantation","type":"article-journal","volume":"211"},"uris":["http://www.mendeley.com/documents/?uuid=68f5126f-d43b-40cc-ae7e-205552fb8af1"]}],"mendeley":{"formattedCitation":"(143)","plainTextFormattedCitation":"(143)","previouslyFormattedCitation":"(143)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(143)</w:t>
      </w:r>
      <w:r w:rsidRPr="006720E4">
        <w:rPr>
          <w:rFonts w:ascii="Calibri" w:hAnsi="Calibri" w:cs="Calibri"/>
          <w:sz w:val="22"/>
          <w:szCs w:val="22"/>
        </w:rPr>
        <w:fldChar w:fldCharType="end"/>
      </w:r>
      <w:r w:rsidRPr="006720E4">
        <w:rPr>
          <w:rFonts w:ascii="Calibri" w:hAnsi="Calibri" w:cs="Calibri"/>
          <w:sz w:val="22"/>
          <w:szCs w:val="22"/>
        </w:rPr>
        <w:t xml:space="preserve"> Some people may also travel occasionally for the purpose of accessing tissue transplants.</w:t>
      </w:r>
    </w:p>
    <w:p w14:paraId="59054469" w14:textId="0F377E0E" w:rsidR="006C6EBA" w:rsidRPr="0047166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Some travel for transplantation may be ethically </w:t>
      </w:r>
      <w:r w:rsidRPr="00471664">
        <w:rPr>
          <w:rFonts w:ascii="Calibri" w:hAnsi="Calibri" w:cs="Calibri"/>
          <w:sz w:val="22"/>
          <w:szCs w:val="22"/>
        </w:rPr>
        <w:t xml:space="preserve">problematic (see </w:t>
      </w:r>
      <w:hyperlink w:anchor="_Ethical_travel_for"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4.1</w:t>
        </w:r>
      </w:hyperlink>
      <w:r w:rsidRPr="00471664">
        <w:rPr>
          <w:rFonts w:ascii="Calibri" w:hAnsi="Calibri" w:cs="Calibri"/>
          <w:sz w:val="22"/>
          <w:szCs w:val="22"/>
        </w:rPr>
        <w:t xml:space="preserve">). Health professionals providing care to patients who may be considering or who may have engaged in unethical travel for transplantation have potential ethical obligations to address this which are discussed in </w:t>
      </w:r>
      <w:hyperlink w:anchor="_Provision_of_care"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.4.2</w:t>
        </w:r>
      </w:hyperlink>
      <w:r w:rsidRPr="00471664">
        <w:rPr>
          <w:rFonts w:ascii="Calibri" w:hAnsi="Calibri" w:cs="Calibri"/>
          <w:sz w:val="22"/>
          <w:szCs w:val="22"/>
        </w:rPr>
        <w:t>.</w:t>
      </w:r>
    </w:p>
    <w:p w14:paraId="4FA55686" w14:textId="647A528D" w:rsidR="00CE2517" w:rsidRPr="006720E4" w:rsidRDefault="006C6EBA" w:rsidP="00EA22AE">
      <w:pPr>
        <w:spacing w:after="120"/>
        <w:rPr>
          <w:rFonts w:ascii="Calibri" w:hAnsi="Calibri" w:cs="Calibri"/>
          <w:sz w:val="22"/>
          <w:szCs w:val="22"/>
        </w:rPr>
      </w:pPr>
      <w:r w:rsidRPr="00471664">
        <w:rPr>
          <w:rFonts w:ascii="Calibri" w:hAnsi="Calibri" w:cs="Calibri"/>
          <w:sz w:val="22"/>
          <w:szCs w:val="22"/>
        </w:rPr>
        <w:t xml:space="preserve">Some people who are traveling for other purposes may also unexpectedly become organ or tissue donors or transplant recipients (see </w:t>
      </w:r>
      <w:hyperlink w:anchor="_Obligations_of_health_1"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.4.4</w:t>
        </w:r>
      </w:hyperlink>
      <w:r w:rsidRPr="00471664">
        <w:rPr>
          <w:rFonts w:ascii="Calibri" w:hAnsi="Calibri" w:cs="Calibri"/>
          <w:sz w:val="22"/>
          <w:szCs w:val="22"/>
        </w:rPr>
        <w:t>).</w:t>
      </w:r>
    </w:p>
    <w:p w14:paraId="3936C121" w14:textId="122987B0" w:rsidR="006C6EBA" w:rsidRPr="006720E4" w:rsidRDefault="006C6EBA" w:rsidP="00EA22AE">
      <w:pPr>
        <w:pStyle w:val="Heading3"/>
        <w:spacing w:after="120"/>
      </w:pPr>
      <w:bookmarkStart w:id="4111" w:name="_Ethical_travel_for"/>
      <w:bookmarkStart w:id="4112" w:name="_Toc73129917"/>
      <w:bookmarkStart w:id="4113" w:name="_Toc73301789"/>
      <w:bookmarkStart w:id="4114" w:name="_Toc73302295"/>
      <w:bookmarkStart w:id="4115" w:name="_Toc73303428"/>
      <w:bookmarkStart w:id="4116" w:name="_Toc73303647"/>
      <w:bookmarkStart w:id="4117" w:name="_Toc74080764"/>
      <w:bookmarkStart w:id="4118" w:name="_Toc74081072"/>
      <w:bookmarkStart w:id="4119" w:name="_Toc74081302"/>
      <w:bookmarkStart w:id="4120" w:name="_Toc74081573"/>
      <w:bookmarkStart w:id="4121" w:name="_Toc74171133"/>
      <w:bookmarkStart w:id="4122" w:name="_Toc74172350"/>
      <w:bookmarkStart w:id="4123" w:name="_Toc74172886"/>
      <w:bookmarkStart w:id="4124" w:name="_Toc74238807"/>
      <w:bookmarkStart w:id="4125" w:name="_Toc79406462"/>
      <w:bookmarkStart w:id="4126" w:name="_Toc82773699"/>
      <w:bookmarkStart w:id="4127" w:name="_Toc82774052"/>
      <w:bookmarkEnd w:id="4111"/>
      <w:r w:rsidRPr="006720E4">
        <w:t>Ethical travel for organ or tissue transplantation vs ‘transplant tourism’</w:t>
      </w:r>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r w:rsidRPr="006720E4">
        <w:t xml:space="preserve"> </w:t>
      </w:r>
    </w:p>
    <w:p w14:paraId="049BEE87"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Travel for organ or tissue transplantation may be ethically appropriate in a range of circumstances. For example, a person may live abroad for work and return to their home country to undergo transplantation, or a person may travel to donate an organ to a friend or relative living in another country. Alternatively, people who live in countries that lack organ transplantation programs may travel abroad with their prospective living directed donor to access transplantation services. </w:t>
      </w:r>
    </w:p>
    <w:p w14:paraId="6D1A54DB" w14:textId="4523B36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Travel for transplantation becomes ethically problematic and may be referred to as “transplant tourism”, if it involves organ </w:t>
      </w:r>
      <w:r w:rsidRPr="00471664">
        <w:rPr>
          <w:rFonts w:ascii="Calibri" w:hAnsi="Calibri" w:cs="Calibri"/>
          <w:sz w:val="22"/>
          <w:szCs w:val="22"/>
        </w:rPr>
        <w:t xml:space="preserve">trafficking (see </w:t>
      </w:r>
      <w:hyperlink w:anchor="_Organ_and_tissue_2" w:history="1">
        <w:r w:rsidR="001C292C" w:rsidRPr="001C292C">
          <w:rPr>
            <w:rStyle w:val="Hyperlink"/>
            <w:rFonts w:ascii="Calibri" w:hAnsi="Calibri" w:cs="Calibri"/>
            <w:sz w:val="22"/>
            <w:szCs w:val="22"/>
          </w:rPr>
          <w:t>Chapter 10.6</w:t>
        </w:r>
      </w:hyperlink>
      <w:r w:rsidR="001C292C">
        <w:rPr>
          <w:rFonts w:ascii="Calibri" w:hAnsi="Calibri" w:cs="Calibri"/>
          <w:sz w:val="22"/>
          <w:szCs w:val="22"/>
        </w:rPr>
        <w:t xml:space="preserve">) </w:t>
      </w:r>
      <w:r w:rsidRPr="00471664">
        <w:rPr>
          <w:rFonts w:ascii="Calibri" w:hAnsi="Calibri" w:cs="Calibri"/>
          <w:sz w:val="22"/>
          <w:szCs w:val="22"/>
        </w:rPr>
        <w:t>or undermines</w:t>
      </w:r>
      <w:r w:rsidRPr="006720E4">
        <w:rPr>
          <w:rFonts w:ascii="Calibri" w:hAnsi="Calibri" w:cs="Calibri"/>
          <w:sz w:val="22"/>
          <w:szCs w:val="22"/>
        </w:rPr>
        <w:t xml:space="preserve"> self-sufficiency in the destination country.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{"citationItems":[{"id":"ITEM-1","itemData":{"author":[{"dropping-particle":"","family":"PwC","given":"","non-dropping-particle":"","parse-names":false,"suffix":""}],"id":"ITEM-1","issue":"November","issued":{"date-parts":[["2016"]]},"title":"Final report Analysis of the Australian tissue sector","type":"report"},"uris":["http://www.mendeley.com/documents/?uuid=8975474a-f666-474a-b291-09d973255cbd"]}],"mendeley":{"formattedCitation":"(125)","plainTextFormattedCitation":"(125)","previouslyFormattedCitation":"(125)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(125)</w:t>
      </w:r>
      <w:r w:rsidRPr="006720E4">
        <w:rPr>
          <w:rFonts w:ascii="Calibri" w:hAnsi="Calibri" w:cs="Calibri"/>
          <w:sz w:val="22"/>
          <w:szCs w:val="22"/>
        </w:rPr>
        <w:fldChar w:fldCharType="end"/>
      </w:r>
      <w:r w:rsidRPr="006720E4">
        <w:rPr>
          <w:rFonts w:ascii="Calibri" w:hAnsi="Calibri" w:cs="Calibri"/>
          <w:sz w:val="22"/>
          <w:szCs w:val="22"/>
        </w:rPr>
        <w:t xml:space="preserve"> Although travel for tissue transplantation could also involve trafficking or undermine self-sufficiency in destination countries, the term transplant tourism is typically associated with organ transplantation.</w:t>
      </w:r>
    </w:p>
    <w:p w14:paraId="26364F05" w14:textId="2047C53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Self-sufficiency would typically be undermined if people traveling for transplantation make use of resources such as deceased donor organs or tissues or transplantation services which then become unavailable to local people in need of transplantation. For example, in some countries foreign transplant patients are able to pay more money to access transplant programs than local residents, and health professionals or institutions may prioritise income generation at the expense of equity of access to transplantation.</w:t>
      </w:r>
    </w:p>
    <w:p w14:paraId="0C82373B" w14:textId="7C65120F" w:rsidR="006C6EBA" w:rsidRPr="006720E4" w:rsidRDefault="006C6EBA" w:rsidP="00EA22AE">
      <w:pPr>
        <w:pStyle w:val="Heading4"/>
        <w:spacing w:after="120"/>
      </w:pPr>
      <w:bookmarkStart w:id="4128" w:name="_Hazards_of_‘transplant"/>
      <w:bookmarkStart w:id="4129" w:name="_Toc73129918"/>
      <w:bookmarkStart w:id="4130" w:name="_Toc73301790"/>
      <w:bookmarkStart w:id="4131" w:name="_Toc73302296"/>
      <w:bookmarkStart w:id="4132" w:name="_Toc73303429"/>
      <w:bookmarkStart w:id="4133" w:name="_Toc74081574"/>
      <w:bookmarkStart w:id="4134" w:name="_Toc74172351"/>
      <w:bookmarkStart w:id="4135" w:name="_Toc74172887"/>
      <w:bookmarkStart w:id="4136" w:name="_Toc82773700"/>
      <w:bookmarkStart w:id="4137" w:name="_Toc82774053"/>
      <w:bookmarkEnd w:id="4128"/>
      <w:r w:rsidRPr="006720E4">
        <w:t>Hazards of ‘transplant tourism’</w:t>
      </w:r>
      <w:bookmarkEnd w:id="4129"/>
      <w:bookmarkEnd w:id="4130"/>
      <w:bookmarkEnd w:id="4131"/>
      <w:bookmarkEnd w:id="4132"/>
      <w:bookmarkEnd w:id="4133"/>
      <w:bookmarkEnd w:id="4134"/>
      <w:bookmarkEnd w:id="4135"/>
      <w:bookmarkEnd w:id="4136"/>
      <w:bookmarkEnd w:id="4137"/>
    </w:p>
    <w:p w14:paraId="7A8D7FB0" w14:textId="34BE3AF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addition to the potential impact of travel for transplantation on self-sufficiency, travel involving organ trafficking raises specific ethical concerns. Buying and selling organs means that organs are not recognized as ethically exceptional, and are instead treated like ordinary commodities. This is a problem that is discussed </w:t>
      </w:r>
      <w:r w:rsidRPr="00471664">
        <w:rPr>
          <w:rFonts w:ascii="Calibri" w:hAnsi="Calibri" w:cs="Calibri"/>
          <w:sz w:val="22"/>
          <w:szCs w:val="22"/>
        </w:rPr>
        <w:t xml:space="preserve">in detail in </w:t>
      </w:r>
      <w:hyperlink w:anchor="_Organ_trafficking_1"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10</w:t>
        </w:r>
        <w:r w:rsidRPr="00471664">
          <w:rPr>
            <w:rStyle w:val="Hyperlink"/>
            <w:rFonts w:ascii="Calibri" w:hAnsi="Calibri" w:cs="Calibri"/>
            <w:sz w:val="22"/>
            <w:szCs w:val="22"/>
          </w:rPr>
          <w:t>.6.1</w:t>
        </w:r>
      </w:hyperlink>
      <w:r w:rsidRPr="00471664">
        <w:rPr>
          <w:rFonts w:ascii="Calibri" w:hAnsi="Calibri" w:cs="Calibri"/>
          <w:sz w:val="22"/>
          <w:szCs w:val="22"/>
        </w:rPr>
        <w:t>.</w:t>
      </w:r>
      <w:r w:rsidRPr="006720E4">
        <w:rPr>
          <w:rFonts w:ascii="Calibri" w:hAnsi="Calibri" w:cs="Calibri"/>
          <w:sz w:val="22"/>
          <w:szCs w:val="22"/>
        </w:rPr>
        <w:t xml:space="preserve"> </w:t>
      </w:r>
    </w:p>
    <w:p w14:paraId="2168780D" w14:textId="6815270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Where organ trafficking occurs, people who may be potential organ donors can become a target for human traffickers or others seeking to exploit people who are vulnerable as a result of poverty or coercive relationships.  Most transplant tourism involves markets in kidneys obtained from living individuals, although liver lobes from living “donors” are also bought and sold. Evidence shows that those who sell their organs in such markets have rarely provided valid consent. They are often financially exploited, receive no follow up care, and suffer significant long-term damage to their physical and psychological health, and social status.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{"citationItems":[{"id":"ITEM-1","itemData":{"DOI":"10.1007/s10389-010-0320-3","ISSN":"09431853","abstract":"Aim This quantitative study seeks to determine why the underground organ commerce exists and thrives in Colombia, and how it responds to global donor shortages, public opposition and government initiatives to curtail it. Policy lessons and insights from the Colombian experience in organ donation and transplantation are identified in this study. Subjects andMethods Statistical random samples of 169 living and paid Colombian donors (or vendors) were apportioned between the key organ supplier cities of Bogotá and Medellín based on population. A pre-tested and interviewer- administeredquestionnaire was designed for organ vendors in these multistage samples. Qualitative analysis of pertinent Colombian laws and regulations forms the other half of this study. Results Survey results from Bogotá and Medellín tend to indicate shared demographic characteristics between Colombian vendors and their counterparts in developing countries that are major destinations for organ trafficking. The organ trade in Colombia is generally open, brokered and without price competition and provisions for vendors' postoperative care, which help attract many foreign buyers. These factors also increase the vulnerability of vendors to unscrupulous third parties. The study finds that public indifference, state/ institutional incapacity, corruption, and constantly changing trade environments, rules and operations subvert the legal and regulatory framework for organ donation and transplantation, which in Colombia is rather unique for its extent of coverage, complexity and detail. Conclusion The empirical evidence obtained from Bogotá and Medellín offers a challenge for governments to look beyond the availability of legal and regulatory restraints and remedies. Why and how these can be effectively undermined by organ trade participants without necessarily affecting or reversing their economic behavior are pressing issues that demand immediate attention. © Springer-Verlag 2010.","author":[{"dropping-particle":"","family":"Mendoza","given":"Roger Lee","non-dropping-particle":"","parse-names":false,"suffix":""}],"container-title":"Journal of Public Health","id":"ITEM-1","issue":"4","issued":{"date-parts":[["2010"]]},"page":"375-384","title":"Colombia's organ trade: Evidence from Bogotá and Medellín","type":"article-journal","volume":"18"},"uris":["http://www.mendeley.com/documents/?uuid=d839c2e1-4370-4bbe-9de1-d920fb89d139"]},{"id":"ITEM-2","itemData":{"DOI":"10.1111/j.1548-1387.2011.01197.x","ISSN":"07455194","PMID":"22574392","abstract":"The technology-driven demand for the extraction of human organs-mainly kidneys, but also liver lobes and single corneas-has created an illegal market in body parts. Based on ethnographic fieldwork, in this article I examine the body bazaar in Bangladesh: in particular, the process of selling organs and the experiences of 33 kidney sellers who are victims of this trade. The sellers' narratives reveal how wealthy buyers (both recipients and brokers) tricked Bangladeshi poor into selling their kidneys; in the end, these sellers were brutally deceived and their suffering was extreme. I therefore argue that the current practice of organ commodification is both exploitative and unethical, as organs are removed from the bodies of the poor by inflicting a novel form of bioviolence against them. This bioviolence is deliberately silenced by vested interest groups for their personal gain. © 2012 by the American Anthropological Association.","author":[{"dropping-particle":"","family":"Moniruzzaman","given":"Monir","non-dropping-particle":"","parse-names":false,"suffix":""}],"container-title":"Medical Anthropology Quarterly","id":"ITEM-2","issue":"1","issued":{"date-parts":[["2012"]]},"page":"69-91","title":"\"Living Cadavers\" in Bangladesh: Bioviolence in the Human Organ Bazaar","type":"article-journal","volume":"26"},"uris":["http://www.mendeley.com/documents/?uuid=5471181a-d6a0-48b7-b0b4-465a50e83c4b"]},{"id":"ITEM-3","itemData":{"DOI":"10.1353/hcr.0.0136","ISSN":"0093-0334","PMID":"19537621","abstract":"In theory, a commercial market for kidneys could increase the scarce supply of transplantable organs and give impoverished people a new way to lift themselves out of poverty. In-depth sociological work on those who opt to sell their kidneys reveals a different set of realities. Around the town of Sarghoda, Pakistan, the negative social and psychological ramifications of selling a kidney affect not only the vendors themselves, but also their families, communities, and even the country as a whole.","author":[{"dropping-particle":"","family":"Farhat Moazam","given":"","non-dropping-particle":"","parse-names":false,"suffix":""},{"dropping-particle":"","family":"Riffat Moazam Zaman","given":"","non-dropping-particle":"","parse-names":false,"suffix":""},{"dropping-particle":"","family":"Aamir M. Jafarey","given":"","non-dropping-particle":"","parse-names":false,"suffix":""}],"container-title":"Hastings Center Report","id":"ITEM-3","issue":"3","issued":{"date-parts":[["2009"]]},"page":"29-44","title":"Conversations with Kidney Vendors in Pakistan: An Ethnographic Study","type":"article-journal","volume":"39"},"uris":["http://www.mendeley.com/documents/?uuid=21e77b90-9d4c-46dd-8270-2b946e5085bf"]},{"id":"ITEM-4","itemData":{"DOI":"10.1080/0966369X.2013.832657","ISSN":"13600524","abstract":"The Philippines has recently achieved notoriety as one of the top five source countries for commercially provided organs, particularly kidneys, globally. The vast majority of commercial organ providers are economically marginal men, thus throwing into question conventional wisdom regarding the gendered nature of human trafficking in which most trafficked persons are presumed to be female. This article examined the motives of men who sell kidneys in Manila's black organ market and their ongoing negotiations when their aspirations are not fulfilled. I suggest that family considerations figure prominently amongst many of the men, who attempt to use the money from the sale of a kidney as a livelihood or family security strategy. Narratives of economically marginal men in the Philippines about the commercial value of their body parts are situated in discourses of traditional Philippines ideas about masculinity, particularly concerning the male breadwinner and also about heroism. Thus, although an emotionally and relationally complex decision, selling a kidney nonetheless allows these men to attempt to reclaim their masculine roles, but often with contradictory outcomes.","author":[{"dropping-particle":"","family":"Yea","given":"Sallie","non-dropping-particle":"","parse-names":false,"suffix":""}],"container-title":"Gender, Place and Culture","id":"ITEM-4","issue":"1","issued":{"date-parts":[["2015"]]},"page":"123-142","title":"Masculinity under the knife: Filipino men, trafficking and the black organ market in Manila, the Philippines","type":"article-journal","volume":"22"},"uris":["http://www.mendeley.com/documents/?uuid=0ea5f6ef-7f00-4a81-9d61-e10de85a8630"]}],"mendeley":{"formattedCitation":"(144–147)","plainTextFormattedCitation":"(144–147)","previouslyFormattedCitation":"(144–147)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(144–147)</w:t>
      </w:r>
      <w:r w:rsidRPr="006720E4">
        <w:rPr>
          <w:rFonts w:ascii="Calibri" w:hAnsi="Calibri" w:cs="Calibri"/>
          <w:sz w:val="22"/>
          <w:szCs w:val="22"/>
        </w:rPr>
        <w:fldChar w:fldCharType="end"/>
      </w:r>
      <w:r w:rsidRPr="006720E4">
        <w:rPr>
          <w:rFonts w:ascii="Calibri" w:hAnsi="Calibri" w:cs="Calibri"/>
          <w:sz w:val="22"/>
          <w:szCs w:val="22"/>
        </w:rPr>
        <w:t xml:space="preserve"> Those who purchase transplants involving trafficked organs are at significant risk of clinical complications and infection as a result of poor donor screening and quality of care.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{"citationItems":[{"id":"ITEM-1","itemData":{"DOI":"10.1080/14787210.2020.1851196","ISBN":"1190801906","ISSN":"17448336","PMID":"33186078","author":[{"dropping-particle":"","family":"Torres Soto","given":"Mariam","non-dropping-particle":"","parse-names":false,"suffix":""},{"dropping-particle":"","family":"Kotton","given":"Camille Nelson","non-dropping-particle":"","parse-names":false,"suffix":""}],"container-title":"Expert Review of Anti-Infective Therapy","id":"ITEM-1","issue":"6","issued":{"date-parts":[["2021"]]},"page":"671-673","publisher":"Current Infectious Disease Reports","title":"Infectious disease complications of transplant tourism","type":"article-journal","volume":"19"},"uris":["http://www.mendeley.com/documents/?uuid=6c4e9e59-e232-47d1-88a3-5a058fa6b444"]},{"id":"ITEM-2","itemData":{"DOI":"10.1007/s11019-012-9450-4","ISSN":"13867423","PMID":"23192569","abstract":"Canada has a marked shortfall between the supply and demand for kidneys for transplantation. Median wait times for deceased donor kidney transplantation vary from 5.8 years in British Columbia, 5.2 years in Manitoba and 4.5 years in Ontario to a little over 2 years in Quebec and Nova Scotia. Living donation provides a viable option for some, but not all people. Consequently, a small number of people travel abroad to undergo kidney transplantation by commercial means. The extent to which they are aware of the potential risks to their health and the health of the kidney vendors is unclear. Travel abroad to obtain a kidney commercially i.e. transplant tourism (TT), raises ethical issues which include the exploitation of the poor, uncertainty of donor informed consent to nephrectomy, poor clinical care and lack of follow up for the donor, commodification of the body and inequity of access to medical care for donors. Also, TT widens socioeconomic disparities in access to transplantation, differing from the Canadian system of universal coverage for healthcare. The Canadian transplant community has discussed how to respond to patients who plan to travel abroad for TT or return with a purchased kidney. Unease rests in the tension between the duty to care for legitimate Canadian residents and the unwillingness to enable TT. This paper discusses three anonymized cases and the Canadian responses to TT as recorded in academic literature and a formal statement by relevant professional bodies. © 2012 Springer Science+Business Media Dordrecht.","author":[{"dropping-particle":"","family":"Wright","given":"L.","non-dropping-particle":"","parse-names":false,"suffix":""},{"dropping-particle":"","family":"Zaltzman","given":"J. S.","non-dropping-particle":"","parse-names":false,"suffix":""},{"dropping-particle":"","family":"Gill","given":"J.","non-dropping-particle":"","parse-names":false,"suffix":""},{"dropping-particle":"","family":"Prasad","given":"G. V.R.","non-dropping-particle":"","parse-names":false,"suffix":""}],"container-title":"Medicine, Health Care and Philosophy","id":"ITEM-2","issue":"4","issued":{"date-parts":[["2013"]]},"page":"921-924","title":"Kidney transplant tourism: Cases from Canada","type":"article-journal","volume":"16"},"uris":["http://www.mendeley.com/documents/?uuid=4d445d90-04a2-4f21-a67e-7db4e847356d"]},{"id":"ITEM-3","itemData":{"DOI":"10.5694/mja2.50333","ISSN":"13265377","PMID":"31502265","author":[{"dropping-particle":"","family":"Smith","given":"Georgia","non-dropping-particle":"","parse-names":false,"suffix":""},{"dropping-particle":"","family":"Gujari","given":"Diba","non-dropping-particle":"","parse-names":false,"suffix":""},{"dropping-particle":"","family":"Russell","given":"Oscar","non-dropping-particle":"","parse-names":false,"suffix":""},{"dropping-particle":"","family":"Palmer","given":"Lyle","non-dropping-particle":"","parse-names":false,"suffix":""},{"dropping-particle":"","family":"Toews","given":"Maeghan","non-dropping-particle":"","parse-names":false,"suffix":""},{"dropping-particle":"","family":"Wong","given":"Germaine","non-dropping-particle":"","parse-names":false,"suffix":""},{"dropping-particle":"","family":"Lim","given":"Wai","non-dropping-particle":"","parse-names":false,"suffix":""},{"dropping-particle":"","family":"McDonald","given":"Stephen","non-dropping-particle":"","parse-names":false,"suffix":""},{"dropping-particle":"","family":"Clayton","given":"Phillip","non-dropping-particle":"","parse-names":false,"suffix":""},{"dropping-particle":"","family":"Martin","given":"Dominique","non-dropping-particle":"","parse-names":false,"suffix":""},{"dropping-particle":"","family":"Coates","given":"Patrick T.","non-dropping-particle":"","parse-names":false,"suffix":""}],"container-title":"Medical Journal of Australia","id":"ITEM-3","issue":"10","issued":{"date-parts":[["2019"]]},"page":"460","title":"International travel by Australians for overseas transplantation","type":"article-journal","volume":"211"},"uris":["http://www.mendeley.com/documents/?uuid=68f5126f-d43b-40cc-ae7e-205552fb8af1"]}],"mendeley":{"formattedCitation":"(143,148,149)","plainTextFormattedCitation":"(143,148,149)","previouslyFormattedCitation":"(143,148,149)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(143,148,149)</w:t>
      </w:r>
      <w:r w:rsidRPr="006720E4">
        <w:rPr>
          <w:rFonts w:ascii="Calibri" w:hAnsi="Calibri" w:cs="Calibri"/>
          <w:sz w:val="22"/>
          <w:szCs w:val="22"/>
        </w:rPr>
        <w:fldChar w:fldCharType="end"/>
      </w:r>
      <w:r w:rsidRPr="006720E4">
        <w:rPr>
          <w:rFonts w:ascii="Calibri" w:hAnsi="Calibri" w:cs="Calibri"/>
          <w:sz w:val="22"/>
          <w:szCs w:val="22"/>
        </w:rPr>
        <w:t xml:space="preserve"> Recipients may also be at risk of criminal prosecution.</w:t>
      </w:r>
    </w:p>
    <w:p w14:paraId="3FD260F7" w14:textId="0DF570C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While some poor individuals arguably make a voluntary decision to sell an organ for transplantation, many have been victims of human trafficking. In addition, in China, a former transplant tourism “hot spot”, organs used in transplantation for foreign (and domestic patients) have historically been obtained from executed prisoners.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{"citationItems":[{"id":"ITEM-1","itemData":{"DOI":"10.1097/TP.0b013e318295ee7d","ISSN":"00411337","PMID":"23644753","abstract":"By 2005, human organ trafficking, commercialization, and transplant tourism had become a prominent and pervasive influence on transplantation therapy. The most common source of organs was impoverished people in India, Pakistan, Egypt, and the Philippines, deceased organ donors in Colombia, and executed prisoners in China. In response, in May 2008, The Transplantation Society and the International Society of Nephrology developed the Declaration of Istanbul on Organ Trafficking and Transplant Tourism consisting of a preamble, a set of principles, and a series of proposals. Promulgation of the Declaration of Istanbul and the formation of the Declaration of Istanbul Custodian Group to promote and uphold its principles have demonstrated that concerted, strategic, collaborative, and persistent actions by professionals can deliver tangible changes. Over the past 5 years, the Declaration of Istanbul Custodian Group organized and encouraged cooperation among professional bodies and relevant international, regional, and national governmental organizations, which has produced significant progress in combating organ trafficking and transplant tourism around the world. At a fifth anniversary meeting in Qatar in April 2013, the DICG took note of this progress and set forth in a Communiqué a number of specific activities and resolved to further engage groups from many sectors in working toward the Declaration's objectives. Copyright © 2013 by Lippincott Williams &amp; Wilkins.","author":[{"dropping-particle":"","family":"Danovitch","given":"Gabriel M.","non-dropping-particle":"","parse-names":false,"suffix":""},{"dropping-particle":"","family":"Chapman","given":"Jeremy","non-dropping-particle":"","parse-names":false,"suffix":""},{"dropping-particle":"","family":"Capron","given":"Alexander M.","non-dropping-particle":"","parse-names":false,"suffix":""},{"dropping-particle":"","family":"Levin","given":"Adeera","non-dropping-particle":"","parse-names":false,"suffix":""},{"dropping-particle":"","family":"Abbud-Filho","given":"Mario","non-dropping-particle":"","parse-names":false,"suffix":""},{"dropping-particle":"","family":"Mousawi","given":"Mustafa","non-dropping-particle":"Al","parse-names":false,"suffix":""},{"dropping-particle":"","family":"Bennett","given":"William","non-dropping-particle":"","parse-names":false,"suffix":""},{"dropping-particle":"","family":"Budiani-Saberi","given":"Debra","non-dropping-particle":"","parse-names":false,"suffix":""},{"dropping-particle":"","family":"Couser","given":"William","non-dropping-particle":"","parse-names":false,"suffix":""},{"dropping-particle":"","family":"Dittmer","given":"Ian","non-dropping-particle":"","parse-names":false,"suffix":""},{"dropping-particle":"","family":"Jha","given":"Vivek","non-dropping-particle":"","parse-names":false,"suffix":""},{"dropping-particle":"","family":"Lavee","given":"Jacob","non-dropping-particle":"","parse-names":false,"suffix":""},{"dropping-particle":"","family":"Martin","given":"Dominique","non-dropping-particle":"","parse-names":false,"suffix":""},{"dropping-particle":"","family":"Masri","given":"Marwan","non-dropping-particle":"","parse-names":false,"suffix":""},{"dropping-particle":"","family":"Naicker","given":"Saraladevi","non-dropping-particle":"","parse-names":false,"suffix":""},{"dropping-particle":"","family":"Takahara","given":"Shiro","non-dropping-particle":"","parse-names":false,"suffix":""},{"dropping-particle":"","family":"Tibell","given":"Annika","non-dropping-particle":"","parse-names":false,"suffix":""},{"dropping-particle":"","family":"Shaheen","given":"Faissal","non-dropping-particle":"","parse-names":false,"suffix":""},{"dropping-particle":"","family":"Anantharaman","given":"Vathsala","non-dropping-particle":"","parse-names":false,"suffix":""},{"dropping-particle":"","family":"Delmonico","given":"Francis L.","non-dropping-particle":"","parse-names":false,"suffix":""}],"container-title":"Transplantation","id":"ITEM-1","issue":"11","issued":{"date-parts":[["2013"]]},"page":"1306-1312","title":"Organ trafficking and transplant tourism: The role of global professional ethical standards - The 2008 declaration of Istanbul","type":"article-journal","volume":"95"},"uris":["http://www.mendeley.com/documents/?uuid=328a5c11-cdab-46b2-b4bf-d88b0018690a"]}],"mendeley":{"formattedCitation":"(150)","plainTextFormattedCitation":"(150)","previouslyFormattedCitation":"(150)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(150)</w:t>
      </w:r>
      <w:r w:rsidRPr="006720E4">
        <w:rPr>
          <w:rFonts w:ascii="Calibri" w:hAnsi="Calibri" w:cs="Calibri"/>
          <w:sz w:val="22"/>
          <w:szCs w:val="22"/>
        </w:rPr>
        <w:fldChar w:fldCharType="end"/>
      </w:r>
      <w:r w:rsidRPr="006720E4">
        <w:rPr>
          <w:rFonts w:ascii="Calibri" w:hAnsi="Calibri" w:cs="Calibri"/>
          <w:sz w:val="22"/>
          <w:szCs w:val="22"/>
        </w:rPr>
        <w:t xml:space="preserve"> Consequently, when individuals participate in transplant tourism, they may not only cause harm to donors or incur risks to their own well-being, they also risk supporting and encouraging practices that may violate fundamental human rights and core ethical standards in organ donation. Furthermore, transplant tourism and the organ trafficking it encourages undermine efforts in destination countries to establish effective altruistic deceased and living organ donation programs due to their impact on public trust and motivations for donation.</w:t>
      </w:r>
    </w:p>
    <w:p w14:paraId="04DEC032" w14:textId="77777777" w:rsidR="006C6EBA" w:rsidRPr="006720E4" w:rsidRDefault="006C6EBA" w:rsidP="00EA22AE">
      <w:pPr>
        <w:pStyle w:val="Heading3"/>
        <w:spacing w:after="120"/>
      </w:pPr>
      <w:bookmarkStart w:id="4138" w:name="_Australians_traveling_overseas"/>
      <w:bookmarkStart w:id="4139" w:name="_Provision_of_care"/>
      <w:bookmarkStart w:id="4140" w:name="_Toc60861345"/>
      <w:bookmarkStart w:id="4141" w:name="_Toc63683482"/>
      <w:bookmarkStart w:id="4142" w:name="_Toc70241830"/>
      <w:bookmarkStart w:id="4143" w:name="_Toc70243465"/>
      <w:bookmarkStart w:id="4144" w:name="_Toc70414935"/>
      <w:bookmarkStart w:id="4145" w:name="_Toc70844253"/>
      <w:bookmarkStart w:id="4146" w:name="_Toc72615192"/>
      <w:bookmarkStart w:id="4147" w:name="_Toc73129919"/>
      <w:bookmarkStart w:id="4148" w:name="_Toc73301791"/>
      <w:bookmarkStart w:id="4149" w:name="_Toc73302297"/>
      <w:bookmarkStart w:id="4150" w:name="_Toc73303430"/>
      <w:bookmarkStart w:id="4151" w:name="_Toc73303648"/>
      <w:bookmarkStart w:id="4152" w:name="_Toc74080765"/>
      <w:bookmarkStart w:id="4153" w:name="_Toc74081073"/>
      <w:bookmarkStart w:id="4154" w:name="_Toc74081303"/>
      <w:bookmarkStart w:id="4155" w:name="_Toc74081575"/>
      <w:bookmarkStart w:id="4156" w:name="_Toc74171134"/>
      <w:bookmarkStart w:id="4157" w:name="_Toc74172352"/>
      <w:bookmarkStart w:id="4158" w:name="_Toc74172888"/>
      <w:bookmarkStart w:id="4159" w:name="_Toc74238808"/>
      <w:bookmarkStart w:id="4160" w:name="_Toc79406463"/>
      <w:bookmarkStart w:id="4161" w:name="_Toc82773701"/>
      <w:bookmarkStart w:id="4162" w:name="_Toc82774054"/>
      <w:bookmarkEnd w:id="4138"/>
      <w:bookmarkEnd w:id="4139"/>
      <w:r w:rsidRPr="006720E4">
        <w:lastRenderedPageBreak/>
        <w:t>Provision of care to Australians who may travel overseas for organ donation or transplantation</w:t>
      </w:r>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r w:rsidRPr="006720E4">
        <w:t xml:space="preserve"> </w:t>
      </w:r>
    </w:p>
    <w:p w14:paraId="707FF72F" w14:textId="288D032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Few Australian residents travel overseas for organ transplantation or to serve as living organ donors, and even fewer are suspected of traveling for the purpose of obtaining a transplant involving organ trafficking or selling their own organ.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10.5694/mja2.50333","ISSN":"13265377","PMID":"31502265","author":[{"dropping-particle":"","family":"Smith","given":"Georgia","non-dropping-particle":"","parse-names":false,"suffix":""},{"dropping-particle":"","family":"Gujari","given":"Diba","non-dropping-particle":"","parse-names":false,"suffix":""},{"dropping-particle":"","family":"Russell","given":"Oscar","non-dropping-particle":"","parse-names":false,"suffix":""},{"dropping-particle":"","family":"Palmer","given":"Lyle","non-dropping-particle":"","parse-names":false,"suffix":""},{"dropping-particle":"","family":"Toews","given":"Maeghan","non-dropping-particle":"","parse-names":false,"suffix":""},{"dropping-particle":"","family":"Wong","given":"Germaine","non-dropping-particle":"","parse-names":false,"suffix":""},{"dropping-particle":"","family":"Lim","given":"Wai","non-dropping-particle":"","parse-names":false,"suffix":""},{"dropping-particle":"","family":"McDonald","given":"Stephen","non-dropping-particle":"","parse-names":false,"suffix":""},{"dropping-particle":"","family":"Clayton","given":"Phillip","non-dropping-particle":"","parse-names":false,"suffix":""},{"dropping-particle":"","family":"Martin","given":"Dominique","non-dropping-particle":"","parse-names":false,"suffix":""},{"dropping-particle":"","family":"Coates","given":"Patrick T.","non-dropping-particle":"","parse-names":false,"suffix":""}],"container-title":"Medical Journal of Australia","id":"ITEM-1","issue":"10","issued":{"date-parts":[["2019"]]},"page":"460","title":"International travel by Australians for overseas transplantation","type":"article-journal","volume":"211"},"uris":["http://www.mendeley.com/documents/?uuid=68f5126f-d43b-40cc-ae7e-205552fb8af1"]}],"mendeley":{"formattedCitation":"(143)","plainTextFormattedCitation":"(143)","previouslyFormattedCitation":"(143)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(143)</w:t>
      </w:r>
      <w:r w:rsidRPr="006720E4">
        <w:rPr>
          <w:rFonts w:ascii="Calibri" w:hAnsi="Calibri" w:cs="Calibri"/>
          <w:sz w:val="22"/>
          <w:szCs w:val="22"/>
        </w:rPr>
        <w:fldChar w:fldCharType="end"/>
      </w:r>
      <w:r w:rsidRPr="006720E4">
        <w:rPr>
          <w:rFonts w:ascii="Calibri" w:hAnsi="Calibri" w:cs="Calibri"/>
          <w:sz w:val="22"/>
          <w:szCs w:val="22"/>
        </w:rPr>
        <w:t xml:space="preserve"> </w:t>
      </w:r>
    </w:p>
    <w:p w14:paraId="783AA8AD" w14:textId="01FDB2F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providing care for transplant candidates or potential donors who may consider or be considering travelling abroad for donation or transplantation, it is important that health professionals fulfil their duties with regards to prevention of transplant tourism, as highlighted in the WHO Guiding Principles for Cell, Tissue and Organ Transplantation,</w:t>
      </w:r>
      <w:r w:rsidRPr="006720E4">
        <w:rPr>
          <w:rFonts w:ascii="Calibri" w:hAnsi="Calibri" w:cs="Calibri"/>
          <w:sz w:val="22"/>
          <w:szCs w:val="22"/>
        </w:rPr>
        <w:fldChar w:fldCharType="begin" w:fldLock="1"/>
      </w:r>
      <w:r w:rsidRPr="006720E4">
        <w:rPr>
          <w:rFonts w:ascii="Calibri" w:hAnsi="Calibri" w:cs="Calibri"/>
          <w:sz w:val="22"/>
          <w:szCs w:val="22"/>
        </w:rPr>
        <w:instrText>ADDIN CSL_CITATION {"citationItems":[{"id":"ITEM-1","itemData":{"DOI":"10.1097/TP.0b013e3181ec29f0","ISSN":"13899333","PMID":"20664493","abstract":"In May 2010, the Sixty-third World Health Assembly Resolution WHA63.22 endorsed the WHO Guiding Principles, updated in the light of changes in practices and attitudes regarding organ and tissue transplantation. The Guiding Principles are intended to provide an orderly, ethical and acceptable framework for the procurement and transplantation of human cells, tissues and organs for therapeutic purposes. Each jurisdiction will determine the means of implementing these WHO Guiding Principles. They preserve the essential points of the 1991 version while incorporating new provisions in response to current trends in transplantation, particularly the protection of the living donor, and the increasing use of human cells and tissues. The Guiding Principles stress the necessity of documentation and transparency, both for quality management purposes and to justify the confidence of patients, clinicians and the community at large in donation and transplantation services. © World Health Organisation 2010.","author":[{"dropping-particle":"","family":"World Health Organization (WHO)","given":"","non-dropping-particle":"","parse-names":false,"suffix":""}],"container-title":"Cell and Tissue Banking","id":"ITEM-1","issue":"4","issued":{"date-parts":[["2010"]]},"page":"229-233","title":"WHO guiding principles on human cell, tissue and organ transplantation: Sixty-Third World Health Assembly","type":"article-journal","volume":"11"},"uris":["http://www.mendeley.com/documents/?uuid=3d249cf2-01a1-4151-b88c-d3eb0f1edcdc"]}],"mendeley":{"formattedCitation":"(1)","plainTextFormattedCitation":"(1)","previouslyFormattedCitation":"(1)"},"properties":{"noteIndex":0},"schema":"https://github.com/citation-style-language/schema/raw/master/csl-citation.json"}</w:instrText>
      </w:r>
      <w:r w:rsidRPr="006720E4">
        <w:rPr>
          <w:rFonts w:ascii="Calibri" w:hAnsi="Calibri" w:cs="Calibri"/>
          <w:sz w:val="22"/>
          <w:szCs w:val="22"/>
        </w:rPr>
        <w:fldChar w:fldCharType="separate"/>
      </w:r>
      <w:r w:rsidRPr="006720E4">
        <w:rPr>
          <w:rFonts w:ascii="Calibri" w:hAnsi="Calibri" w:cs="Calibri"/>
          <w:noProof/>
          <w:sz w:val="22"/>
          <w:szCs w:val="22"/>
        </w:rPr>
        <w:t>(1)</w:t>
      </w:r>
      <w:r w:rsidRPr="006720E4">
        <w:rPr>
          <w:rFonts w:ascii="Calibri" w:hAnsi="Calibri" w:cs="Calibri"/>
          <w:sz w:val="22"/>
          <w:szCs w:val="22"/>
        </w:rPr>
        <w:fldChar w:fldCharType="end"/>
      </w:r>
      <w:r w:rsidRPr="006720E4">
        <w:rPr>
          <w:rFonts w:ascii="Calibri" w:hAnsi="Calibri" w:cs="Calibri"/>
          <w:sz w:val="22"/>
          <w:szCs w:val="22"/>
        </w:rPr>
        <w:t xml:space="preserve"> the Declaration of Istanbul on Organ Trafficking and Transplant Tourism,</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0000000000002541","ISBN":"0000000000","ISSN":"00411337","PMID":"30681986","author":[{"dropping-particle":"","family":"Muller","given":"Elmi","non-dropping-particle":"","parse-names":false,"suffix":""},{"dropping-particle":"","family":"Dominguez-Gil","given":"Beatriz","non-dropping-particle":"","parse-names":false,"suffix":""},{"dropping-particle":"","family":"Martin","given":"Dominique","non-dropping-particle":"","parse-names":false,"suffix":""}],"container-title":"Transplantation","id":"ITEM-1","issue":"2","issued":{"date-parts":[["2019"]]},"page":"217","title":"The Declaration of Istanbul on Organ Trafficking and Transplant Tourism (2018 Edition) Introduction","type":"article-journal","volume":"103"},"uris":["http://www.mendeley.com/documents/?uuid=2708706e-dce4-45b5-80af-0eb73aa3ca18"]}],"mendeley":{"formattedCitation":"(151)","plainTextFormattedCitation":"(151)","previouslyFormattedCitation":"(151)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(151)</w:t>
      </w:r>
      <w:r w:rsidRPr="006720E4">
        <w:rPr>
          <w:rFonts w:ascii="Calibri" w:hAnsi="Calibri" w:cs="Calibri"/>
          <w:sz w:val="22"/>
          <w:szCs w:val="22"/>
        </w:rPr>
        <w:fldChar w:fldCharType="end"/>
      </w:r>
      <w:r w:rsidRPr="006720E4">
        <w:rPr>
          <w:rFonts w:ascii="Calibri" w:hAnsi="Calibri" w:cs="Calibri"/>
          <w:sz w:val="22"/>
          <w:szCs w:val="22"/>
        </w:rPr>
        <w:t xml:space="preserve"> and the World Medical Association Statement on Measures for the Prevention and Fight Against Transplant-Related Crimes.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{"citationItems":[{"id":"ITEM-1","itemData":{"author":[{"dropping-particle":"","family":"World Medical Assembly (WMA)","given":"","non-dropping-particle":"","parse-names":false,"suffix":""}],"id":"ITEM-1","issue":"October","issued":{"date-parts":[["2020"]]},"title":"WMA Statement on measures for the prevention and fight against transplant-related crimes","type":"report"},"uris":["http://www.mendeley.com/documents/?uuid=62515238-87be-4d45-bdf9-0964cf441103"]}],"mendeley":{"formattedCitation":"(152)","plainTextFormattedCitation":"(152)","previouslyFormattedCitation":"(152)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(152)</w:t>
      </w:r>
      <w:r w:rsidRPr="006720E4">
        <w:rPr>
          <w:rFonts w:ascii="Calibri" w:hAnsi="Calibri" w:cs="Calibri"/>
          <w:sz w:val="22"/>
          <w:szCs w:val="22"/>
        </w:rPr>
        <w:fldChar w:fldCharType="end"/>
      </w:r>
      <w:r w:rsidRPr="006720E4">
        <w:rPr>
          <w:rFonts w:ascii="Calibri" w:hAnsi="Calibri" w:cs="Calibri"/>
          <w:sz w:val="22"/>
          <w:szCs w:val="22"/>
        </w:rPr>
        <w:t xml:space="preserve"> </w:t>
      </w:r>
    </w:p>
    <w:p w14:paraId="4BB042E2" w14:textId="34B5F3A0" w:rsidR="006C6EBA" w:rsidRPr="00471664" w:rsidRDefault="006C6EBA" w:rsidP="00EA22AE">
      <w:pPr>
        <w:spacing w:after="120"/>
        <w:rPr>
          <w:rFonts w:ascii="Calibri" w:hAnsi="Calibri" w:cs="Calibri"/>
          <w:sz w:val="22"/>
          <w:szCs w:val="22"/>
        </w:rPr>
      </w:pPr>
      <w:r w:rsidRPr="00471664">
        <w:rPr>
          <w:rFonts w:ascii="Calibri" w:hAnsi="Calibri" w:cs="Calibri"/>
          <w:sz w:val="22"/>
          <w:szCs w:val="22"/>
        </w:rPr>
        <w:t xml:space="preserve">Health professionals should </w:t>
      </w:r>
      <w:r w:rsidRPr="00471664">
        <w:rPr>
          <w:rFonts w:ascii="Calibri" w:hAnsi="Calibri" w:cs="Calibri"/>
          <w:b/>
          <w:bCs/>
          <w:sz w:val="22"/>
          <w:szCs w:val="22"/>
        </w:rPr>
        <w:t>assist in deterring</w:t>
      </w:r>
      <w:r w:rsidRPr="00471664">
        <w:rPr>
          <w:rFonts w:ascii="Calibri" w:hAnsi="Calibri" w:cs="Calibri"/>
          <w:sz w:val="22"/>
          <w:szCs w:val="22"/>
        </w:rPr>
        <w:t xml:space="preserve"> transplant tourism by Australian residents by:</w:t>
      </w:r>
    </w:p>
    <w:p w14:paraId="4402B2D7" w14:textId="47599850" w:rsidR="006C6EBA" w:rsidRPr="00471664" w:rsidRDefault="006C6EBA" w:rsidP="00C3783C">
      <w:pPr>
        <w:pStyle w:val="ListParagraph"/>
        <w:numPr>
          <w:ilvl w:val="0"/>
          <w:numId w:val="29"/>
        </w:numPr>
        <w:spacing w:after="120"/>
        <w:contextualSpacing w:val="0"/>
        <w:rPr>
          <w:rFonts w:cs="Calibri"/>
          <w:color w:val="000000" w:themeColor="text1"/>
          <w:szCs w:val="22"/>
        </w:rPr>
      </w:pPr>
      <w:r w:rsidRPr="00471664">
        <w:rPr>
          <w:rFonts w:cs="Calibri"/>
          <w:b/>
          <w:bCs/>
          <w:szCs w:val="22"/>
        </w:rPr>
        <w:t>Educating</w:t>
      </w:r>
      <w:r w:rsidRPr="00471664">
        <w:rPr>
          <w:rFonts w:cs="Calibri"/>
          <w:szCs w:val="22"/>
        </w:rPr>
        <w:t xml:space="preserve"> transplant candidates about the hazards of </w:t>
      </w:r>
      <w:r w:rsidRPr="00471664">
        <w:rPr>
          <w:rFonts w:cs="Calibri"/>
          <w:color w:val="000000" w:themeColor="text1"/>
          <w:szCs w:val="22"/>
        </w:rPr>
        <w:t>transplant tourism</w:t>
      </w:r>
      <w:r w:rsidRPr="00471664">
        <w:rPr>
          <w:rStyle w:val="Hyperlink"/>
          <w:rFonts w:cs="Calibri"/>
          <w:color w:val="000000" w:themeColor="text1"/>
          <w:szCs w:val="22"/>
          <w:u w:val="none"/>
        </w:rPr>
        <w:t xml:space="preserve"> (see </w:t>
      </w:r>
      <w:hyperlink w:anchor="_Hazards_of_‘transplant" w:history="1">
        <w:r w:rsidRPr="00471664">
          <w:rPr>
            <w:rStyle w:val="Hyperlink"/>
            <w:rFonts w:cs="Calibri"/>
            <w:szCs w:val="22"/>
          </w:rPr>
          <w:t xml:space="preserve">Chapter </w:t>
        </w:r>
        <w:r w:rsidR="00471664" w:rsidRPr="00471664">
          <w:rPr>
            <w:rStyle w:val="Hyperlink"/>
            <w:rFonts w:cs="Calibri"/>
            <w:szCs w:val="22"/>
          </w:rPr>
          <w:t>9</w:t>
        </w:r>
        <w:r w:rsidRPr="00471664">
          <w:rPr>
            <w:rStyle w:val="Hyperlink"/>
            <w:rFonts w:cs="Calibri"/>
            <w:szCs w:val="22"/>
          </w:rPr>
          <w:t>.4.1.1</w:t>
        </w:r>
      </w:hyperlink>
      <w:r w:rsidRPr="00471664">
        <w:rPr>
          <w:rStyle w:val="Hyperlink"/>
          <w:rFonts w:cs="Calibri"/>
          <w:color w:val="000000" w:themeColor="text1"/>
          <w:szCs w:val="22"/>
          <w:u w:val="none"/>
        </w:rPr>
        <w:t>)</w:t>
      </w:r>
      <w:r w:rsidRPr="00471664">
        <w:rPr>
          <w:rFonts w:cs="Calibri"/>
          <w:color w:val="000000" w:themeColor="text1"/>
          <w:szCs w:val="22"/>
        </w:rPr>
        <w:t>;</w:t>
      </w:r>
    </w:p>
    <w:p w14:paraId="3693BAAC" w14:textId="77777777" w:rsidR="006C6EBA" w:rsidRPr="006720E4" w:rsidRDefault="006C6EBA" w:rsidP="00C3783C">
      <w:pPr>
        <w:pStyle w:val="ListParagraph"/>
        <w:numPr>
          <w:ilvl w:val="0"/>
          <w:numId w:val="29"/>
        </w:numPr>
        <w:spacing w:after="120"/>
        <w:contextualSpacing w:val="0"/>
        <w:rPr>
          <w:rFonts w:cs="Calibri"/>
          <w:szCs w:val="22"/>
        </w:rPr>
      </w:pPr>
      <w:r w:rsidRPr="006720E4">
        <w:rPr>
          <w:rFonts w:cs="Calibri"/>
          <w:szCs w:val="22"/>
        </w:rPr>
        <w:t xml:space="preserve">Ensuring that transplant candidates are </w:t>
      </w:r>
      <w:r w:rsidRPr="006720E4">
        <w:rPr>
          <w:rFonts w:cs="Calibri"/>
          <w:b/>
          <w:bCs/>
          <w:szCs w:val="22"/>
        </w:rPr>
        <w:t>informed</w:t>
      </w:r>
      <w:r w:rsidRPr="006720E4">
        <w:rPr>
          <w:rFonts w:cs="Calibri"/>
          <w:szCs w:val="22"/>
        </w:rPr>
        <w:t xml:space="preserve"> of options for transplantation within Australia and </w:t>
      </w:r>
      <w:r w:rsidRPr="006720E4">
        <w:rPr>
          <w:rFonts w:cs="Calibri"/>
          <w:b/>
          <w:bCs/>
          <w:szCs w:val="22"/>
        </w:rPr>
        <w:t>supported</w:t>
      </w:r>
      <w:r w:rsidRPr="006720E4">
        <w:rPr>
          <w:rFonts w:cs="Calibri"/>
          <w:szCs w:val="22"/>
        </w:rPr>
        <w:t xml:space="preserve"> in accessing these;</w:t>
      </w:r>
    </w:p>
    <w:p w14:paraId="5C6D26C8" w14:textId="7BF02F5A" w:rsidR="006C6EBA" w:rsidRPr="006720E4" w:rsidRDefault="006C6EBA" w:rsidP="00C3783C">
      <w:pPr>
        <w:pStyle w:val="ListParagraph"/>
        <w:numPr>
          <w:ilvl w:val="0"/>
          <w:numId w:val="29"/>
        </w:numPr>
        <w:spacing w:after="120"/>
        <w:contextualSpacing w:val="0"/>
        <w:rPr>
          <w:rFonts w:cs="Calibri"/>
          <w:szCs w:val="22"/>
        </w:rPr>
      </w:pPr>
      <w:r w:rsidRPr="006720E4">
        <w:rPr>
          <w:rFonts w:cs="Calibri"/>
          <w:b/>
          <w:bCs/>
          <w:szCs w:val="22"/>
        </w:rPr>
        <w:t>Declining to clinically facilitate</w:t>
      </w:r>
      <w:r w:rsidRPr="006720E4">
        <w:rPr>
          <w:rFonts w:cs="Calibri"/>
          <w:szCs w:val="22"/>
        </w:rPr>
        <w:t xml:space="preserve"> travel for transplantation for candidates when the risk of organ trafficking cannot be excluded, or when the health professional is unable to ascertain relevant details of the planned transplant in a foreign country. </w:t>
      </w:r>
    </w:p>
    <w:p w14:paraId="6275BFBD" w14:textId="48557AEB" w:rsidR="006C6EBA" w:rsidRPr="006720E4" w:rsidRDefault="006C6EBA" w:rsidP="00C3783C">
      <w:pPr>
        <w:pStyle w:val="ListParagraph"/>
        <w:numPr>
          <w:ilvl w:val="1"/>
          <w:numId w:val="29"/>
        </w:numPr>
        <w:spacing w:after="120"/>
        <w:contextualSpacing w:val="0"/>
        <w:rPr>
          <w:rFonts w:cs="Calibri"/>
          <w:szCs w:val="22"/>
        </w:rPr>
      </w:pPr>
      <w:r w:rsidRPr="006720E4">
        <w:rPr>
          <w:rFonts w:cs="Calibri"/>
          <w:szCs w:val="22"/>
        </w:rPr>
        <w:t xml:space="preserve">Examples of actions that may clinically facilitate travel for transplantation include ordering of tissue typing tests or radiological investigations as part of a pre-transplant work-up. </w:t>
      </w:r>
    </w:p>
    <w:p w14:paraId="5A49A3E1"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Professionals should also ensure they provide support for those who may be traveling legitimately for transplantation.  Health professionals who are providing care to Australian residents who are considering </w:t>
      </w:r>
      <w:r w:rsidRPr="006720E4">
        <w:rPr>
          <w:rFonts w:ascii="Calibri" w:hAnsi="Calibri" w:cs="Calibri"/>
          <w:b/>
          <w:bCs/>
          <w:sz w:val="22"/>
          <w:szCs w:val="22"/>
        </w:rPr>
        <w:t>legitimate travel abroad for organ transplantation</w:t>
      </w:r>
      <w:r w:rsidRPr="006720E4">
        <w:rPr>
          <w:rFonts w:ascii="Calibri" w:hAnsi="Calibri" w:cs="Calibri"/>
          <w:sz w:val="22"/>
          <w:szCs w:val="22"/>
        </w:rPr>
        <w:t>, or to foreign residents who wish to travel to Australia for organ donation and transplantation have the following obligations:</w:t>
      </w:r>
    </w:p>
    <w:p w14:paraId="5620CFFF" w14:textId="77777777" w:rsidR="006C6EBA" w:rsidRPr="006720E4" w:rsidRDefault="006C6EBA" w:rsidP="00C3783C">
      <w:pPr>
        <w:pStyle w:val="ListParagraph"/>
        <w:numPr>
          <w:ilvl w:val="0"/>
          <w:numId w:val="29"/>
        </w:numPr>
        <w:spacing w:after="120"/>
        <w:contextualSpacing w:val="0"/>
        <w:rPr>
          <w:rFonts w:cs="Calibri"/>
          <w:szCs w:val="22"/>
        </w:rPr>
      </w:pPr>
      <w:r w:rsidRPr="006720E4">
        <w:rPr>
          <w:rFonts w:cs="Calibri"/>
          <w:szCs w:val="22"/>
        </w:rPr>
        <w:t>To ensure that prospective transplant travellers will be lawfully accessing treatment and receiving appropriate clinical care at their destination.</w:t>
      </w:r>
    </w:p>
    <w:p w14:paraId="43D83AA2" w14:textId="77777777" w:rsidR="006C6EBA" w:rsidRPr="006720E4" w:rsidRDefault="006C6EBA" w:rsidP="00C3783C">
      <w:pPr>
        <w:pStyle w:val="ListParagraph"/>
        <w:numPr>
          <w:ilvl w:val="0"/>
          <w:numId w:val="29"/>
        </w:numPr>
        <w:spacing w:after="120"/>
        <w:contextualSpacing w:val="0"/>
        <w:rPr>
          <w:rFonts w:cs="Calibri"/>
          <w:szCs w:val="22"/>
        </w:rPr>
      </w:pPr>
      <w:r w:rsidRPr="006720E4">
        <w:rPr>
          <w:rFonts w:cs="Calibri"/>
          <w:szCs w:val="22"/>
        </w:rPr>
        <w:t>To ensure that transplant recipients and donors will be able to access appropriate follow up care where relevant.</w:t>
      </w:r>
    </w:p>
    <w:p w14:paraId="594E4040" w14:textId="77777777" w:rsidR="006C6EBA" w:rsidRPr="006720E4" w:rsidRDefault="006C6EBA" w:rsidP="00C3783C">
      <w:pPr>
        <w:pStyle w:val="ListParagraph"/>
        <w:numPr>
          <w:ilvl w:val="0"/>
          <w:numId w:val="29"/>
        </w:numPr>
        <w:spacing w:after="120"/>
        <w:contextualSpacing w:val="0"/>
        <w:rPr>
          <w:rFonts w:cs="Calibri"/>
          <w:szCs w:val="22"/>
        </w:rPr>
      </w:pPr>
      <w:r w:rsidRPr="006720E4">
        <w:rPr>
          <w:rFonts w:cs="Calibri"/>
          <w:szCs w:val="22"/>
        </w:rPr>
        <w:t>To communicate effectively with patients and care providers in foreign countries where necessary to ensure continuity of care.</w:t>
      </w:r>
    </w:p>
    <w:p w14:paraId="2A03CA91" w14:textId="12596084" w:rsidR="006C6EBA" w:rsidRPr="006720E4" w:rsidRDefault="006C6EBA" w:rsidP="00C3783C">
      <w:pPr>
        <w:pStyle w:val="ListParagraph"/>
        <w:numPr>
          <w:ilvl w:val="0"/>
          <w:numId w:val="29"/>
        </w:numPr>
        <w:spacing w:after="120"/>
        <w:contextualSpacing w:val="0"/>
        <w:rPr>
          <w:rFonts w:cs="Calibri"/>
          <w:szCs w:val="22"/>
        </w:rPr>
      </w:pPr>
      <w:r w:rsidRPr="006720E4">
        <w:rPr>
          <w:rFonts w:cs="Calibri"/>
          <w:szCs w:val="22"/>
        </w:rPr>
        <w:t>To inform patients of potential risks that may be associated with travel for transplantation or donation, and the limitations of their knowledge where relevant regarding foreign health care systems.</w:t>
      </w:r>
    </w:p>
    <w:p w14:paraId="742E52DC" w14:textId="1BDF05CB" w:rsidR="00876237" w:rsidRPr="00876237" w:rsidRDefault="006C6EBA" w:rsidP="00C3783C">
      <w:pPr>
        <w:pStyle w:val="ListParagraph"/>
        <w:numPr>
          <w:ilvl w:val="0"/>
          <w:numId w:val="29"/>
        </w:numPr>
        <w:spacing w:after="120"/>
        <w:contextualSpacing w:val="0"/>
        <w:rPr>
          <w:rFonts w:cs="Calibri"/>
          <w:szCs w:val="22"/>
        </w:rPr>
      </w:pPr>
      <w:r w:rsidRPr="006720E4">
        <w:rPr>
          <w:rFonts w:cs="Calibri"/>
          <w:szCs w:val="22"/>
        </w:rPr>
        <w:t>To ensure that mechanisms for traceability of organs are established.</w:t>
      </w:r>
      <w:bookmarkStart w:id="4163" w:name="_Toc63683483"/>
      <w:bookmarkStart w:id="4164" w:name="_Toc70241831"/>
      <w:bookmarkStart w:id="4165" w:name="_Toc70243466"/>
      <w:bookmarkStart w:id="4166" w:name="_Toc70414936"/>
      <w:bookmarkStart w:id="4167" w:name="_Toc70844254"/>
      <w:bookmarkStart w:id="4168" w:name="_Toc72615193"/>
      <w:bookmarkStart w:id="4169" w:name="_Toc73129920"/>
    </w:p>
    <w:p w14:paraId="500CBE24" w14:textId="55EDFCA9" w:rsidR="00876237" w:rsidRPr="00876237" w:rsidRDefault="00876237" w:rsidP="00EA22AE">
      <w:pPr>
        <w:spacing w:after="120"/>
        <w:rPr>
          <w:rFonts w:ascii="Calibri" w:hAnsi="Calibri" w:cs="Calibri"/>
          <w:sz w:val="22"/>
          <w:szCs w:val="22"/>
        </w:rPr>
      </w:pPr>
      <w:r w:rsidRPr="006720E4">
        <w:rPr>
          <w:rFonts w:ascii="Calibri" w:hAnsi="Calibri" w:cs="Calibri"/>
          <w:sz w:val="22"/>
          <w:szCs w:val="22"/>
        </w:rPr>
        <w:t>Actions that may be taken b</w:t>
      </w:r>
      <w:r w:rsidRPr="00471664">
        <w:rPr>
          <w:rFonts w:ascii="Calibri" w:hAnsi="Calibri" w:cs="Calibri"/>
          <w:sz w:val="22"/>
          <w:szCs w:val="22"/>
        </w:rPr>
        <w:t xml:space="preserve">y health professionals providing care to a person who is suspected or known to have participated in organ trafficking in another country are discussed in </w:t>
      </w:r>
      <w:hyperlink w:anchor="_Provision_of_care_1" w:history="1">
        <w:r w:rsidRPr="00471664">
          <w:rPr>
            <w:rStyle w:val="Hyperlink"/>
            <w:rFonts w:ascii="Calibri" w:hAnsi="Calibri" w:cs="Calibri"/>
            <w:sz w:val="22"/>
            <w:szCs w:val="22"/>
          </w:rPr>
          <w:t>Chapter 9.4.2.1</w:t>
        </w:r>
      </w:hyperlink>
      <w:r w:rsidRPr="00471664">
        <w:rPr>
          <w:rFonts w:ascii="Calibri" w:hAnsi="Calibri" w:cs="Calibri"/>
          <w:sz w:val="22"/>
          <w:szCs w:val="22"/>
        </w:rPr>
        <w:t>.</w:t>
      </w:r>
    </w:p>
    <w:p w14:paraId="152635C3" w14:textId="09D864F3" w:rsidR="006C6EBA" w:rsidRPr="006720E4" w:rsidRDefault="006C6EBA" w:rsidP="00EA22AE">
      <w:pPr>
        <w:pStyle w:val="Heading4"/>
        <w:spacing w:after="120"/>
      </w:pPr>
      <w:bookmarkStart w:id="4170" w:name="_Provision_of_care_1"/>
      <w:bookmarkStart w:id="4171" w:name="_Toc73129921"/>
      <w:bookmarkStart w:id="4172" w:name="_Toc73301793"/>
      <w:bookmarkStart w:id="4173" w:name="_Toc73302299"/>
      <w:bookmarkStart w:id="4174" w:name="_Toc73303432"/>
      <w:bookmarkStart w:id="4175" w:name="_Toc73303650"/>
      <w:bookmarkStart w:id="4176" w:name="_Toc74080767"/>
      <w:bookmarkStart w:id="4177" w:name="_Toc74081075"/>
      <w:bookmarkStart w:id="4178" w:name="_Toc74081305"/>
      <w:bookmarkStart w:id="4179" w:name="_Toc74081577"/>
      <w:bookmarkStart w:id="4180" w:name="_Toc74171136"/>
      <w:bookmarkStart w:id="4181" w:name="_Toc74172354"/>
      <w:bookmarkStart w:id="4182" w:name="_Toc74172890"/>
      <w:bookmarkStart w:id="4183" w:name="_Toc74238810"/>
      <w:bookmarkStart w:id="4184" w:name="_Toc82773702"/>
      <w:bookmarkStart w:id="4185" w:name="_Toc82774055"/>
      <w:bookmarkEnd w:id="4170"/>
      <w:r w:rsidRPr="006720E4">
        <w:t xml:space="preserve">Provision of care to patients who may have participated in </w:t>
      </w:r>
      <w:bookmarkEnd w:id="4171"/>
      <w:bookmarkEnd w:id="4172"/>
      <w:bookmarkEnd w:id="4173"/>
      <w:bookmarkEnd w:id="4174"/>
      <w:bookmarkEnd w:id="4175"/>
      <w:bookmarkEnd w:id="4176"/>
      <w:bookmarkEnd w:id="4177"/>
      <w:bookmarkEnd w:id="4178"/>
      <w:bookmarkEnd w:id="4179"/>
      <w:bookmarkEnd w:id="4180"/>
      <w:bookmarkEnd w:id="4181"/>
      <w:bookmarkEnd w:id="4182"/>
      <w:bookmarkEnd w:id="4183"/>
      <w:r w:rsidRPr="006720E4">
        <w:t>transplant tourism</w:t>
      </w:r>
      <w:bookmarkEnd w:id="4184"/>
      <w:bookmarkEnd w:id="4185"/>
    </w:p>
    <w:p w14:paraId="1797EE10" w14:textId="77777777" w:rsidR="00CE2517" w:rsidRDefault="006C6EBA" w:rsidP="00EA22AE">
      <w:pPr>
        <w:spacing w:after="120"/>
        <w:rPr>
          <w:rFonts w:ascii="Calibri" w:hAnsi="Calibri" w:cs="Calibri"/>
          <w:sz w:val="22"/>
          <w:szCs w:val="22"/>
        </w:rPr>
      </w:pPr>
      <w:r w:rsidRPr="006720E4">
        <w:rPr>
          <w:rFonts w:ascii="Calibri" w:hAnsi="Calibri" w:cs="Calibri"/>
          <w:sz w:val="22"/>
          <w:szCs w:val="22"/>
        </w:rPr>
        <w:t xml:space="preserve">When providing care to an individual who is known or suspected to have participated in transplant tourism, the patient’s health should be the first priority of the healthcare team. Necessary medical care should never be withheld or delayed due to concerns about the possibility of organ trafficking. If a health professional feels that they are unable to retain objectivity in providing care to a patient </w:t>
      </w:r>
      <w:r w:rsidRPr="006720E4">
        <w:rPr>
          <w:rFonts w:ascii="Calibri" w:hAnsi="Calibri" w:cs="Calibri"/>
          <w:sz w:val="22"/>
          <w:szCs w:val="22"/>
        </w:rPr>
        <w:lastRenderedPageBreak/>
        <w:t xml:space="preserve">known to be a transplant tourist, they should provide all necessary care until the responsibility for care can be transferred to another health professional. </w:t>
      </w:r>
    </w:p>
    <w:p w14:paraId="10712C57" w14:textId="4EF60AFD" w:rsidR="00CE2517" w:rsidRPr="00CE2517" w:rsidRDefault="00CE2517" w:rsidP="00EA22AE">
      <w:pPr>
        <w:spacing w:after="120"/>
        <w:rPr>
          <w:rFonts w:ascii="Calibri" w:hAnsi="Calibri" w:cs="Calibri"/>
          <w:sz w:val="22"/>
          <w:szCs w:val="22"/>
        </w:rPr>
      </w:pPr>
      <w:r w:rsidRPr="00CE2517">
        <w:rPr>
          <w:rFonts w:ascii="Calibri" w:hAnsi="Calibri" w:cs="Calibri"/>
          <w:sz w:val="22"/>
          <w:szCs w:val="22"/>
        </w:rPr>
        <w:t xml:space="preserve">Irrespective of whether a patient may have participated in transplant tourism, health professionals should collect and report available data that would routinely be collected from a transplant recipient </w:t>
      </w:r>
      <w:r>
        <w:rPr>
          <w:rFonts w:ascii="Calibri" w:hAnsi="Calibri" w:cs="Calibri"/>
          <w:sz w:val="22"/>
          <w:szCs w:val="22"/>
        </w:rPr>
        <w:t xml:space="preserve">or donor </w:t>
      </w:r>
      <w:r w:rsidRPr="00CE2517">
        <w:rPr>
          <w:rFonts w:ascii="Calibri" w:hAnsi="Calibri" w:cs="Calibri"/>
          <w:sz w:val="22"/>
          <w:szCs w:val="22"/>
        </w:rPr>
        <w:t>and provide this to the relevant transplant registry.</w:t>
      </w:r>
    </w:p>
    <w:p w14:paraId="0D990CCF" w14:textId="355ABE8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Health professionals may also assist in preventing transplant tourism by collecting and disclosing information about cases of suspected transplant tourism following the return of patients to Australia after receiving transplantation abroad, where information is: </w:t>
      </w:r>
    </w:p>
    <w:p w14:paraId="438D1161" w14:textId="77777777" w:rsidR="006C6EBA" w:rsidRPr="006720E4" w:rsidRDefault="006C6EBA" w:rsidP="00C3783C">
      <w:pPr>
        <w:pStyle w:val="ListParagraph"/>
        <w:numPr>
          <w:ilvl w:val="0"/>
          <w:numId w:val="30"/>
        </w:numPr>
        <w:spacing w:after="120"/>
        <w:contextualSpacing w:val="0"/>
        <w:rPr>
          <w:rFonts w:cs="Calibri"/>
          <w:szCs w:val="22"/>
        </w:rPr>
      </w:pPr>
      <w:r w:rsidRPr="006720E4">
        <w:rPr>
          <w:rFonts w:cs="Calibri"/>
          <w:szCs w:val="22"/>
        </w:rPr>
        <w:t>disclosed to an appropriate authority or data registry subject to ethical governance and protections;</w:t>
      </w:r>
    </w:p>
    <w:p w14:paraId="15E08836" w14:textId="754B0D5D" w:rsidR="006C6EBA" w:rsidRPr="006720E4" w:rsidRDefault="006C6EBA" w:rsidP="00C3783C">
      <w:pPr>
        <w:pStyle w:val="ListParagraph"/>
        <w:numPr>
          <w:ilvl w:val="0"/>
          <w:numId w:val="30"/>
        </w:numPr>
        <w:spacing w:after="120"/>
        <w:contextualSpacing w:val="0"/>
        <w:rPr>
          <w:rFonts w:cs="Calibri"/>
          <w:szCs w:val="22"/>
        </w:rPr>
      </w:pPr>
      <w:r w:rsidRPr="006720E4">
        <w:rPr>
          <w:rFonts w:cs="Calibri"/>
          <w:szCs w:val="22"/>
        </w:rPr>
        <w:t>used to inform efforts to prevent further organ trafficking, not to punish transplant recipients or organ donors who may be victims of human trafficking;</w:t>
      </w:r>
    </w:p>
    <w:p w14:paraId="61D64E84" w14:textId="5B4C92F5" w:rsidR="006C6EBA" w:rsidRPr="006720E4" w:rsidRDefault="006C6EBA" w:rsidP="00C3783C">
      <w:pPr>
        <w:pStyle w:val="ListParagraph"/>
        <w:numPr>
          <w:ilvl w:val="0"/>
          <w:numId w:val="30"/>
        </w:numPr>
        <w:spacing w:after="120"/>
        <w:contextualSpacing w:val="0"/>
        <w:rPr>
          <w:rFonts w:cs="Calibri"/>
          <w:szCs w:val="22"/>
        </w:rPr>
      </w:pPr>
      <w:r w:rsidRPr="006720E4">
        <w:rPr>
          <w:rFonts w:cs="Calibri"/>
          <w:szCs w:val="22"/>
        </w:rPr>
        <w:t xml:space="preserve">disclosed in accordance with relevant privacy laws. </w:t>
      </w:r>
    </w:p>
    <w:p w14:paraId="758F020E" w14:textId="3D28F4F0" w:rsidR="006C6EBA" w:rsidRDefault="006C6EBA" w:rsidP="00EA22AE">
      <w:pPr>
        <w:spacing w:after="120"/>
        <w:rPr>
          <w:rFonts w:ascii="Calibri" w:hAnsi="Calibri" w:cs="Calibri"/>
          <w:sz w:val="22"/>
          <w:szCs w:val="21"/>
        </w:rPr>
      </w:pPr>
      <w:r w:rsidRPr="006720E4">
        <w:rPr>
          <w:rFonts w:ascii="Calibri" w:hAnsi="Calibri" w:cs="Calibri"/>
          <w:sz w:val="22"/>
          <w:szCs w:val="21"/>
        </w:rPr>
        <w:t>Further work is needed to provide a national framework and clear guidance for data collection and reporting that will respect patients’ rights to privacy and confidentiality, while protecting potentially vulnerable participants in trafficking destinations including organ sellers and transplant professionals who may be endangered if they assist in whistleblowing (</w:t>
      </w:r>
      <w:r w:rsidRPr="00471664">
        <w:rPr>
          <w:rFonts w:ascii="Calibri" w:hAnsi="Calibri" w:cs="Calibri"/>
          <w:sz w:val="22"/>
          <w:szCs w:val="21"/>
        </w:rPr>
        <w:t xml:space="preserve">see also </w:t>
      </w:r>
      <w:hyperlink w:anchor="_Reporting_transplant-related_crimes" w:history="1">
        <w:r w:rsidRPr="00471664">
          <w:rPr>
            <w:rStyle w:val="Hyperlink"/>
            <w:rFonts w:ascii="Calibri" w:hAnsi="Calibri" w:cs="Calibri"/>
            <w:sz w:val="22"/>
            <w:szCs w:val="21"/>
          </w:rPr>
          <w:t xml:space="preserve">Chapter </w:t>
        </w:r>
        <w:r w:rsidR="00471664" w:rsidRPr="00471664">
          <w:rPr>
            <w:rStyle w:val="Hyperlink"/>
            <w:rFonts w:ascii="Calibri" w:hAnsi="Calibri" w:cs="Calibri"/>
            <w:sz w:val="22"/>
            <w:szCs w:val="21"/>
          </w:rPr>
          <w:t>10</w:t>
        </w:r>
        <w:r w:rsidRPr="00471664">
          <w:rPr>
            <w:rStyle w:val="Hyperlink"/>
            <w:rFonts w:ascii="Calibri" w:hAnsi="Calibri" w:cs="Calibri"/>
            <w:sz w:val="22"/>
            <w:szCs w:val="21"/>
          </w:rPr>
          <w:t>.6.1.2</w:t>
        </w:r>
      </w:hyperlink>
      <w:r w:rsidRPr="00471664">
        <w:rPr>
          <w:rFonts w:ascii="Calibri" w:hAnsi="Calibri" w:cs="Calibri"/>
          <w:sz w:val="22"/>
          <w:szCs w:val="21"/>
        </w:rPr>
        <w:t xml:space="preserve"> on organ</w:t>
      </w:r>
      <w:r w:rsidRPr="006720E4">
        <w:rPr>
          <w:rFonts w:ascii="Calibri" w:hAnsi="Calibri" w:cs="Calibri"/>
          <w:sz w:val="22"/>
          <w:szCs w:val="21"/>
        </w:rPr>
        <w:t xml:space="preserve"> trafficking).</w:t>
      </w:r>
    </w:p>
    <w:p w14:paraId="530A4677" w14:textId="77777777" w:rsidR="00CE2517" w:rsidRPr="00CE2517" w:rsidRDefault="00CE2517" w:rsidP="00EA22AE">
      <w:pPr>
        <w:spacing w:after="120"/>
        <w:rPr>
          <w:rFonts w:ascii="Calibri" w:hAnsi="Calibri" w:cs="Calibri"/>
          <w:sz w:val="22"/>
          <w:szCs w:val="22"/>
        </w:rPr>
      </w:pPr>
      <w:r w:rsidRPr="00CE2517">
        <w:rPr>
          <w:rFonts w:ascii="Calibri" w:hAnsi="Calibri" w:cs="Calibri"/>
          <w:sz w:val="22"/>
          <w:szCs w:val="22"/>
        </w:rPr>
        <w:t>When providing care to individuals (i.e., donors) who are suspected or known to have been victims of human trafficking for organ removal, the care of the individual should be the first priority. Health professionals should also:</w:t>
      </w:r>
    </w:p>
    <w:p w14:paraId="4C3E36B2" w14:textId="77777777" w:rsidR="00CE2517" w:rsidRPr="00CE2517" w:rsidRDefault="00CE2517" w:rsidP="00C3783C">
      <w:pPr>
        <w:pStyle w:val="ListParagraph"/>
        <w:numPr>
          <w:ilvl w:val="0"/>
          <w:numId w:val="123"/>
        </w:numPr>
        <w:spacing w:after="120"/>
        <w:contextualSpacing w:val="0"/>
        <w:rPr>
          <w:rFonts w:cs="Calibri"/>
          <w:szCs w:val="22"/>
        </w:rPr>
      </w:pPr>
      <w:r w:rsidRPr="00CE2517">
        <w:rPr>
          <w:rFonts w:cs="Calibri"/>
          <w:szCs w:val="22"/>
        </w:rPr>
        <w:t>Collect data that would routinely be collected from a living organ donor and provide this to the relevant donor registry.</w:t>
      </w:r>
    </w:p>
    <w:p w14:paraId="09C520FC" w14:textId="0940690A" w:rsidR="00CE2517" w:rsidRPr="00CE2517" w:rsidRDefault="00CE2517" w:rsidP="00C3783C">
      <w:pPr>
        <w:pStyle w:val="ListParagraph"/>
        <w:numPr>
          <w:ilvl w:val="0"/>
          <w:numId w:val="123"/>
        </w:numPr>
        <w:spacing w:after="120"/>
        <w:contextualSpacing w:val="0"/>
        <w:rPr>
          <w:rFonts w:cs="Calibri"/>
          <w:szCs w:val="22"/>
        </w:rPr>
      </w:pPr>
      <w:r w:rsidRPr="00CE2517">
        <w:rPr>
          <w:rFonts w:cs="Calibri"/>
          <w:szCs w:val="22"/>
        </w:rPr>
        <w:t>Refer the individual to relevant organi</w:t>
      </w:r>
      <w:r w:rsidR="000208BF">
        <w:rPr>
          <w:rFonts w:cs="Calibri"/>
          <w:szCs w:val="22"/>
        </w:rPr>
        <w:t>s</w:t>
      </w:r>
      <w:r w:rsidRPr="00CE2517">
        <w:rPr>
          <w:rFonts w:cs="Calibri"/>
          <w:szCs w:val="22"/>
        </w:rPr>
        <w:t>ations for social support.</w:t>
      </w:r>
    </w:p>
    <w:p w14:paraId="1E6FFBB2" w14:textId="28273158" w:rsidR="00CE2517" w:rsidRPr="00CE2517" w:rsidRDefault="00CE2517" w:rsidP="00C3783C">
      <w:pPr>
        <w:pStyle w:val="ListParagraph"/>
        <w:numPr>
          <w:ilvl w:val="0"/>
          <w:numId w:val="123"/>
        </w:numPr>
        <w:spacing w:after="120"/>
        <w:contextualSpacing w:val="0"/>
        <w:rPr>
          <w:rFonts w:cs="Calibri"/>
          <w:szCs w:val="22"/>
        </w:rPr>
      </w:pPr>
      <w:r w:rsidRPr="00CE2517">
        <w:rPr>
          <w:rFonts w:cs="Calibri"/>
          <w:szCs w:val="22"/>
        </w:rPr>
        <w:t>Consider sharing information with human trafficking authorities</w:t>
      </w:r>
      <w:r>
        <w:rPr>
          <w:rFonts w:cs="Calibri"/>
          <w:szCs w:val="22"/>
        </w:rPr>
        <w:t xml:space="preserve"> in relevant jurisdictions</w:t>
      </w:r>
      <w:r w:rsidRPr="00CE2517">
        <w:rPr>
          <w:rFonts w:cs="Calibri"/>
          <w:szCs w:val="22"/>
        </w:rPr>
        <w:t>.</w:t>
      </w:r>
    </w:p>
    <w:p w14:paraId="0A4EC6B4" w14:textId="77777777" w:rsidR="006C6EBA" w:rsidRPr="006720E4" w:rsidRDefault="006C6EBA" w:rsidP="00EA22AE">
      <w:pPr>
        <w:pStyle w:val="Heading3"/>
        <w:spacing w:after="120"/>
      </w:pPr>
      <w:bookmarkStart w:id="4186" w:name="_People_traveling_to"/>
      <w:bookmarkStart w:id="4187" w:name="_Toc73301792"/>
      <w:bookmarkStart w:id="4188" w:name="_Toc73302298"/>
      <w:bookmarkStart w:id="4189" w:name="_Toc73303431"/>
      <w:bookmarkStart w:id="4190" w:name="_Toc73303649"/>
      <w:bookmarkStart w:id="4191" w:name="_Toc74080766"/>
      <w:bookmarkStart w:id="4192" w:name="_Toc74081074"/>
      <w:bookmarkStart w:id="4193" w:name="_Toc74081304"/>
      <w:bookmarkStart w:id="4194" w:name="_Toc74081576"/>
      <w:bookmarkStart w:id="4195" w:name="_Toc74171135"/>
      <w:bookmarkStart w:id="4196" w:name="_Toc74172353"/>
      <w:bookmarkStart w:id="4197" w:name="_Toc74172889"/>
      <w:bookmarkStart w:id="4198" w:name="_Toc74238809"/>
      <w:bookmarkStart w:id="4199" w:name="_Toc79406464"/>
      <w:bookmarkStart w:id="4200" w:name="_Toc82773703"/>
      <w:bookmarkStart w:id="4201" w:name="_Toc82774056"/>
      <w:bookmarkEnd w:id="4186"/>
      <w:r w:rsidRPr="006720E4">
        <w:t>People traveling to Australia for organ or tissue donation or transplantation</w:t>
      </w:r>
      <w:bookmarkEnd w:id="4163"/>
      <w:bookmarkEnd w:id="4164"/>
      <w:bookmarkEnd w:id="4165"/>
      <w:bookmarkEnd w:id="4166"/>
      <w:bookmarkEnd w:id="4167"/>
      <w:bookmarkEnd w:id="4168"/>
      <w:bookmarkEnd w:id="4169"/>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p>
    <w:p w14:paraId="0B29A55C" w14:textId="5248C85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Although, in the past Australia has permitted some foreign nationals to travel to Australia to await organ transplantation,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{"citationItems":[{"id":"ITEM-1","itemData":{"DOI":"10.1016/j.kint.2019.01.006","ISSN":"15231755","PMID":"30904066","author":[{"dropping-particle":"","family":"Martin","given":"Dominique E.","non-dropping-particle":"","parse-names":false,"suffix":""},{"dropping-particle":"","family":"Assche","given":"Kristof","non-dropping-particle":"Van","parse-names":false,"suffix":""},{"dropping-particle":"","family":"Domínguez-Gil","given":"Beatriz","non-dropping-particle":"","parse-names":false,"suffix":""},{"dropping-particle":"","family":"López-Fraga","given":"Marta","non-dropping-particle":"","parse-names":false,"suffix":""},{"dropping-particle":"","family":"Garcia Gallont","given":"Rudolf","non-dropping-particle":"","parse-names":false,"suffix":""},{"dropping-particle":"","family":"Muller","given":"Elmi","non-dropping-particle":"","parse-names":false,"suffix":""},{"dropping-particle":"","family":"Rondeau","given":"Eric","non-dropping-particle":"","parse-names":false,"suffix":""},{"dropping-particle":"","family":"Capron","given":"Alexander M.","non-dropping-particle":"","parse-names":false,"suffix":""}],"container-title":"Kidney International","id":"ITEM-1","issue":"4","issued":{"date-parts":[["2019"]]},"page":"757-759","title":"A new edition of the Declaration of Istanbul: updated guidance to combat organ trafficking and transplant tourism worldwide","type":"article-journal","volume":"95"},"uris":["http://www.mendeley.com/documents/?uuid=37cc9411-2f01-4000-8e7f-a7c78a631192"]}],"mendeley":{"formattedCitation":"(153)","plainTextFormattedCitation":"(153)","previouslyFormattedCitation":"(153)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(153)</w:t>
      </w:r>
      <w:r w:rsidRPr="006720E4">
        <w:rPr>
          <w:rFonts w:ascii="Calibri" w:hAnsi="Calibri" w:cs="Calibri"/>
          <w:sz w:val="22"/>
          <w:szCs w:val="22"/>
        </w:rPr>
        <w:fldChar w:fldCharType="end"/>
      </w:r>
      <w:r w:rsidRPr="006720E4">
        <w:rPr>
          <w:rFonts w:ascii="Calibri" w:hAnsi="Calibri" w:cs="Calibri"/>
          <w:sz w:val="22"/>
          <w:szCs w:val="22"/>
        </w:rPr>
        <w:t xml:space="preserve"> Australia is not a popular destination for organ transplant travel as deceased donor organs allocated are not </w:t>
      </w:r>
      <w:r w:rsidRPr="00471664">
        <w:rPr>
          <w:rFonts w:ascii="Calibri" w:hAnsi="Calibri" w:cs="Calibri"/>
          <w:sz w:val="22"/>
          <w:szCs w:val="22"/>
        </w:rPr>
        <w:t xml:space="preserve">usually available to foreign patients who travel for the purpose of accessing a transplantation (see </w:t>
      </w:r>
      <w:hyperlink w:anchor="_Foreign_transplant_candidates"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.4.5</w:t>
        </w:r>
      </w:hyperlink>
      <w:r w:rsidRPr="00471664">
        <w:rPr>
          <w:rFonts w:ascii="Calibri" w:hAnsi="Calibri" w:cs="Calibri"/>
          <w:sz w:val="22"/>
          <w:szCs w:val="22"/>
        </w:rPr>
        <w:t>).</w:t>
      </w:r>
      <w:r w:rsidRPr="006720E4">
        <w:rPr>
          <w:rFonts w:ascii="Calibri" w:hAnsi="Calibri" w:cs="Calibri"/>
          <w:sz w:val="22"/>
          <w:szCs w:val="22"/>
        </w:rPr>
        <w:t xml:space="preserve"> </w:t>
      </w:r>
    </w:p>
    <w:p w14:paraId="57B97637" w14:textId="2A42B0F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People traveling for transplantation with a prospective living organ donor may also be more likely to choose transplantation centres closer to their own countries that actively recruit foreign transplant patients, such as </w:t>
      </w:r>
      <w:r w:rsidR="00307A30">
        <w:rPr>
          <w:rFonts w:ascii="Calibri" w:hAnsi="Calibri" w:cs="Calibri"/>
          <w:sz w:val="22"/>
          <w:szCs w:val="22"/>
        </w:rPr>
        <w:t xml:space="preserve">some </w:t>
      </w:r>
      <w:r w:rsidRPr="006720E4">
        <w:rPr>
          <w:rFonts w:ascii="Calibri" w:hAnsi="Calibri" w:cs="Calibri"/>
          <w:sz w:val="22"/>
          <w:szCs w:val="22"/>
        </w:rPr>
        <w:t xml:space="preserve">transplant centres in India, Singapore or the United States. It is nevertheless possible that some people may seek to travel to Australia for the purpose of undergoing living donor organ transplantation with their own directed living donor. In small numbers, such patients are unlikely to jeopardise the ability of Australian transplant programs to meet the needs of local patients, but care should be taken to ensure this does not occur, and to ensure that stringent efforts are made when evaluating foreign donors or recipients to identify and address possible risk factors for organ </w:t>
      </w:r>
      <w:r w:rsidRPr="00471664">
        <w:rPr>
          <w:rFonts w:ascii="Calibri" w:hAnsi="Calibri" w:cs="Calibri"/>
          <w:sz w:val="22"/>
          <w:szCs w:val="22"/>
        </w:rPr>
        <w:t xml:space="preserve">trafficking (see </w:t>
      </w:r>
      <w:hyperlink w:anchor="_Prevention_of_organ"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10</w:t>
        </w:r>
        <w:r w:rsidRPr="00471664">
          <w:rPr>
            <w:rStyle w:val="Hyperlink"/>
            <w:rFonts w:ascii="Calibri" w:hAnsi="Calibri" w:cs="Calibri"/>
            <w:sz w:val="22"/>
            <w:szCs w:val="22"/>
          </w:rPr>
          <w:t>.6.1.1</w:t>
        </w:r>
      </w:hyperlink>
      <w:r w:rsidRPr="00471664">
        <w:rPr>
          <w:rFonts w:ascii="Calibri" w:hAnsi="Calibri" w:cs="Calibri"/>
          <w:sz w:val="22"/>
          <w:szCs w:val="22"/>
        </w:rPr>
        <w:t>).</w:t>
      </w:r>
    </w:p>
    <w:p w14:paraId="00F8F3E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people who travel to Australia for the purpose of accessing health care services may do so in order to access tissue transplants that are not available in their own country, or they may be incidentally offered tissue transplantation as part of another therapeutic procedure. Although tissue transplants are more readily available than organs it is important that monitoring of tissue </w:t>
      </w:r>
      <w:r w:rsidRPr="006720E4">
        <w:rPr>
          <w:rFonts w:ascii="Calibri" w:hAnsi="Calibri" w:cs="Calibri"/>
          <w:sz w:val="22"/>
          <w:szCs w:val="22"/>
        </w:rPr>
        <w:lastRenderedPageBreak/>
        <w:t xml:space="preserve">transplant activities evaluates the potential impact of foreign patients on supply and distribution of donor tissues in Australia. </w:t>
      </w:r>
    </w:p>
    <w:p w14:paraId="1A377C55" w14:textId="77777777" w:rsidR="00CE2517" w:rsidRPr="00CE2517" w:rsidRDefault="00CE2517" w:rsidP="00EA22AE">
      <w:pPr>
        <w:spacing w:after="120"/>
        <w:rPr>
          <w:rFonts w:ascii="Calibri" w:hAnsi="Calibri" w:cs="Calibri"/>
          <w:sz w:val="22"/>
          <w:szCs w:val="22"/>
        </w:rPr>
      </w:pPr>
      <w:r w:rsidRPr="00CE2517">
        <w:rPr>
          <w:rFonts w:ascii="Calibri" w:hAnsi="Calibri" w:cs="Calibri"/>
          <w:sz w:val="22"/>
          <w:szCs w:val="22"/>
        </w:rPr>
        <w:t>Access to tissue transplants within Australia may be provided to individuals who travel to Australia for the primary purpose of accessing tissue transplantation, or who require a tissue transplant while visiting Australia in some circumstances, if:</w:t>
      </w:r>
    </w:p>
    <w:p w14:paraId="5DA99621" w14:textId="77777777" w:rsidR="00CE2517" w:rsidRPr="00CE2517" w:rsidRDefault="00CE2517" w:rsidP="00C3783C">
      <w:pPr>
        <w:pStyle w:val="ListParagraph"/>
        <w:numPr>
          <w:ilvl w:val="0"/>
          <w:numId w:val="123"/>
        </w:numPr>
        <w:spacing w:after="120"/>
        <w:contextualSpacing w:val="0"/>
        <w:rPr>
          <w:rFonts w:cs="Calibri"/>
          <w:szCs w:val="22"/>
        </w:rPr>
      </w:pPr>
      <w:r w:rsidRPr="00CE2517">
        <w:rPr>
          <w:rFonts w:cs="Calibri"/>
          <w:szCs w:val="22"/>
        </w:rPr>
        <w:t>Providing the transplant will not undermine the ability to provide necessary tissue transplants for patients who are resident within Australia.</w:t>
      </w:r>
    </w:p>
    <w:p w14:paraId="1893EEB4" w14:textId="77777777" w:rsidR="00CE2517" w:rsidRDefault="00CE2517" w:rsidP="00C3783C">
      <w:pPr>
        <w:pStyle w:val="ListParagraph"/>
        <w:numPr>
          <w:ilvl w:val="0"/>
          <w:numId w:val="123"/>
        </w:numPr>
        <w:spacing w:after="120"/>
        <w:contextualSpacing w:val="0"/>
        <w:rPr>
          <w:rFonts w:cs="Calibri"/>
          <w:szCs w:val="22"/>
        </w:rPr>
      </w:pPr>
      <w:r w:rsidRPr="00CE2517">
        <w:rPr>
          <w:rFonts w:cs="Calibri"/>
          <w:szCs w:val="22"/>
        </w:rPr>
        <w:t>Evaluation of the person demonstrates that they will be able to access any necessary follow up care on returning to their home country.</w:t>
      </w:r>
    </w:p>
    <w:p w14:paraId="73CD933B" w14:textId="1B9F6850" w:rsidR="00CE2517" w:rsidRDefault="00CE2517" w:rsidP="00EA22AE">
      <w:pPr>
        <w:spacing w:after="120"/>
        <w:rPr>
          <w:rFonts w:ascii="Calibri" w:hAnsi="Calibri" w:cs="Calibri"/>
          <w:sz w:val="22"/>
          <w:szCs w:val="22"/>
        </w:rPr>
      </w:pPr>
      <w:r w:rsidRPr="00CE2517">
        <w:rPr>
          <w:rFonts w:ascii="Calibri" w:hAnsi="Calibri" w:cs="Calibri"/>
          <w:sz w:val="22"/>
          <w:szCs w:val="22"/>
        </w:rPr>
        <w:t xml:space="preserve">Health professionals providing care to foreign patients receiving transplants in Australia or to individuals who travel to Australia for the purpose of making a living directed donation to a transplant candidate resident in Australia should also be mindful of the ethical obligations outlined in </w:t>
      </w:r>
      <w:hyperlink w:anchor="_Australians_traveling_overseas" w:history="1">
        <w:r w:rsidRPr="00CE2517">
          <w:rPr>
            <w:rStyle w:val="Hyperlink"/>
            <w:rFonts w:ascii="Calibri" w:hAnsi="Calibri" w:cs="Calibri"/>
            <w:sz w:val="22"/>
            <w:szCs w:val="22"/>
          </w:rPr>
          <w:t>Chapter 9.4.2</w:t>
        </w:r>
      </w:hyperlink>
      <w:r w:rsidRPr="00CE2517">
        <w:rPr>
          <w:rFonts w:ascii="Calibri" w:hAnsi="Calibri" w:cs="Calibri"/>
          <w:sz w:val="22"/>
          <w:szCs w:val="22"/>
        </w:rPr>
        <w:t>.</w:t>
      </w:r>
      <w:bookmarkStart w:id="4202" w:name="_Obligations_of_health"/>
      <w:bookmarkEnd w:id="4202"/>
      <w:r w:rsidRPr="00CE2517">
        <w:rPr>
          <w:rFonts w:ascii="Calibri" w:hAnsi="Calibri" w:cs="Calibri"/>
          <w:sz w:val="22"/>
          <w:szCs w:val="22"/>
        </w:rPr>
        <w:t xml:space="preserve"> </w:t>
      </w:r>
    </w:p>
    <w:p w14:paraId="66C7143C" w14:textId="4B7526D4" w:rsidR="00CE2517" w:rsidRPr="00CE2517" w:rsidRDefault="00CE2517" w:rsidP="00EA22AE">
      <w:pPr>
        <w:spacing w:after="120"/>
        <w:rPr>
          <w:rFonts w:ascii="Calibri" w:hAnsi="Calibri" w:cs="Calibri"/>
          <w:sz w:val="22"/>
          <w:szCs w:val="22"/>
        </w:rPr>
      </w:pPr>
      <w:r w:rsidRPr="00CE2517">
        <w:rPr>
          <w:rFonts w:ascii="Calibri" w:hAnsi="Calibri" w:cs="Calibri"/>
          <w:sz w:val="22"/>
          <w:szCs w:val="22"/>
        </w:rPr>
        <w:t>In all circumstances where foreign residents are granted access to cell, tissue or organ transplants within Australia, these transplants should be documented and data collected and reported to the relevant transplant registries, with information regarding the residency status of the recipient.</w:t>
      </w:r>
    </w:p>
    <w:p w14:paraId="3550D79A" w14:textId="77777777" w:rsidR="006C6EBA" w:rsidRPr="006720E4" w:rsidRDefault="006C6EBA" w:rsidP="00EA22AE">
      <w:pPr>
        <w:pStyle w:val="Heading3"/>
        <w:spacing w:after="120"/>
      </w:pPr>
      <w:bookmarkStart w:id="4203" w:name="_Obligations_of_health_1"/>
      <w:bookmarkStart w:id="4204" w:name="_Unplanned_donation_by"/>
      <w:bookmarkStart w:id="4205" w:name="_Toc63683484"/>
      <w:bookmarkStart w:id="4206" w:name="_Toc70241832"/>
      <w:bookmarkStart w:id="4207" w:name="_Toc70243467"/>
      <w:bookmarkStart w:id="4208" w:name="_Toc70414937"/>
      <w:bookmarkStart w:id="4209" w:name="_Toc70844255"/>
      <w:bookmarkStart w:id="4210" w:name="_Toc72615194"/>
      <w:bookmarkStart w:id="4211" w:name="_Toc73129922"/>
      <w:bookmarkStart w:id="4212" w:name="_Toc73301794"/>
      <w:bookmarkStart w:id="4213" w:name="_Toc73302300"/>
      <w:bookmarkStart w:id="4214" w:name="_Toc73303433"/>
      <w:bookmarkStart w:id="4215" w:name="_Toc73303651"/>
      <w:bookmarkStart w:id="4216" w:name="_Toc74080768"/>
      <w:bookmarkStart w:id="4217" w:name="_Toc74081076"/>
      <w:bookmarkStart w:id="4218" w:name="_Toc74081306"/>
      <w:bookmarkStart w:id="4219" w:name="_Toc74081578"/>
      <w:bookmarkStart w:id="4220" w:name="_Toc74171137"/>
      <w:bookmarkStart w:id="4221" w:name="_Toc74172355"/>
      <w:bookmarkStart w:id="4222" w:name="_Toc74172891"/>
      <w:bookmarkStart w:id="4223" w:name="_Toc74238811"/>
      <w:bookmarkStart w:id="4224" w:name="_Toc79406465"/>
      <w:bookmarkStart w:id="4225" w:name="_Toc82773704"/>
      <w:bookmarkStart w:id="4226" w:name="_Toc82774057"/>
      <w:bookmarkEnd w:id="4203"/>
      <w:bookmarkEnd w:id="4204"/>
      <w:r w:rsidRPr="006720E4">
        <w:t>Unplanned donation by or transplantation of travellers in Australia</w:t>
      </w:r>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p>
    <w:p w14:paraId="796BFEE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Rarely, people who have travelled to Australia for non-transplant related reasons, and who are not citizens or permanent residents, may unexpectedly develop a need for transplantation. For example, tourists or refugees, or other longer-term residents who do not have permanent residency or citizenship status.</w:t>
      </w:r>
    </w:p>
    <w:p w14:paraId="3F1E69C3" w14:textId="4AE126C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these “foreign” individuals develop an urgent and serious need for organ transplantation and are clinically suitable for transplantation, some may be granted access to the waiting list for deceased donor organs on the grounds that “exceptional circumstances” </w:t>
      </w:r>
      <w:r w:rsidRPr="00471664">
        <w:rPr>
          <w:rFonts w:ascii="Calibri" w:hAnsi="Calibri" w:cs="Calibri"/>
          <w:sz w:val="22"/>
          <w:szCs w:val="22"/>
        </w:rPr>
        <w:t xml:space="preserve">apply (see also </w:t>
      </w:r>
      <w:hyperlink w:anchor="_Equity_in_access_1"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8</w:t>
        </w:r>
        <w:r w:rsidRPr="00471664">
          <w:rPr>
            <w:rStyle w:val="Hyperlink"/>
            <w:rFonts w:ascii="Calibri" w:hAnsi="Calibri" w:cs="Calibri"/>
            <w:sz w:val="22"/>
            <w:szCs w:val="22"/>
          </w:rPr>
          <w:t>.3.3</w:t>
        </w:r>
      </w:hyperlink>
      <w:r w:rsidRPr="00471664">
        <w:rPr>
          <w:rFonts w:ascii="Calibri" w:hAnsi="Calibri" w:cs="Calibri"/>
          <w:sz w:val="22"/>
          <w:szCs w:val="22"/>
        </w:rPr>
        <w:t>).</w:t>
      </w:r>
      <w:r w:rsidRPr="006720E4">
        <w:rPr>
          <w:rFonts w:ascii="Calibri" w:hAnsi="Calibri" w:cs="Calibri"/>
          <w:sz w:val="22"/>
          <w:szCs w:val="22"/>
        </w:rPr>
        <w:t xml:space="preserve"> </w:t>
      </w:r>
    </w:p>
    <w:p w14:paraId="0CCC3E47" w14:textId="4B37275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general, the conditions of permitting foreign patients to join the deceased donor organ transplant waiting list would include the following:</w:t>
      </w:r>
    </w:p>
    <w:p w14:paraId="127DD481" w14:textId="77777777" w:rsidR="006C6EBA" w:rsidRPr="006720E4" w:rsidRDefault="006C6EBA" w:rsidP="00C3783C">
      <w:pPr>
        <w:pStyle w:val="ListParagraph"/>
        <w:numPr>
          <w:ilvl w:val="0"/>
          <w:numId w:val="29"/>
        </w:numPr>
        <w:spacing w:after="120"/>
        <w:contextualSpacing w:val="0"/>
        <w:rPr>
          <w:rFonts w:cs="Calibri"/>
          <w:szCs w:val="22"/>
        </w:rPr>
      </w:pPr>
      <w:r w:rsidRPr="006720E4">
        <w:rPr>
          <w:rFonts w:cs="Calibri"/>
          <w:szCs w:val="22"/>
        </w:rPr>
        <w:t>The person is clinically suitable for transplantation, has a serious and urgent need for transplantation, and is unable to return to their home country or access alternatives such as a living donor transplant.</w:t>
      </w:r>
    </w:p>
    <w:p w14:paraId="004E20E0" w14:textId="77777777" w:rsidR="006C6EBA" w:rsidRPr="006720E4" w:rsidRDefault="006C6EBA" w:rsidP="00C3783C">
      <w:pPr>
        <w:pStyle w:val="ListParagraph"/>
        <w:numPr>
          <w:ilvl w:val="0"/>
          <w:numId w:val="29"/>
        </w:numPr>
        <w:spacing w:after="120"/>
        <w:contextualSpacing w:val="0"/>
        <w:rPr>
          <w:rFonts w:cs="Calibri"/>
          <w:szCs w:val="22"/>
        </w:rPr>
      </w:pPr>
      <w:r w:rsidRPr="006720E4">
        <w:rPr>
          <w:rFonts w:cs="Calibri"/>
          <w:szCs w:val="22"/>
        </w:rPr>
        <w:t xml:space="preserve">At the time of traveling to Australia, the person could not foreseeably have known that they would develop a need for transplantation during their time in Australia, or has clearly travelled for a different purpose, i.e., the person has not travelled to Australia for the purpose of obtaining an organ transplant. </w:t>
      </w:r>
    </w:p>
    <w:p w14:paraId="504FD3D7" w14:textId="6543DA8B" w:rsidR="006C6EBA" w:rsidRPr="006720E4" w:rsidRDefault="006C6EBA" w:rsidP="00C3783C">
      <w:pPr>
        <w:pStyle w:val="ListParagraph"/>
        <w:numPr>
          <w:ilvl w:val="0"/>
          <w:numId w:val="29"/>
        </w:numPr>
        <w:spacing w:after="120"/>
        <w:contextualSpacing w:val="0"/>
        <w:rPr>
          <w:rFonts w:cs="Calibri"/>
          <w:szCs w:val="22"/>
        </w:rPr>
      </w:pPr>
      <w:r w:rsidRPr="006720E4">
        <w:rPr>
          <w:rFonts w:cs="Calibri"/>
          <w:szCs w:val="22"/>
        </w:rPr>
        <w:t xml:space="preserve">Evaluation of the person </w:t>
      </w:r>
      <w:r w:rsidR="000770FF">
        <w:rPr>
          <w:rFonts w:cs="Calibri"/>
          <w:szCs w:val="22"/>
        </w:rPr>
        <w:t>indicates</w:t>
      </w:r>
      <w:r w:rsidRPr="006720E4">
        <w:rPr>
          <w:rFonts w:cs="Calibri"/>
          <w:szCs w:val="22"/>
        </w:rPr>
        <w:t xml:space="preserve"> they will be able to access follow up care including transplant medications in their home country that will ensure the viability of their graft.</w:t>
      </w:r>
    </w:p>
    <w:p w14:paraId="217ECE3A" w14:textId="17A9EDC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Granting unplanned ‘</w:t>
      </w:r>
      <w:hyperlink w:anchor="_Glossary_2" w:history="1">
        <w:r w:rsidRPr="006720E4">
          <w:rPr>
            <w:rStyle w:val="Hyperlink"/>
            <w:rFonts w:ascii="Calibri" w:hAnsi="Calibri" w:cs="Calibri"/>
            <w:sz w:val="22"/>
            <w:szCs w:val="22"/>
          </w:rPr>
          <w:t>compassionate access’</w:t>
        </w:r>
      </w:hyperlink>
      <w:r w:rsidRPr="006720E4">
        <w:rPr>
          <w:rFonts w:ascii="Calibri" w:hAnsi="Calibri" w:cs="Calibri"/>
          <w:sz w:val="22"/>
          <w:szCs w:val="22"/>
        </w:rPr>
        <w:t xml:space="preserve"> of this kind to travellers to Australia may in rare cases lead to a delayed or even missed opportunity for transplantation by an Australian resident, for example if a foreign patient is in more urgent need of a life-saving transplant than a local patient who then does not receive a suitably matched organ in time to save their own life. This may suggest that unplanned compassionate transplant offers are ethically inconsistent with the goals and values of policies aimed at achieving self-sufficiency in donation and transplantation. However, two key ethical considerations support the provision of unplanned compassionate access in exceptional circumstances.</w:t>
      </w:r>
    </w:p>
    <w:p w14:paraId="18BA573F" w14:textId="77777777" w:rsidR="006C6EBA" w:rsidRPr="006720E4" w:rsidRDefault="006C6EBA" w:rsidP="00EA22AE">
      <w:pPr>
        <w:pStyle w:val="ListParagraph"/>
        <w:numPr>
          <w:ilvl w:val="0"/>
          <w:numId w:val="18"/>
        </w:numPr>
        <w:spacing w:after="120"/>
        <w:contextualSpacing w:val="0"/>
        <w:rPr>
          <w:rFonts w:cs="Calibri"/>
          <w:szCs w:val="22"/>
        </w:rPr>
      </w:pPr>
      <w:r w:rsidRPr="006720E4">
        <w:rPr>
          <w:rFonts w:cs="Calibri"/>
          <w:szCs w:val="22"/>
        </w:rPr>
        <w:t xml:space="preserve">First, Australian residents who are traveling abroad in other countries may also on occasion benefit from similar compassionate access policies. </w:t>
      </w:r>
    </w:p>
    <w:p w14:paraId="3FB1CD00" w14:textId="4CA9117A" w:rsidR="006C6EBA" w:rsidRPr="006720E4" w:rsidRDefault="006C6EBA" w:rsidP="00EA22AE">
      <w:pPr>
        <w:pStyle w:val="ListParagraph"/>
        <w:numPr>
          <w:ilvl w:val="0"/>
          <w:numId w:val="18"/>
        </w:numPr>
        <w:spacing w:after="120"/>
        <w:contextualSpacing w:val="0"/>
        <w:rPr>
          <w:rFonts w:cs="Calibri"/>
          <w:szCs w:val="22"/>
        </w:rPr>
      </w:pPr>
      <w:r w:rsidRPr="006720E4">
        <w:rPr>
          <w:rFonts w:cs="Calibri"/>
          <w:szCs w:val="22"/>
        </w:rPr>
        <w:lastRenderedPageBreak/>
        <w:t xml:space="preserve">Second, travellers to Australia may on rare occasions contribute to the deceased donation program if they die unexpectedly during their visit and their family makes a decision for them to donate. Similarly, Australian residents have occasionally become deceased donors while traveling in other countries. Unplanned compassionate access policies may therefore be underpinned by reciprocity and solidarity. </w:t>
      </w:r>
    </w:p>
    <w:p w14:paraId="23124CEC" w14:textId="2938F7D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Planned compassionate access for international transplant </w:t>
      </w:r>
      <w:r w:rsidRPr="00471664">
        <w:rPr>
          <w:rFonts w:ascii="Calibri" w:hAnsi="Calibri" w:cs="Calibri"/>
          <w:sz w:val="22"/>
          <w:szCs w:val="22"/>
        </w:rPr>
        <w:t xml:space="preserve">candidates is explored in </w:t>
      </w:r>
      <w:hyperlink w:anchor="_Compassionate_access_for"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9</w:t>
        </w:r>
        <w:r w:rsidRPr="00471664">
          <w:rPr>
            <w:rStyle w:val="Hyperlink"/>
            <w:rFonts w:ascii="Calibri" w:hAnsi="Calibri" w:cs="Calibri"/>
            <w:sz w:val="22"/>
            <w:szCs w:val="22"/>
          </w:rPr>
          <w:t>.4.5</w:t>
        </w:r>
      </w:hyperlink>
      <w:r w:rsidRPr="00471664">
        <w:rPr>
          <w:rFonts w:ascii="Calibri" w:hAnsi="Calibri" w:cs="Calibri"/>
          <w:sz w:val="22"/>
          <w:szCs w:val="22"/>
        </w:rPr>
        <w:t>.</w:t>
      </w:r>
    </w:p>
    <w:p w14:paraId="101DBDFF" w14:textId="77777777" w:rsidR="006C6EBA" w:rsidRPr="006720E4" w:rsidRDefault="006C6EBA" w:rsidP="00EA22AE">
      <w:pPr>
        <w:pStyle w:val="Heading3"/>
        <w:spacing w:after="120"/>
      </w:pPr>
      <w:bookmarkStart w:id="4227" w:name="_Compassionate_access_for"/>
      <w:bookmarkStart w:id="4228" w:name="_Foreign_transplant_candidates"/>
      <w:bookmarkStart w:id="4229" w:name="_Toc70414938"/>
      <w:bookmarkStart w:id="4230" w:name="_Toc70844256"/>
      <w:bookmarkStart w:id="4231" w:name="_Toc72615195"/>
      <w:bookmarkStart w:id="4232" w:name="_Toc73129923"/>
      <w:bookmarkStart w:id="4233" w:name="_Toc73301795"/>
      <w:bookmarkStart w:id="4234" w:name="_Toc73302301"/>
      <w:bookmarkStart w:id="4235" w:name="_Toc73303434"/>
      <w:bookmarkStart w:id="4236" w:name="_Toc73303652"/>
      <w:bookmarkStart w:id="4237" w:name="_Toc74080769"/>
      <w:bookmarkStart w:id="4238" w:name="_Toc74081077"/>
      <w:bookmarkStart w:id="4239" w:name="_Toc74081307"/>
      <w:bookmarkStart w:id="4240" w:name="_Toc74081579"/>
      <w:bookmarkStart w:id="4241" w:name="_Toc74171138"/>
      <w:bookmarkStart w:id="4242" w:name="_Toc74172356"/>
      <w:bookmarkStart w:id="4243" w:name="_Toc74172892"/>
      <w:bookmarkStart w:id="4244" w:name="_Toc74238812"/>
      <w:bookmarkStart w:id="4245" w:name="_Toc79406466"/>
      <w:bookmarkStart w:id="4246" w:name="_Toc82773705"/>
      <w:bookmarkStart w:id="4247" w:name="_Toc82774058"/>
      <w:bookmarkEnd w:id="4227"/>
      <w:bookmarkEnd w:id="4228"/>
      <w:r w:rsidRPr="006720E4">
        <w:t>Foreign transplant candidates who plan travel for the purpose of transplantation</w:t>
      </w:r>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p>
    <w:p w14:paraId="600EA552" w14:textId="0D105DE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important to ensure that ‘compassionate access’ policies are not exploited by individuals seeking to take advantage of the availability of deceased donor organs and tissues in other countries. While it is understandable that people who are unable to obtain a timely transplant in their own country might wish to seek one in Australia, providing organs or tissues to those individuals – even if Australia had a more plentiful supply of donor organs – may be inconsistent with principles of equity in allocation. Those who are able to travel for the purpose of transplantation may not represent those who are most in clinical need of transplantation, and/or most likely to benefit from transplantation. </w:t>
      </w:r>
    </w:p>
    <w:p w14:paraId="4246492B" w14:textId="044B3181" w:rsidR="006C6EBA" w:rsidRPr="000770FF" w:rsidRDefault="006C6EBA" w:rsidP="000770FF">
      <w:pPr>
        <w:spacing w:after="120"/>
        <w:rPr>
          <w:rFonts w:ascii="Calibri" w:hAnsi="Calibri" w:cs="Calibri"/>
          <w:sz w:val="22"/>
          <w:szCs w:val="22"/>
        </w:rPr>
      </w:pPr>
      <w:r w:rsidRPr="006720E4">
        <w:rPr>
          <w:rFonts w:ascii="Calibri" w:hAnsi="Calibri" w:cs="Calibri"/>
          <w:sz w:val="22"/>
          <w:szCs w:val="22"/>
        </w:rPr>
        <w:t xml:space="preserve">If wealthy patients are able to travel abroad to access deceased donor transplantation, this may also undermine efforts to establish effective deceased donation programs in their own country. For example, it may reduce political pressure on health authorities to invest in deceased donation programs in their home countries. </w:t>
      </w:r>
      <w:bookmarkStart w:id="4248" w:name="_Ethical_obligations_of"/>
      <w:bookmarkStart w:id="4249" w:name="_Unplanned_donation_or"/>
      <w:bookmarkStart w:id="4250" w:name="_Commodification_of_organs_1"/>
      <w:bookmarkStart w:id="4251" w:name="_Commodification_of_organs_2"/>
      <w:bookmarkStart w:id="4252" w:name="_Toc63683464"/>
      <w:bookmarkStart w:id="4253" w:name="_Toc70241809"/>
      <w:bookmarkStart w:id="4254" w:name="_Toc70243444"/>
      <w:bookmarkStart w:id="4255" w:name="_Toc70328760"/>
      <w:bookmarkStart w:id="4256" w:name="_Toc70333990"/>
      <w:bookmarkStart w:id="4257" w:name="_Toc70414941"/>
      <w:bookmarkStart w:id="4258" w:name="_Toc70844259"/>
      <w:bookmarkStart w:id="4259" w:name="_Toc70859018"/>
      <w:bookmarkStart w:id="4260" w:name="_Toc70861119"/>
      <w:bookmarkStart w:id="4261" w:name="_Toc70876604"/>
      <w:bookmarkStart w:id="4262" w:name="_Toc72615198"/>
      <w:bookmarkStart w:id="4263" w:name="_Toc73129925"/>
      <w:bookmarkStart w:id="4264" w:name="_Toc73301797"/>
      <w:bookmarkStart w:id="4265" w:name="_Toc73302303"/>
      <w:bookmarkStart w:id="4266" w:name="_Toc73303436"/>
      <w:bookmarkStart w:id="4267" w:name="_Toc73303654"/>
      <w:bookmarkStart w:id="4268" w:name="_Toc74080771"/>
      <w:bookmarkStart w:id="4269" w:name="_Toc74081079"/>
      <w:bookmarkStart w:id="4270" w:name="_Toc74081309"/>
      <w:bookmarkStart w:id="4271" w:name="_Toc74081581"/>
      <w:bookmarkStart w:id="4272" w:name="_Toc74171140"/>
      <w:bookmarkStart w:id="4273" w:name="_Toc74172358"/>
      <w:bookmarkStart w:id="4274" w:name="_Toc74172894"/>
      <w:bookmarkStart w:id="4275" w:name="_Toc74238814"/>
      <w:bookmarkStart w:id="4276" w:name="_Toc78304793"/>
      <w:bookmarkEnd w:id="4248"/>
      <w:bookmarkEnd w:id="4249"/>
      <w:bookmarkEnd w:id="4250"/>
      <w:bookmarkEnd w:id="4251"/>
    </w:p>
    <w:p w14:paraId="769B84E9" w14:textId="12A1F5F2" w:rsidR="006C6EBA" w:rsidRPr="006720E4" w:rsidRDefault="006C6EBA" w:rsidP="00EA22AE">
      <w:pPr>
        <w:pStyle w:val="Heading1"/>
      </w:pPr>
      <w:bookmarkStart w:id="4277" w:name="_Commodification_of_cells,"/>
      <w:bookmarkStart w:id="4278" w:name="_Commodification_of_cells,_1"/>
      <w:bookmarkStart w:id="4279" w:name="_Toc79330891"/>
      <w:bookmarkStart w:id="4280" w:name="_Toc79331271"/>
      <w:bookmarkStart w:id="4281" w:name="_Toc79406467"/>
      <w:bookmarkStart w:id="4282" w:name="_Toc82773706"/>
      <w:bookmarkStart w:id="4283" w:name="_Toc82774059"/>
      <w:bookmarkStart w:id="4284" w:name="_Toc128314232"/>
      <w:bookmarkStart w:id="4285" w:name="_Toc135131477"/>
      <w:bookmarkEnd w:id="4277"/>
      <w:bookmarkEnd w:id="4278"/>
      <w:r w:rsidRPr="006720E4">
        <w:t>Commodification of cells, tissues, and organs</w:t>
      </w:r>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9"/>
      <w:bookmarkEnd w:id="4280"/>
      <w:bookmarkEnd w:id="4281"/>
      <w:r w:rsidRPr="006720E4">
        <w:t xml:space="preserve"> and financial neutrality in donation</w:t>
      </w:r>
      <w:bookmarkEnd w:id="4282"/>
      <w:bookmarkEnd w:id="4283"/>
      <w:bookmarkEnd w:id="4284"/>
      <w:bookmarkEnd w:id="4285"/>
    </w:p>
    <w:p w14:paraId="4746C79E" w14:textId="6BA003D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availability of medical resources that consist of human cells, tissues or organs depends on the willingness of individuals to donate components of their own bodies, or on the willingness of families to approve such donations on their behalf following their death. Donation may have risks or burdens for those individuals, and individuals and their families may have specific and strong preferences about how donated cells, tissues or organs are treated. Consequently, cells, tissues and organs that are donated for transplantation are considered ethically exceptional medical resources that are distinct from other healthcare resources such as pharmaceutical products or therapeutic devices.</w:t>
      </w:r>
    </w:p>
    <w:p w14:paraId="0164E4AD" w14:textId="235FB72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human cells, tissues or organs are traded – i.e., bought and sold or otherwise exchanged in ways that treat them as if they have a monetary price - this means treating them as if they are interchangeable with other saleable commodities such as dialysis machines, antibiotics, shoes, or televisions. This is known as </w:t>
      </w:r>
      <w:hyperlink w:anchor="_Glossary_2" w:history="1">
        <w:r w:rsidRPr="006720E4">
          <w:rPr>
            <w:rStyle w:val="Hyperlink"/>
            <w:rFonts w:ascii="Calibri" w:hAnsi="Calibri" w:cs="Calibri"/>
            <w:sz w:val="22"/>
            <w:szCs w:val="22"/>
          </w:rPr>
          <w:t>commodification</w:t>
        </w:r>
      </w:hyperlink>
      <w:r w:rsidRPr="006720E4">
        <w:rPr>
          <w:rFonts w:ascii="Calibri" w:hAnsi="Calibri" w:cs="Calibri"/>
          <w:sz w:val="22"/>
          <w:szCs w:val="22"/>
        </w:rPr>
        <w:t>. While some people may not mind if their body parts are traded for money, or otherwise treated just like ordinary, interchangeable goods, for many people this raises serious ethical concerns</w:t>
      </w:r>
      <w:r w:rsidR="00456907">
        <w:rPr>
          <w:rFonts w:ascii="Calibri" w:hAnsi="Calibri" w:cs="Calibri"/>
          <w:sz w:val="22"/>
          <w:szCs w:val="22"/>
        </w:rPr>
        <w:t>.</w:t>
      </w:r>
    </w:p>
    <w:p w14:paraId="16A56005" w14:textId="4085A84E" w:rsidR="006C6EBA" w:rsidRPr="00456907" w:rsidRDefault="006C6EBA" w:rsidP="00EA22AE">
      <w:pPr>
        <w:spacing w:after="120"/>
        <w:rPr>
          <w:rFonts w:ascii="Calibri" w:hAnsi="Calibri" w:cs="Calibri"/>
          <w:sz w:val="22"/>
          <w:szCs w:val="22"/>
        </w:rPr>
      </w:pPr>
      <w:r w:rsidRPr="006720E4">
        <w:rPr>
          <w:rFonts w:ascii="Calibri" w:hAnsi="Calibri" w:cs="Calibri"/>
          <w:sz w:val="22"/>
          <w:szCs w:val="22"/>
        </w:rPr>
        <w:t>These concerns commonly relate to the potential impact of commodification on people’s willingness to donate cells, tissues, and organs, on equity in the donation or allocation of cells, tissues and organs. They also relate to the ways that we might treat human beings if we think of our own bodies or those of other people as having a monetary value or saleable price, for example by exploiting poor people’s bodies in order to make money.</w:t>
      </w:r>
      <w:r w:rsidR="00456907">
        <w:rPr>
          <w:rFonts w:ascii="Calibri" w:hAnsi="Calibri" w:cs="Calibri"/>
          <w:sz w:val="22"/>
          <w:szCs w:val="22"/>
        </w:rPr>
        <w:t xml:space="preserve"> Respect for the dignity of donors, recipients and their families and communities is a core value underpinning donation and transplantation in Australia which is threatened by </w:t>
      </w:r>
      <w:r w:rsidR="00456907" w:rsidRPr="00456907">
        <w:rPr>
          <w:rFonts w:ascii="Calibri" w:hAnsi="Calibri" w:cs="Calibri"/>
          <w:sz w:val="22"/>
          <w:szCs w:val="22"/>
        </w:rPr>
        <w:t xml:space="preserve">practices that commodify human cells, tissues and organs (see </w:t>
      </w:r>
      <w:hyperlink w:anchor="_Respect_for_the_1" w:history="1">
        <w:r w:rsidR="00456907" w:rsidRPr="00456907">
          <w:rPr>
            <w:rStyle w:val="Hyperlink"/>
            <w:rFonts w:ascii="Calibri" w:hAnsi="Calibri" w:cs="Calibri"/>
            <w:sz w:val="22"/>
            <w:szCs w:val="22"/>
          </w:rPr>
          <w:t>Chapter 3.2.1</w:t>
        </w:r>
      </w:hyperlink>
      <w:r w:rsidR="00456907" w:rsidRPr="00456907">
        <w:rPr>
          <w:rFonts w:ascii="Calibri" w:hAnsi="Calibri" w:cs="Calibri"/>
          <w:sz w:val="22"/>
          <w:szCs w:val="22"/>
        </w:rPr>
        <w:t xml:space="preserve"> and </w:t>
      </w:r>
      <w:hyperlink w:anchor="Principle 10. Human organs, tissues and cells should not be treated as ordinary commodities that can be sold or exchanged for profit: any profits arising the removal, processing, distribution, storage, transfer or use of donated cells, tissues or organs s" w:history="1">
        <w:r w:rsidR="00456907" w:rsidRPr="00456907">
          <w:rPr>
            <w:rStyle w:val="Hyperlink"/>
            <w:rFonts w:ascii="Calibri" w:hAnsi="Calibri" w:cs="Calibri"/>
            <w:sz w:val="22"/>
            <w:szCs w:val="22"/>
            <w:lang w:val="en-GB"/>
          </w:rPr>
          <w:t>Chapter 3.3.10</w:t>
        </w:r>
      </w:hyperlink>
      <w:r w:rsidR="00456907" w:rsidRPr="00456907">
        <w:rPr>
          <w:rFonts w:ascii="Calibri" w:hAnsi="Calibri" w:cs="Calibri"/>
          <w:sz w:val="22"/>
          <w:szCs w:val="22"/>
        </w:rPr>
        <w:t xml:space="preserve">). </w:t>
      </w:r>
    </w:p>
    <w:p w14:paraId="2950F982" w14:textId="1B029BE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Further readings and resources of relevant to this chapter can be found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2280C7AC" w14:textId="77777777" w:rsidR="006C6EBA" w:rsidRPr="006720E4" w:rsidRDefault="006C6EBA" w:rsidP="00EA22AE">
      <w:pPr>
        <w:pStyle w:val="Heading2"/>
        <w:spacing w:after="120"/>
      </w:pPr>
      <w:bookmarkStart w:id="4286" w:name="_Prohibition_of_trade"/>
      <w:bookmarkStart w:id="4287" w:name="_Toc79330892"/>
      <w:bookmarkStart w:id="4288" w:name="_Toc79331272"/>
      <w:bookmarkStart w:id="4289" w:name="_Toc79406468"/>
      <w:bookmarkStart w:id="4290" w:name="_Toc82773707"/>
      <w:bookmarkStart w:id="4291" w:name="_Toc82774060"/>
      <w:bookmarkStart w:id="4292" w:name="_Toc128314233"/>
      <w:bookmarkStart w:id="4293" w:name="_Toc135131478"/>
      <w:bookmarkStart w:id="4294" w:name="_Toc63683465"/>
      <w:bookmarkStart w:id="4295" w:name="_Toc70241810"/>
      <w:bookmarkStart w:id="4296" w:name="_Toc70243445"/>
      <w:bookmarkStart w:id="4297" w:name="_Toc70328761"/>
      <w:bookmarkStart w:id="4298" w:name="_Toc70333991"/>
      <w:bookmarkStart w:id="4299" w:name="_Toc70414942"/>
      <w:bookmarkStart w:id="4300" w:name="_Toc70844260"/>
      <w:bookmarkStart w:id="4301" w:name="_Toc70859019"/>
      <w:bookmarkStart w:id="4302" w:name="_Toc70861120"/>
      <w:bookmarkStart w:id="4303" w:name="_Toc70876605"/>
      <w:bookmarkStart w:id="4304" w:name="_Toc72615199"/>
      <w:bookmarkStart w:id="4305" w:name="_Toc73129926"/>
      <w:bookmarkStart w:id="4306" w:name="_Toc73301798"/>
      <w:bookmarkStart w:id="4307" w:name="_Toc73302304"/>
      <w:bookmarkStart w:id="4308" w:name="_Toc73303437"/>
      <w:bookmarkStart w:id="4309" w:name="_Toc73303655"/>
      <w:bookmarkStart w:id="4310" w:name="_Toc74080772"/>
      <w:bookmarkStart w:id="4311" w:name="_Toc74081080"/>
      <w:bookmarkStart w:id="4312" w:name="_Toc74081310"/>
      <w:bookmarkStart w:id="4313" w:name="_Toc74081582"/>
      <w:bookmarkStart w:id="4314" w:name="_Toc74171141"/>
      <w:bookmarkStart w:id="4315" w:name="_Toc74172359"/>
      <w:bookmarkStart w:id="4316" w:name="_Toc74172895"/>
      <w:bookmarkStart w:id="4317" w:name="_Toc74238815"/>
      <w:bookmarkStart w:id="4318" w:name="_Toc78304794"/>
      <w:bookmarkEnd w:id="4286"/>
      <w:r w:rsidRPr="006720E4">
        <w:lastRenderedPageBreak/>
        <w:t>Ethical concerns about trade in human cells, tissues, and organs</w:t>
      </w:r>
      <w:bookmarkEnd w:id="4287"/>
      <w:bookmarkEnd w:id="4288"/>
      <w:bookmarkEnd w:id="4289"/>
      <w:bookmarkEnd w:id="4290"/>
      <w:bookmarkEnd w:id="4291"/>
      <w:bookmarkEnd w:id="4292"/>
      <w:bookmarkEnd w:id="4293"/>
      <w:r w:rsidRPr="006720E4">
        <w:t xml:space="preserve"> </w:t>
      </w:r>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p>
    <w:p w14:paraId="4178C3FC" w14:textId="7E008C8F" w:rsidR="006C6EBA" w:rsidRPr="00471664" w:rsidRDefault="006C6EBA" w:rsidP="00EA22AE">
      <w:pPr>
        <w:spacing w:after="120"/>
        <w:rPr>
          <w:rFonts w:ascii="Calibri" w:hAnsi="Calibri" w:cs="Calibri"/>
          <w:sz w:val="22"/>
          <w:szCs w:val="22"/>
        </w:rPr>
      </w:pPr>
      <w:r w:rsidRPr="006720E4">
        <w:rPr>
          <w:rFonts w:ascii="Calibri" w:hAnsi="Calibri" w:cs="Calibri"/>
          <w:sz w:val="22"/>
          <w:szCs w:val="22"/>
        </w:rPr>
        <w:t xml:space="preserve">Ethical concerns about the potential consequences of trade in human cells, tissues and organs, as well as the widely held belief that treating human body parts as </w:t>
      </w:r>
      <w:r w:rsidRPr="006824A7">
        <w:rPr>
          <w:rFonts w:ascii="Calibri" w:hAnsi="Calibri" w:cs="Calibri"/>
          <w:sz w:val="22"/>
          <w:szCs w:val="22"/>
        </w:rPr>
        <w:t xml:space="preserve">ordinary commodities is inconsistent with respect for the inherent value or dignity of human beings (see </w:t>
      </w:r>
      <w:hyperlink w:anchor="_Respect_for_the_1" w:history="1">
        <w:r w:rsidR="006824A7" w:rsidRPr="006824A7">
          <w:rPr>
            <w:rStyle w:val="Hyperlink"/>
            <w:rFonts w:ascii="Calibri" w:hAnsi="Calibri" w:cs="Calibri"/>
            <w:sz w:val="22"/>
            <w:szCs w:val="22"/>
            <w:lang w:val="en-GB"/>
          </w:rPr>
          <w:t>Chapter 3.2.1</w:t>
        </w:r>
      </w:hyperlink>
      <w:r w:rsidRPr="006824A7">
        <w:rPr>
          <w:rFonts w:ascii="Calibri" w:hAnsi="Calibri" w:cs="Calibri"/>
          <w:sz w:val="22"/>
          <w:szCs w:val="22"/>
        </w:rPr>
        <w:t>)</w:t>
      </w:r>
      <w:r w:rsidRPr="006720E4">
        <w:rPr>
          <w:rFonts w:ascii="Calibri" w:hAnsi="Calibri" w:cs="Calibri"/>
          <w:sz w:val="22"/>
          <w:szCs w:val="22"/>
        </w:rPr>
        <w:t xml:space="preserve"> have underpinned widespread prohibitions of trade in human cells, tissues and organs in Australia and internationally. Laws governing trade are </w:t>
      </w:r>
      <w:r w:rsidRPr="00471664">
        <w:rPr>
          <w:rFonts w:ascii="Calibri" w:hAnsi="Calibri" w:cs="Calibri"/>
          <w:sz w:val="22"/>
          <w:szCs w:val="22"/>
        </w:rPr>
        <w:t xml:space="preserve">discussed in </w:t>
      </w:r>
      <w:hyperlink w:anchor="_Legal_aspects_of_1"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10</w:t>
        </w:r>
        <w:r w:rsidRPr="00471664">
          <w:rPr>
            <w:rStyle w:val="Hyperlink"/>
            <w:rFonts w:ascii="Calibri" w:hAnsi="Calibri" w:cs="Calibri"/>
            <w:sz w:val="22"/>
            <w:szCs w:val="22"/>
          </w:rPr>
          <w:t>.2</w:t>
        </w:r>
      </w:hyperlink>
      <w:r w:rsidRPr="00471664">
        <w:rPr>
          <w:rFonts w:ascii="Calibri" w:hAnsi="Calibri" w:cs="Calibri"/>
          <w:sz w:val="22"/>
          <w:szCs w:val="22"/>
        </w:rPr>
        <w:t xml:space="preserve">. </w:t>
      </w:r>
    </w:p>
    <w:p w14:paraId="510384B8" w14:textId="77777777" w:rsidR="006C6EBA" w:rsidRPr="00471664" w:rsidRDefault="006C6EBA" w:rsidP="00EA22AE">
      <w:pPr>
        <w:spacing w:after="120"/>
        <w:rPr>
          <w:rFonts w:ascii="Calibri" w:hAnsi="Calibri" w:cs="Calibri"/>
          <w:sz w:val="22"/>
          <w:szCs w:val="22"/>
        </w:rPr>
      </w:pPr>
      <w:r w:rsidRPr="00471664">
        <w:rPr>
          <w:rFonts w:ascii="Calibri" w:hAnsi="Calibri" w:cs="Calibri"/>
          <w:sz w:val="22"/>
          <w:szCs w:val="22"/>
        </w:rPr>
        <w:t>Common ethical concerns about trade in human cells, tissues and organs are informed by observation of the real impact of markets in human bodies – both legal and illegal – in various parts of the world. They include the following:</w:t>
      </w:r>
    </w:p>
    <w:p w14:paraId="0F076F72" w14:textId="6E27BB78" w:rsidR="006C6EBA" w:rsidRPr="00471664" w:rsidRDefault="006C6EBA" w:rsidP="00EA22AE">
      <w:pPr>
        <w:pStyle w:val="Bullet"/>
        <w:spacing w:after="120"/>
        <w:ind w:left="362"/>
        <w:contextualSpacing w:val="0"/>
        <w:rPr>
          <w:rFonts w:cs="Calibri"/>
          <w:szCs w:val="22"/>
        </w:rPr>
      </w:pPr>
      <w:r w:rsidRPr="00471664">
        <w:rPr>
          <w:rFonts w:cs="Calibri"/>
          <w:szCs w:val="22"/>
        </w:rPr>
        <w:t xml:space="preserve">Trade may result in unethical donor recruitment practices, such as use of financial incentives for donation that could exploit financially vulnerable people who may be forced to sell their body parts in order to repay debts or cover the costs of meeting basic needs such as healthcare, education or funeral expenses (see </w:t>
      </w:r>
      <w:hyperlink w:anchor="_Incentives_for_donation" w:history="1">
        <w:r w:rsidRPr="00471664">
          <w:rPr>
            <w:rStyle w:val="Hyperlink"/>
            <w:rFonts w:cs="Calibri"/>
            <w:szCs w:val="22"/>
          </w:rPr>
          <w:t xml:space="preserve">Chapter </w:t>
        </w:r>
        <w:r w:rsidR="00471664" w:rsidRPr="00471664">
          <w:rPr>
            <w:rStyle w:val="Hyperlink"/>
            <w:rFonts w:cs="Calibri"/>
            <w:szCs w:val="22"/>
          </w:rPr>
          <w:t>10</w:t>
        </w:r>
        <w:r w:rsidRPr="00471664">
          <w:rPr>
            <w:rStyle w:val="Hyperlink"/>
            <w:rFonts w:cs="Calibri"/>
            <w:szCs w:val="22"/>
          </w:rPr>
          <w:t>.1.1</w:t>
        </w:r>
      </w:hyperlink>
      <w:r w:rsidRPr="00471664">
        <w:rPr>
          <w:rFonts w:cs="Calibri"/>
          <w:szCs w:val="22"/>
        </w:rPr>
        <w:t>).</w:t>
      </w:r>
    </w:p>
    <w:p w14:paraId="2B4B31C5" w14:textId="77777777" w:rsidR="006C6EBA" w:rsidRPr="006720E4" w:rsidRDefault="006C6EBA" w:rsidP="00EA22AE">
      <w:pPr>
        <w:pStyle w:val="Bullet"/>
        <w:spacing w:after="120"/>
        <w:ind w:left="362"/>
        <w:contextualSpacing w:val="0"/>
        <w:jc w:val="both"/>
        <w:rPr>
          <w:rFonts w:cs="Calibri"/>
          <w:szCs w:val="22"/>
        </w:rPr>
      </w:pPr>
      <w:r w:rsidRPr="006720E4">
        <w:rPr>
          <w:rFonts w:cs="Calibri"/>
          <w:szCs w:val="22"/>
        </w:rPr>
        <w:t xml:space="preserve">The ability to buy and sell human cells, tissues or organs for a profit might </w:t>
      </w:r>
    </w:p>
    <w:p w14:paraId="7EC125BC" w14:textId="77777777" w:rsidR="006C6EBA" w:rsidRPr="006720E4" w:rsidRDefault="006C6EBA" w:rsidP="00EA22AE">
      <w:pPr>
        <w:pStyle w:val="Bullet"/>
        <w:numPr>
          <w:ilvl w:val="1"/>
          <w:numId w:val="1"/>
        </w:numPr>
        <w:spacing w:after="120"/>
        <w:ind w:left="1082"/>
        <w:contextualSpacing w:val="0"/>
        <w:jc w:val="both"/>
        <w:rPr>
          <w:rFonts w:cs="Calibri"/>
          <w:szCs w:val="22"/>
        </w:rPr>
      </w:pPr>
      <w:r w:rsidRPr="006720E4">
        <w:rPr>
          <w:rFonts w:cs="Calibri"/>
          <w:szCs w:val="22"/>
        </w:rPr>
        <w:t xml:space="preserve">Encourage or incentivise use of unethical or illegal methods to obtain these materials from potential donors; </w:t>
      </w:r>
    </w:p>
    <w:p w14:paraId="52D18EF6" w14:textId="01A363AE" w:rsidR="006C6EBA" w:rsidRPr="006720E4" w:rsidRDefault="006C6EBA" w:rsidP="00EA22AE">
      <w:pPr>
        <w:pStyle w:val="Bullet"/>
        <w:numPr>
          <w:ilvl w:val="1"/>
          <w:numId w:val="1"/>
        </w:numPr>
        <w:spacing w:after="120"/>
        <w:ind w:left="1082"/>
        <w:contextualSpacing w:val="0"/>
        <w:jc w:val="both"/>
        <w:rPr>
          <w:rFonts w:cs="Calibri"/>
          <w:szCs w:val="22"/>
        </w:rPr>
      </w:pPr>
      <w:r w:rsidRPr="006720E4">
        <w:rPr>
          <w:rFonts w:cs="Calibri"/>
          <w:szCs w:val="22"/>
        </w:rPr>
        <w:t xml:space="preserve">Undermine equity by incentivizing allocation to those with the ability to pay or to pay more for transplants; </w:t>
      </w:r>
    </w:p>
    <w:p w14:paraId="4C666256" w14:textId="7433ABED" w:rsidR="006C6EBA" w:rsidRPr="006720E4" w:rsidRDefault="006C6EBA" w:rsidP="00EA22AE">
      <w:pPr>
        <w:pStyle w:val="Bullet"/>
        <w:numPr>
          <w:ilvl w:val="1"/>
          <w:numId w:val="1"/>
        </w:numPr>
        <w:spacing w:after="120"/>
        <w:ind w:left="1082"/>
        <w:contextualSpacing w:val="0"/>
        <w:jc w:val="both"/>
        <w:rPr>
          <w:rFonts w:cs="Calibri"/>
          <w:szCs w:val="22"/>
        </w:rPr>
      </w:pPr>
      <w:r w:rsidRPr="006720E4">
        <w:rPr>
          <w:rFonts w:cs="Calibri"/>
          <w:szCs w:val="22"/>
        </w:rPr>
        <w:t>Encourage practices that lead to maximisation of financial profits rather than high quality care for donors and recipients and maximisation of the therapeutic benefits of donation for all; and</w:t>
      </w:r>
    </w:p>
    <w:p w14:paraId="0ED75776" w14:textId="77777777" w:rsidR="006C6EBA" w:rsidRPr="006720E4" w:rsidRDefault="006C6EBA" w:rsidP="00EA22AE">
      <w:pPr>
        <w:pStyle w:val="Bullet"/>
        <w:numPr>
          <w:ilvl w:val="1"/>
          <w:numId w:val="1"/>
        </w:numPr>
        <w:spacing w:after="120"/>
        <w:ind w:left="1082"/>
        <w:contextualSpacing w:val="0"/>
        <w:jc w:val="both"/>
        <w:rPr>
          <w:rFonts w:cs="Calibri"/>
          <w:szCs w:val="22"/>
        </w:rPr>
      </w:pPr>
      <w:r w:rsidRPr="006720E4">
        <w:rPr>
          <w:rFonts w:cs="Calibri"/>
          <w:szCs w:val="22"/>
        </w:rPr>
        <w:t>Stigmatize donation and promote distrust in donation programs, such that only those in financial distress agree to provide their cells, tissues or organs for use in transplantation.</w:t>
      </w:r>
    </w:p>
    <w:p w14:paraId="7642F1A7" w14:textId="3383F49A" w:rsidR="006C6EBA" w:rsidRPr="006720E4" w:rsidRDefault="006C6EBA" w:rsidP="00EA22AE">
      <w:pPr>
        <w:pStyle w:val="Bullet"/>
        <w:numPr>
          <w:ilvl w:val="0"/>
          <w:numId w:val="0"/>
        </w:numPr>
        <w:spacing w:after="120"/>
        <w:ind w:left="2"/>
        <w:contextualSpacing w:val="0"/>
        <w:rPr>
          <w:rFonts w:cs="Calibri"/>
          <w:szCs w:val="22"/>
        </w:rPr>
      </w:pPr>
      <w:r w:rsidRPr="006720E4">
        <w:rPr>
          <w:rFonts w:cs="Calibri"/>
          <w:szCs w:val="22"/>
        </w:rPr>
        <w:t>All of these concerns may also apply to practices that involve commercialisation of donation or transplantation activities such that individuals or organi</w:t>
      </w:r>
      <w:r w:rsidR="000208BF">
        <w:rPr>
          <w:rFonts w:cs="Calibri"/>
          <w:szCs w:val="22"/>
        </w:rPr>
        <w:t>s</w:t>
      </w:r>
      <w:r w:rsidRPr="006720E4">
        <w:rPr>
          <w:rFonts w:cs="Calibri"/>
          <w:szCs w:val="22"/>
        </w:rPr>
        <w:t>ations are driven by financial goals or individual stakeholder interests rather than the goal of promoting better access to the benefits of transplantation for all.</w:t>
      </w:r>
      <w:bookmarkStart w:id="4319" w:name="_Toc79330424"/>
      <w:bookmarkStart w:id="4320" w:name="_Toc79330777"/>
      <w:bookmarkStart w:id="4321" w:name="_Toc79330893"/>
      <w:bookmarkStart w:id="4322" w:name="_Toc79331116"/>
      <w:bookmarkStart w:id="4323" w:name="_Toc79331273"/>
      <w:bookmarkStart w:id="4324" w:name="_Toc79406469"/>
      <w:bookmarkEnd w:id="4319"/>
      <w:bookmarkEnd w:id="4320"/>
      <w:bookmarkEnd w:id="4321"/>
      <w:bookmarkEnd w:id="4322"/>
      <w:bookmarkEnd w:id="4323"/>
      <w:bookmarkEnd w:id="4324"/>
    </w:p>
    <w:p w14:paraId="013D7ED2" w14:textId="77777777" w:rsidR="006C6EBA" w:rsidRPr="006720E4" w:rsidRDefault="006C6EBA" w:rsidP="00EA22AE">
      <w:pPr>
        <w:pStyle w:val="Heading3"/>
        <w:spacing w:after="120"/>
      </w:pPr>
      <w:bookmarkStart w:id="4325" w:name="_Incentives_for_donation"/>
      <w:bookmarkStart w:id="4326" w:name="_Toc79406472"/>
      <w:bookmarkStart w:id="4327" w:name="_Toc82773708"/>
      <w:bookmarkStart w:id="4328" w:name="_Toc82774061"/>
      <w:bookmarkEnd w:id="4325"/>
      <w:r w:rsidRPr="006720E4">
        <w:t>Incentives for donation</w:t>
      </w:r>
      <w:bookmarkEnd w:id="4326"/>
      <w:bookmarkEnd w:id="4327"/>
      <w:bookmarkEnd w:id="4328"/>
    </w:p>
    <w:p w14:paraId="2F36E82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An incentive is something that is offered to an individual in order to influence their decision to make a particular choice. An incentive is thus usually an offer that is likely to leave the individual better off in some way. </w:t>
      </w:r>
    </w:p>
    <w:p w14:paraId="6875CE6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example, if a person is offered money in exchange for registering as a donor, this represents an incentive for registration. If the person registers, they will be financially better off than they would be if they chose not to register.</w:t>
      </w:r>
    </w:p>
    <w:p w14:paraId="0A7D2D44" w14:textId="77777777" w:rsidR="006C6EBA" w:rsidRPr="006720E4" w:rsidRDefault="006C6EBA" w:rsidP="00EA22AE">
      <w:pPr>
        <w:spacing w:after="120"/>
        <w:rPr>
          <w:rFonts w:ascii="Calibri" w:hAnsi="Calibri" w:cs="Calibri"/>
          <w:szCs w:val="22"/>
        </w:rPr>
      </w:pPr>
      <w:r w:rsidRPr="006720E4">
        <w:rPr>
          <w:rFonts w:ascii="Calibri" w:hAnsi="Calibri" w:cs="Calibri"/>
          <w:sz w:val="22"/>
          <w:szCs w:val="22"/>
        </w:rPr>
        <w:t>In contrast, if a donation program offers to cover the parking fees associated with parking while an individual completes the donor registration process at a particular location, this is not an incentive for donation. The payment for parking may ensure the individual is not worse off financially, but will not leave them better off than they would be if they chose not to register</w:t>
      </w:r>
      <w:r w:rsidRPr="006720E4">
        <w:rPr>
          <w:rFonts w:ascii="Calibri" w:hAnsi="Calibri" w:cs="Calibri"/>
          <w:szCs w:val="22"/>
        </w:rPr>
        <w:t>.</w:t>
      </w:r>
    </w:p>
    <w:p w14:paraId="7F3E36A8" w14:textId="249F6F97"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 xml:space="preserve">An incentive is not inherently unethical, however </w:t>
      </w:r>
      <w:r w:rsidRPr="006720E4">
        <w:rPr>
          <w:rFonts w:ascii="Calibri" w:hAnsi="Calibri" w:cs="Calibri"/>
          <w:b/>
          <w:bCs/>
          <w:sz w:val="22"/>
          <w:szCs w:val="21"/>
        </w:rPr>
        <w:t>financial incentives for donation</w:t>
      </w:r>
      <w:r w:rsidRPr="006720E4">
        <w:rPr>
          <w:rFonts w:ascii="Calibri" w:hAnsi="Calibri" w:cs="Calibri"/>
          <w:sz w:val="22"/>
          <w:szCs w:val="21"/>
        </w:rPr>
        <w:t xml:space="preserve"> are likely to violate the prohibition against trade in organs and tissues; they also raise concerns about voluntariness of consent and inequities in donation. For example, financial incentives are likely to have a more powerful effect on the decision-making of people who are in financial difficulty, and for whom the opportunity to gain financially may be necessary. </w:t>
      </w:r>
    </w:p>
    <w:p w14:paraId="10C3CAA3" w14:textId="7FA195DA"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lastRenderedPageBreak/>
        <w:t xml:space="preserve">If financial incentives are offered to potential donation decision-makers, it is the poor or financially desperate who are likely to become donors. This would constitute exploitation of their financially vulnerable situation and may lead people to make decisions that they would otherwise prefer not to make. For example, if a family in financial difficulty lacks trust in the deceased donation program or does not wish to approve donation due to religious or cultural values and beliefs, they may feel compelled to agree to donation if offered a financial reward or some other reward of material value (e.g., a funeral for their loved one) in exchange for their consent. While such strategies may temporarily increase donation rates, they fail to address the underlying factors that may be barriers to donation. In fact, financial incentives are likely to exacerbate such barriers by fostering distrust in donation programs. </w:t>
      </w:r>
    </w:p>
    <w:p w14:paraId="42418F94" w14:textId="7FE66FD1" w:rsidR="006C6EBA" w:rsidRPr="006720E4" w:rsidRDefault="006C6EBA" w:rsidP="00EA22AE">
      <w:pPr>
        <w:spacing w:after="120"/>
        <w:rPr>
          <w:rFonts w:ascii="Calibri" w:hAnsi="Calibri" w:cs="Calibri"/>
          <w:sz w:val="22"/>
          <w:szCs w:val="22"/>
        </w:rPr>
      </w:pPr>
      <w:r w:rsidRPr="006720E4">
        <w:rPr>
          <w:rFonts w:ascii="Calibri" w:hAnsi="Calibri" w:cs="Calibri"/>
          <w:sz w:val="22"/>
          <w:szCs w:val="21"/>
        </w:rPr>
        <w:t xml:space="preserve">The importance of financial neutrality in donation </w:t>
      </w:r>
      <w:r w:rsidRPr="00471664">
        <w:rPr>
          <w:rFonts w:ascii="Calibri" w:hAnsi="Calibri" w:cs="Calibri"/>
          <w:sz w:val="22"/>
          <w:szCs w:val="21"/>
        </w:rPr>
        <w:t xml:space="preserve">is discussed in </w:t>
      </w:r>
      <w:hyperlink w:anchor="_Financial_neutrality_in"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1"/>
          </w:rPr>
          <w:t>10</w:t>
        </w:r>
        <w:r w:rsidRPr="00471664">
          <w:rPr>
            <w:rStyle w:val="Hyperlink"/>
            <w:rFonts w:ascii="Calibri" w:hAnsi="Calibri" w:cs="Calibri"/>
            <w:sz w:val="22"/>
            <w:szCs w:val="21"/>
          </w:rPr>
          <w:t>.4</w:t>
        </w:r>
      </w:hyperlink>
      <w:r w:rsidRPr="00471664">
        <w:rPr>
          <w:rFonts w:ascii="Calibri" w:hAnsi="Calibri" w:cs="Calibri"/>
          <w:sz w:val="22"/>
          <w:szCs w:val="21"/>
        </w:rPr>
        <w:t>.</w:t>
      </w:r>
    </w:p>
    <w:p w14:paraId="682DFBBA" w14:textId="77777777" w:rsidR="006C6EBA" w:rsidRPr="006720E4" w:rsidRDefault="006C6EBA" w:rsidP="00EA22AE">
      <w:pPr>
        <w:pStyle w:val="Heading2"/>
        <w:spacing w:after="120"/>
      </w:pPr>
      <w:bookmarkStart w:id="4329" w:name="_Legal_aspects_of_1"/>
      <w:bookmarkStart w:id="4330" w:name="_Toc79330896"/>
      <w:bookmarkStart w:id="4331" w:name="_Toc79331276"/>
      <w:bookmarkStart w:id="4332" w:name="_Toc79406473"/>
      <w:bookmarkStart w:id="4333" w:name="_Toc82773709"/>
      <w:bookmarkStart w:id="4334" w:name="_Toc82774062"/>
      <w:bookmarkStart w:id="4335" w:name="_Toc128314234"/>
      <w:bookmarkStart w:id="4336" w:name="_Toc135131479"/>
      <w:bookmarkEnd w:id="4329"/>
      <w:r w:rsidRPr="006720E4">
        <w:t>Legal aspects of prohibition of trade in human cells, tissues, and organs</w:t>
      </w:r>
      <w:bookmarkEnd w:id="4330"/>
      <w:bookmarkEnd w:id="4331"/>
      <w:bookmarkEnd w:id="4332"/>
      <w:bookmarkEnd w:id="4333"/>
      <w:bookmarkEnd w:id="4334"/>
      <w:bookmarkEnd w:id="4335"/>
      <w:bookmarkEnd w:id="4336"/>
      <w:r w:rsidRPr="006720E4">
        <w:t xml:space="preserve"> </w:t>
      </w:r>
    </w:p>
    <w:p w14:paraId="471EFC0A" w14:textId="6DF25021" w:rsidR="006C6EBA" w:rsidRPr="006720E4" w:rsidRDefault="006C6EBA" w:rsidP="00EA22AE">
      <w:pPr>
        <w:spacing w:after="120"/>
        <w:rPr>
          <w:rFonts w:ascii="Calibri" w:hAnsi="Calibri" w:cs="Calibri"/>
          <w:sz w:val="22"/>
          <w:szCs w:val="22"/>
        </w:rPr>
      </w:pPr>
      <w:bookmarkStart w:id="4337" w:name="_Distinguishing_trade_in"/>
      <w:bookmarkStart w:id="4338" w:name="_Toc63683467"/>
      <w:bookmarkStart w:id="4339" w:name="_Toc70241812"/>
      <w:bookmarkStart w:id="4340" w:name="_Toc70243447"/>
      <w:bookmarkStart w:id="4341" w:name="_Toc70414943"/>
      <w:bookmarkStart w:id="4342" w:name="_Toc70844261"/>
      <w:bookmarkStart w:id="4343" w:name="_Toc72615200"/>
      <w:bookmarkStart w:id="4344" w:name="_Toc73129927"/>
      <w:bookmarkStart w:id="4345" w:name="_Toc73301799"/>
      <w:bookmarkStart w:id="4346" w:name="_Toc73302305"/>
      <w:bookmarkStart w:id="4347" w:name="_Toc73303438"/>
      <w:bookmarkStart w:id="4348" w:name="_Toc73303656"/>
      <w:bookmarkStart w:id="4349" w:name="_Toc74080773"/>
      <w:bookmarkStart w:id="4350" w:name="_Toc74081081"/>
      <w:bookmarkStart w:id="4351" w:name="_Toc74081311"/>
      <w:bookmarkStart w:id="4352" w:name="_Toc74081583"/>
      <w:bookmarkStart w:id="4353" w:name="_Toc74171142"/>
      <w:bookmarkStart w:id="4354" w:name="_Toc74172360"/>
      <w:bookmarkStart w:id="4355" w:name="_Toc74172896"/>
      <w:bookmarkStart w:id="4356" w:name="_Toc74238816"/>
      <w:bookmarkEnd w:id="4337"/>
      <w:r w:rsidRPr="006720E4">
        <w:rPr>
          <w:rFonts w:ascii="Calibri" w:hAnsi="Calibri" w:cs="Calibri"/>
          <w:sz w:val="22"/>
          <w:szCs w:val="22"/>
        </w:rPr>
        <w:t xml:space="preserve">In all Australian States and Territories there is a general prohibition in human tissue legislation against trading in human tissue, which encompasses </w:t>
      </w:r>
      <w:r w:rsidRPr="008B53B2">
        <w:rPr>
          <w:rFonts w:ascii="Calibri" w:hAnsi="Calibri" w:cs="Calibri"/>
          <w:sz w:val="22"/>
          <w:szCs w:val="22"/>
        </w:rPr>
        <w:t xml:space="preserve">organs and cells (see </w:t>
      </w:r>
      <w:hyperlink w:anchor="_Human_tissue_legislation" w:history="1">
        <w:r w:rsidRPr="008B53B2">
          <w:rPr>
            <w:rStyle w:val="Hyperlink"/>
            <w:rFonts w:ascii="Calibri" w:hAnsi="Calibri" w:cs="Calibri"/>
            <w:sz w:val="22"/>
            <w:szCs w:val="22"/>
          </w:rPr>
          <w:t xml:space="preserve">Chapter </w:t>
        </w:r>
        <w:r w:rsidR="00471664" w:rsidRPr="008B53B2">
          <w:rPr>
            <w:rStyle w:val="Hyperlink"/>
            <w:rFonts w:ascii="Calibri" w:hAnsi="Calibri" w:cs="Calibri"/>
            <w:sz w:val="22"/>
            <w:szCs w:val="22"/>
          </w:rPr>
          <w:t>3</w:t>
        </w:r>
        <w:r w:rsidRPr="008B53B2">
          <w:rPr>
            <w:rStyle w:val="Hyperlink"/>
            <w:rFonts w:ascii="Calibri" w:hAnsi="Calibri" w:cs="Calibri"/>
            <w:sz w:val="22"/>
            <w:szCs w:val="22"/>
          </w:rPr>
          <w:t>.</w:t>
        </w:r>
        <w:r w:rsidR="008B53B2" w:rsidRPr="008B53B2">
          <w:rPr>
            <w:rStyle w:val="Hyperlink"/>
            <w:rFonts w:ascii="Calibri" w:hAnsi="Calibri" w:cs="Calibri"/>
            <w:sz w:val="22"/>
            <w:szCs w:val="22"/>
          </w:rPr>
          <w:t>5</w:t>
        </w:r>
        <w:r w:rsidRPr="008B53B2">
          <w:rPr>
            <w:rStyle w:val="Hyperlink"/>
            <w:rFonts w:ascii="Calibri" w:hAnsi="Calibri" w:cs="Calibri"/>
            <w:sz w:val="22"/>
            <w:szCs w:val="22"/>
          </w:rPr>
          <w:t>.1</w:t>
        </w:r>
      </w:hyperlink>
      <w:r w:rsidRPr="008B53B2">
        <w:rPr>
          <w:rFonts w:ascii="Calibri" w:hAnsi="Calibri" w:cs="Calibri"/>
          <w:sz w:val="22"/>
          <w:szCs w:val="22"/>
        </w:rPr>
        <w:t xml:space="preserve">). </w:t>
      </w:r>
      <w:r w:rsidR="00165C67" w:rsidRPr="008B53B2">
        <w:rPr>
          <w:rFonts w:ascii="Calibri" w:hAnsi="Calibri" w:cs="Calibri"/>
          <w:sz w:val="22"/>
          <w:szCs w:val="22"/>
        </w:rPr>
        <w:t>In some</w:t>
      </w:r>
      <w:r w:rsidR="00165C67">
        <w:rPr>
          <w:rFonts w:ascii="Calibri" w:hAnsi="Calibri" w:cs="Calibri"/>
          <w:sz w:val="22"/>
          <w:szCs w:val="22"/>
        </w:rPr>
        <w:t xml:space="preserve"> jurisdictions</w:t>
      </w:r>
      <w:r w:rsidRPr="006720E4">
        <w:rPr>
          <w:rFonts w:ascii="Calibri" w:hAnsi="Calibri" w:cs="Calibri"/>
          <w:sz w:val="22"/>
          <w:szCs w:val="22"/>
        </w:rPr>
        <w:t xml:space="preserve"> it may </w:t>
      </w:r>
      <w:r w:rsidR="00165C67">
        <w:rPr>
          <w:rFonts w:ascii="Calibri" w:hAnsi="Calibri" w:cs="Calibri"/>
          <w:sz w:val="22"/>
          <w:szCs w:val="22"/>
        </w:rPr>
        <w:t xml:space="preserve">also </w:t>
      </w:r>
      <w:r w:rsidRPr="006720E4">
        <w:rPr>
          <w:rFonts w:ascii="Calibri" w:hAnsi="Calibri" w:cs="Calibri"/>
          <w:sz w:val="22"/>
          <w:szCs w:val="22"/>
        </w:rPr>
        <w:t xml:space="preserve">be an offence to perform acts related to buying and selling or advertising the buying or selling of human tissues or organs. </w:t>
      </w:r>
    </w:p>
    <w:p w14:paraId="0AB7F3F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There are two common exceptions to this general prohibition, although these are not expressed uniformly across Australia. The sale or supply of tissue may be legally permitted </w:t>
      </w:r>
    </w:p>
    <w:p w14:paraId="4E15EBAB" w14:textId="77777777" w:rsidR="006C6EBA" w:rsidRPr="006720E4" w:rsidRDefault="006C6EBA" w:rsidP="00C3783C">
      <w:pPr>
        <w:pStyle w:val="ListParagraph"/>
        <w:numPr>
          <w:ilvl w:val="0"/>
          <w:numId w:val="56"/>
        </w:numPr>
        <w:spacing w:after="120"/>
        <w:contextualSpacing w:val="0"/>
        <w:rPr>
          <w:rFonts w:cs="Calibri"/>
          <w:szCs w:val="22"/>
        </w:rPr>
      </w:pPr>
      <w:r w:rsidRPr="006720E4">
        <w:rPr>
          <w:rFonts w:cs="Calibri"/>
          <w:szCs w:val="22"/>
        </w:rPr>
        <w:t xml:space="preserve">where it has been subjected to processing or treatment and sale is for therapeutic or scientific purposes; or </w:t>
      </w:r>
    </w:p>
    <w:p w14:paraId="39FEE2C7" w14:textId="77777777" w:rsidR="006C6EBA" w:rsidRPr="006720E4" w:rsidRDefault="006C6EBA" w:rsidP="00C3783C">
      <w:pPr>
        <w:pStyle w:val="ListParagraph"/>
        <w:numPr>
          <w:ilvl w:val="0"/>
          <w:numId w:val="56"/>
        </w:numPr>
        <w:spacing w:after="120"/>
        <w:contextualSpacing w:val="0"/>
        <w:rPr>
          <w:rFonts w:cs="Calibri"/>
          <w:szCs w:val="22"/>
        </w:rPr>
      </w:pPr>
      <w:r w:rsidRPr="006720E4">
        <w:rPr>
          <w:rFonts w:cs="Calibri"/>
          <w:szCs w:val="22"/>
        </w:rPr>
        <w:t xml:space="preserve">where the State or Territory Minister has approved a permit for sale in relation to human tissue. </w:t>
      </w:r>
      <w:bookmarkStart w:id="4357" w:name="_Toc79330897"/>
      <w:bookmarkStart w:id="4358" w:name="_Toc79331277"/>
      <w:bookmarkStart w:id="4359" w:name="_Toc79406474"/>
    </w:p>
    <w:p w14:paraId="024EB61A" w14:textId="6E07DDF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Only Victoria and Queensland have specific exceptions for the operation of tissue banks allowing recovery of costs related to the direct provision of </w:t>
      </w:r>
      <w:r w:rsidRPr="00471664">
        <w:rPr>
          <w:rFonts w:ascii="Calibri" w:hAnsi="Calibri" w:cs="Calibri"/>
          <w:sz w:val="22"/>
          <w:szCs w:val="22"/>
        </w:rPr>
        <w:t>service</w:t>
      </w:r>
      <w:r w:rsidRPr="00471664">
        <w:rPr>
          <w:rStyle w:val="CommentReference"/>
          <w:rFonts w:ascii="Calibri" w:hAnsi="Calibri" w:cs="Calibri"/>
          <w:sz w:val="22"/>
          <w:szCs w:val="22"/>
        </w:rPr>
        <w:t xml:space="preserve"> (see </w:t>
      </w:r>
      <w:hyperlink w:anchor="_Distinguishing_trade_in_1" w:history="1">
        <w:r w:rsidRPr="00471664">
          <w:rPr>
            <w:rStyle w:val="Hyperlink"/>
            <w:rFonts w:ascii="Calibri" w:hAnsi="Calibri" w:cs="Calibri"/>
            <w:sz w:val="22"/>
            <w:szCs w:val="22"/>
          </w:rPr>
          <w:t xml:space="preserve">Chapter </w:t>
        </w:r>
        <w:r w:rsidR="00471664" w:rsidRPr="00471664">
          <w:rPr>
            <w:rStyle w:val="Hyperlink"/>
            <w:rFonts w:ascii="Calibri" w:hAnsi="Calibri" w:cs="Calibri"/>
            <w:sz w:val="22"/>
            <w:szCs w:val="22"/>
          </w:rPr>
          <w:t>10</w:t>
        </w:r>
        <w:r w:rsidRPr="00471664">
          <w:rPr>
            <w:rStyle w:val="Hyperlink"/>
            <w:rFonts w:ascii="Calibri" w:hAnsi="Calibri" w:cs="Calibri"/>
            <w:sz w:val="22"/>
            <w:szCs w:val="22"/>
          </w:rPr>
          <w:t>.3</w:t>
        </w:r>
      </w:hyperlink>
      <w:r w:rsidRPr="00471664">
        <w:rPr>
          <w:rStyle w:val="CommentReference"/>
          <w:rFonts w:ascii="Calibri" w:hAnsi="Calibri" w:cs="Calibri"/>
          <w:sz w:val="22"/>
          <w:szCs w:val="22"/>
        </w:rPr>
        <w:t>).</w:t>
      </w:r>
      <w:r w:rsidRPr="00471664">
        <w:rPr>
          <w:rFonts w:ascii="Calibri" w:hAnsi="Calibri" w:cs="Calibri"/>
          <w:sz w:val="22"/>
          <w:szCs w:val="22"/>
        </w:rPr>
        <w:t xml:space="preserve"> Limited exceptions also exist in some States and Territories for som</w:t>
      </w:r>
      <w:r w:rsidRPr="006720E4">
        <w:rPr>
          <w:rFonts w:ascii="Calibri" w:hAnsi="Calibri" w:cs="Calibri"/>
          <w:sz w:val="22"/>
          <w:szCs w:val="22"/>
        </w:rPr>
        <w:t>e blood products.</w:t>
      </w:r>
    </w:p>
    <w:p w14:paraId="20ACB3B4" w14:textId="77777777" w:rsidR="006C6EBA" w:rsidRPr="006720E4" w:rsidRDefault="006C6EBA" w:rsidP="00EA22AE">
      <w:pPr>
        <w:pStyle w:val="Heading2"/>
        <w:spacing w:after="120"/>
      </w:pPr>
      <w:bookmarkStart w:id="4360" w:name="_Distinguishing_trade_in_1"/>
      <w:bookmarkStart w:id="4361" w:name="_Toc82773710"/>
      <w:bookmarkStart w:id="4362" w:name="_Toc82774063"/>
      <w:bookmarkStart w:id="4363" w:name="_Toc128314235"/>
      <w:bookmarkStart w:id="4364" w:name="_Toc135131480"/>
      <w:bookmarkEnd w:id="4360"/>
      <w:r w:rsidRPr="006720E4">
        <w:t xml:space="preserve">Distinguishing trade in cells, tissues, and organs </w:t>
      </w:r>
      <w:bookmarkEnd w:id="4338"/>
      <w:bookmarkEnd w:id="4339"/>
      <w:bookmarkEnd w:id="4340"/>
      <w:bookmarkEnd w:id="4341"/>
      <w:bookmarkEnd w:id="4342"/>
      <w:bookmarkEnd w:id="4343"/>
      <w:bookmarkEnd w:id="4344"/>
      <w:r w:rsidRPr="006720E4">
        <w:t>from cost recovery</w:t>
      </w:r>
      <w:bookmarkEnd w:id="4345"/>
      <w:bookmarkEnd w:id="4346"/>
      <w:bookmarkEnd w:id="4347"/>
      <w:bookmarkEnd w:id="4348"/>
      <w:bookmarkEnd w:id="4349"/>
      <w:bookmarkEnd w:id="4350"/>
      <w:bookmarkEnd w:id="4351"/>
      <w:bookmarkEnd w:id="4352"/>
      <w:bookmarkEnd w:id="4353"/>
      <w:bookmarkEnd w:id="4354"/>
      <w:bookmarkEnd w:id="4355"/>
      <w:bookmarkEnd w:id="4356"/>
      <w:r w:rsidRPr="006720E4">
        <w:t xml:space="preserve"> in donation and transplantation</w:t>
      </w:r>
      <w:bookmarkEnd w:id="4357"/>
      <w:bookmarkEnd w:id="4358"/>
      <w:bookmarkEnd w:id="4359"/>
      <w:bookmarkEnd w:id="4361"/>
      <w:bookmarkEnd w:id="4362"/>
      <w:bookmarkEnd w:id="4363"/>
      <w:bookmarkEnd w:id="4364"/>
      <w:r w:rsidRPr="006720E4">
        <w:t xml:space="preserve"> </w:t>
      </w:r>
    </w:p>
    <w:p w14:paraId="1C76B2F9" w14:textId="1B9B4D1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Trade may involve offering money or goods or services of financial value in exchange for consent to donation by potential donors or those making decisions about donation on behalf of potential donors. It may also involve offering donated cells, tissues, or organs to potential transplant recipients in exchange for money or goods or services of financial value. </w:t>
      </w:r>
    </w:p>
    <w:p w14:paraId="10BCB5E1" w14:textId="21BE16C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if an individual is evaluated as a potential kidney donor for their friend, and identified as a clinically suitable match, but agrees to donate only on the condition that the friend buys the donor a new car, this would constitute trade in organs. The car has a monetary value, and would be exchanged for the kidney, effectively setting a price on the kidney equivalent to that of the car. The donor would be financially better off as a result of donating, assuming that any costs for them associated with donation - such as taking time off work or traveling to the place where donation occurs - would be far less than that of the price of a new car. This would contravene the principle of financial neutrality in </w:t>
      </w:r>
      <w:r w:rsidRPr="006824A7">
        <w:rPr>
          <w:rFonts w:ascii="Calibri" w:hAnsi="Calibri" w:cs="Calibri"/>
          <w:sz w:val="22"/>
          <w:szCs w:val="22"/>
        </w:rPr>
        <w:t xml:space="preserve">donation (see </w:t>
      </w:r>
      <w:hyperlink w:anchor="_Financial_neutrality_in"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.4</w:t>
        </w:r>
      </w:hyperlink>
      <w:r w:rsidRPr="006824A7">
        <w:rPr>
          <w:rFonts w:ascii="Calibri" w:hAnsi="Calibri" w:cs="Calibri"/>
          <w:sz w:val="22"/>
          <w:szCs w:val="22"/>
        </w:rPr>
        <w:t>).</w:t>
      </w:r>
      <w:r w:rsidRPr="006720E4">
        <w:rPr>
          <w:rFonts w:ascii="Calibri" w:hAnsi="Calibri" w:cs="Calibri"/>
          <w:sz w:val="22"/>
          <w:szCs w:val="22"/>
        </w:rPr>
        <w:t xml:space="preserve"> </w:t>
      </w:r>
    </w:p>
    <w:p w14:paraId="329A2DCA" w14:textId="761243C5" w:rsidR="006C6EBA" w:rsidRPr="006720E4" w:rsidRDefault="006C6EBA" w:rsidP="00EA22AE">
      <w:pPr>
        <w:autoSpaceDE w:val="0"/>
        <w:autoSpaceDN w:val="0"/>
        <w:adjustRightInd w:val="0"/>
        <w:spacing w:after="120"/>
        <w:rPr>
          <w:rFonts w:ascii="Calibri" w:hAnsi="Calibri" w:cs="Calibri"/>
          <w:sz w:val="22"/>
          <w:szCs w:val="22"/>
        </w:rPr>
      </w:pPr>
      <w:r w:rsidRPr="006720E4">
        <w:rPr>
          <w:rFonts w:ascii="Calibri" w:hAnsi="Calibri" w:cs="Calibri"/>
          <w:sz w:val="22"/>
          <w:szCs w:val="22"/>
        </w:rPr>
        <w:t>The term “</w:t>
      </w:r>
      <w:r w:rsidRPr="006720E4">
        <w:rPr>
          <w:rFonts w:ascii="Calibri" w:hAnsi="Calibri" w:cs="Calibri"/>
          <w:b/>
          <w:bCs/>
          <w:sz w:val="22"/>
          <w:szCs w:val="22"/>
        </w:rPr>
        <w:t>fee for service</w:t>
      </w:r>
      <w:r w:rsidRPr="006720E4">
        <w:rPr>
          <w:rFonts w:ascii="Calibri" w:hAnsi="Calibri" w:cs="Calibri"/>
          <w:sz w:val="22"/>
          <w:szCs w:val="22"/>
        </w:rPr>
        <w:t xml:space="preserve">” is sometimes used to refer to payments that may be associated with specific activities that are necessary to facilitate donation or transplantation. Such fees may also be referred to as costs of donation or transplantation activities. A </w:t>
      </w:r>
      <w:r w:rsidRPr="00182E15">
        <w:rPr>
          <w:rFonts w:ascii="Calibri" w:hAnsi="Calibri" w:cs="Calibri"/>
          <w:sz w:val="22"/>
          <w:szCs w:val="22"/>
        </w:rPr>
        <w:t xml:space="preserve">range of steps (see </w:t>
      </w:r>
      <w:hyperlink w:anchor="_Overview_of_cell," w:history="1">
        <w:r w:rsidR="006824A7" w:rsidRPr="00182E15">
          <w:rPr>
            <w:rStyle w:val="Hyperlink"/>
            <w:rFonts w:ascii="Calibri" w:hAnsi="Calibri" w:cs="Calibri"/>
            <w:sz w:val="22"/>
            <w:szCs w:val="22"/>
          </w:rPr>
          <w:t>Chapter 2</w:t>
        </w:r>
      </w:hyperlink>
      <w:r w:rsidR="006824A7" w:rsidRPr="00182E15">
        <w:rPr>
          <w:rFonts w:ascii="Calibri" w:hAnsi="Calibri" w:cs="Calibri"/>
          <w:sz w:val="22"/>
          <w:szCs w:val="22"/>
        </w:rPr>
        <w:t>)</w:t>
      </w:r>
      <w:r w:rsidRPr="00182E15">
        <w:rPr>
          <w:rFonts w:ascii="Calibri" w:hAnsi="Calibri" w:cs="Calibri"/>
          <w:sz w:val="22"/>
          <w:szCs w:val="22"/>
        </w:rPr>
        <w:t xml:space="preserve"> may be</w:t>
      </w:r>
      <w:r w:rsidRPr="006720E4">
        <w:rPr>
          <w:rFonts w:ascii="Calibri" w:hAnsi="Calibri" w:cs="Calibri"/>
          <w:sz w:val="22"/>
          <w:szCs w:val="22"/>
        </w:rPr>
        <w:t xml:space="preserve"> involved in removing cells, tissues, or organs from one person, processing or preparing this material </w:t>
      </w:r>
      <w:r w:rsidRPr="006720E4">
        <w:rPr>
          <w:rFonts w:ascii="Calibri" w:hAnsi="Calibri" w:cs="Calibri"/>
          <w:sz w:val="22"/>
          <w:szCs w:val="22"/>
        </w:rPr>
        <w:lastRenderedPageBreak/>
        <w:t>for use in transplantation, storing, transferring, and ultimately transplanting this into another person(s). At each step there are costs associated with these activities or services.</w:t>
      </w:r>
    </w:p>
    <w:p w14:paraId="5FDB68EF" w14:textId="55F391E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Covering these costs, which are necessary to facilitate donation and transplantation, is not considered trade in cells, tissues or organs as such. The costs associated with donation for donors or donor families may also be ethically and lawfully covered as discussed below</w:t>
      </w:r>
      <w:r w:rsidRPr="006720E4">
        <w:rPr>
          <w:rFonts w:ascii="Calibri" w:hAnsi="Calibri" w:cs="Calibri"/>
        </w:rPr>
        <w:t xml:space="preserve"> </w:t>
      </w:r>
      <w:r w:rsidRPr="006720E4">
        <w:rPr>
          <w:rFonts w:ascii="Calibri" w:hAnsi="Calibri" w:cs="Calibri"/>
          <w:sz w:val="22"/>
          <w:szCs w:val="22"/>
        </w:rPr>
        <w:t xml:space="preserve">in the context of financial neutrality in </w:t>
      </w:r>
      <w:r w:rsidRPr="006824A7">
        <w:rPr>
          <w:rFonts w:ascii="Calibri" w:hAnsi="Calibri" w:cs="Calibri"/>
          <w:sz w:val="22"/>
          <w:szCs w:val="22"/>
        </w:rPr>
        <w:t>donation (</w:t>
      </w:r>
      <w:hyperlink w:anchor="_Financial_neutrality_in"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.4</w:t>
        </w:r>
      </w:hyperlink>
      <w:r w:rsidRPr="006824A7">
        <w:rPr>
          <w:rFonts w:ascii="Calibri" w:hAnsi="Calibri" w:cs="Calibri"/>
          <w:sz w:val="22"/>
          <w:szCs w:val="22"/>
        </w:rPr>
        <w:t>).</w:t>
      </w:r>
    </w:p>
    <w:p w14:paraId="7F558EC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Setting a fee or paying the costs for recovering or transplanting an organ or tissue is not the same as setting a price on or charging for an organ or tissue itself, as the examples below illustrate: </w:t>
      </w:r>
    </w:p>
    <w:p w14:paraId="1052A4F0" w14:textId="0EFF4622" w:rsidR="006C6EBA" w:rsidRPr="006720E4" w:rsidRDefault="006C6EBA" w:rsidP="00C3783C">
      <w:pPr>
        <w:pStyle w:val="ListParagraph"/>
        <w:numPr>
          <w:ilvl w:val="0"/>
          <w:numId w:val="108"/>
        </w:numPr>
        <w:autoSpaceDE w:val="0"/>
        <w:autoSpaceDN w:val="0"/>
        <w:adjustRightInd w:val="0"/>
        <w:spacing w:after="120"/>
        <w:contextualSpacing w:val="0"/>
        <w:rPr>
          <w:rFonts w:cs="Calibri"/>
          <w:szCs w:val="22"/>
        </w:rPr>
      </w:pPr>
      <w:r w:rsidRPr="006720E4">
        <w:rPr>
          <w:rFonts w:cs="Calibri"/>
          <w:szCs w:val="22"/>
        </w:rPr>
        <w:t>A tissue bank which provides the bone graft to an orthopaedic surgeon may receive a fee in return for the service they have performed in supplying the graft through a specific cost assigned to the distributed graft. Payment of this fee is not for the tissue itself, but for the associated services required to make the graft available. In a cost-recovery model, this fee should reflect the apportioned costs associated with the range of services involved in removal, testing, processing, quality controls, storage and distribution of tissues. The orthopaedic surgeon, in turn, is paid to perform the procedure in which a patient receives a bone graft; they are not paid for the bone graft itself.</w:t>
      </w:r>
    </w:p>
    <w:p w14:paraId="4D8E336C" w14:textId="77777777" w:rsidR="006C6EBA" w:rsidRPr="006720E4" w:rsidRDefault="006C6EBA" w:rsidP="00C3783C">
      <w:pPr>
        <w:pStyle w:val="ListParagraph"/>
        <w:numPr>
          <w:ilvl w:val="0"/>
          <w:numId w:val="108"/>
        </w:numPr>
        <w:autoSpaceDE w:val="0"/>
        <w:autoSpaceDN w:val="0"/>
        <w:adjustRightInd w:val="0"/>
        <w:spacing w:after="120"/>
        <w:contextualSpacing w:val="0"/>
        <w:rPr>
          <w:rFonts w:cs="Calibri"/>
          <w:szCs w:val="22"/>
        </w:rPr>
      </w:pPr>
      <w:r w:rsidRPr="006720E4">
        <w:rPr>
          <w:rFonts w:cs="Calibri"/>
          <w:szCs w:val="22"/>
        </w:rPr>
        <w:t xml:space="preserve">A donation specialist, for example, may be paid a salary for time spent providing care to potential donors and donor families. This does not constitute payment for any organs or tissues recovered when donation proceeds. </w:t>
      </w:r>
    </w:p>
    <w:p w14:paraId="6357A4D4" w14:textId="5A72EC3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However, it may be difficult to determine appropriate fees for services or to distinguish these from inappropriate financial profits. Some financial charges associated with services relating to donated cells, tissues and organs, may appear to set a price on the donated materials themselves, and thus to constitute trade in cells, tissues or organs. These issues are discussed </w:t>
      </w:r>
      <w:r w:rsidRPr="006824A7">
        <w:rPr>
          <w:rFonts w:ascii="Calibri" w:hAnsi="Calibri" w:cs="Calibri"/>
          <w:sz w:val="22"/>
          <w:szCs w:val="22"/>
        </w:rPr>
        <w:t xml:space="preserve">further in </w:t>
      </w:r>
      <w:hyperlink w:anchor="_Cost_recovery_and"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.5</w:t>
        </w:r>
      </w:hyperlink>
      <w:r w:rsidRPr="006824A7">
        <w:rPr>
          <w:rFonts w:ascii="Calibri" w:hAnsi="Calibri" w:cs="Calibri"/>
          <w:sz w:val="22"/>
          <w:szCs w:val="22"/>
        </w:rPr>
        <w:t>.</w:t>
      </w:r>
    </w:p>
    <w:p w14:paraId="345B36C1" w14:textId="77777777" w:rsidR="006C6EBA" w:rsidRPr="006720E4" w:rsidRDefault="006C6EBA" w:rsidP="00EA22AE">
      <w:pPr>
        <w:pStyle w:val="Heading2"/>
        <w:spacing w:after="120"/>
      </w:pPr>
      <w:bookmarkStart w:id="4365" w:name="_Financial_neutrality_in"/>
      <w:bookmarkStart w:id="4366" w:name="_Toc63683469"/>
      <w:bookmarkStart w:id="4367" w:name="_Toc70241814"/>
      <w:bookmarkStart w:id="4368" w:name="_Toc70243449"/>
      <w:bookmarkStart w:id="4369" w:name="_Toc70328762"/>
      <w:bookmarkStart w:id="4370" w:name="_Toc70333992"/>
      <w:bookmarkStart w:id="4371" w:name="_Toc70414945"/>
      <w:bookmarkStart w:id="4372" w:name="_Toc70844263"/>
      <w:bookmarkStart w:id="4373" w:name="_Toc70859020"/>
      <w:bookmarkStart w:id="4374" w:name="_Toc70861121"/>
      <w:bookmarkStart w:id="4375" w:name="_Toc70876606"/>
      <w:bookmarkStart w:id="4376" w:name="_Toc72615202"/>
      <w:bookmarkStart w:id="4377" w:name="_Toc73129929"/>
      <w:bookmarkStart w:id="4378" w:name="_Toc73301801"/>
      <w:bookmarkStart w:id="4379" w:name="_Toc73302307"/>
      <w:bookmarkStart w:id="4380" w:name="_Toc73303440"/>
      <w:bookmarkStart w:id="4381" w:name="_Toc73303658"/>
      <w:bookmarkStart w:id="4382" w:name="_Toc74080775"/>
      <w:bookmarkStart w:id="4383" w:name="_Toc74081083"/>
      <w:bookmarkStart w:id="4384" w:name="_Toc74081313"/>
      <w:bookmarkStart w:id="4385" w:name="_Toc74081585"/>
      <w:bookmarkStart w:id="4386" w:name="_Toc74171144"/>
      <w:bookmarkStart w:id="4387" w:name="_Toc74172362"/>
      <w:bookmarkStart w:id="4388" w:name="_Toc74172898"/>
      <w:bookmarkStart w:id="4389" w:name="_Toc74238818"/>
      <w:bookmarkStart w:id="4390" w:name="_Toc78304795"/>
      <w:bookmarkStart w:id="4391" w:name="_Toc79330898"/>
      <w:bookmarkStart w:id="4392" w:name="_Toc79331278"/>
      <w:bookmarkStart w:id="4393" w:name="_Toc79406475"/>
      <w:bookmarkStart w:id="4394" w:name="_Toc82773711"/>
      <w:bookmarkStart w:id="4395" w:name="_Toc82774064"/>
      <w:bookmarkStart w:id="4396" w:name="_Toc128314236"/>
      <w:bookmarkStart w:id="4397" w:name="_Toc135131481"/>
      <w:bookmarkEnd w:id="4365"/>
      <w:r w:rsidRPr="006720E4">
        <w:t>Financial neutrality in donation</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p>
    <w:p w14:paraId="2A504682" w14:textId="4F9F1F3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Financial neutrality in donation is a principle or concept meaning that donors or donor families should neither lose nor gain financially from donation.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{"citationItems":[{"id":"ITEM-1","itemData":{"DOI":"10.1080/110241599750006695","ISSN":"11024151","PMID":"10391162","abstract":"Objective: To compare Japanese with Australian/New Zealand (ANZ) children with biliary atresia who were treated by liver transplantation, and evaluate the indications for and timing of transplantation. Design: Retrospective study. Setting: Queensland Liver Transplant Service (QLTS), Australia. Subjects: 43 Japanese and 30 ANZ children with biliary atresia who required transplantation between 1985 and 1992. Interventions: The 43 Japanese children had 52 transplants, and the 30 ANZ children had 33. Main outcome measures: Morbidity, mortality, and long term survival. Results: The Japanese children had significantly lower serum albumin concentrations than the ANZ children preoperatively (mean (SD) 32 (7) g/L compared with 37 (5), p &lt; 0.05). The actuarial survival at 7 years of the ANZ children was significantly higher than that of the Japanese children (79% compared with 49%, p &lt; 0.05). There were 24 deaths (17 Japanese, 40%, and 7 ANZ, 23%); 2 of the ANZ and 7 of the Japanese children died more than a year after transplantation. All 26 children who were well-nourished at the time of transplantation defined as a Z-score (weight or height minus mean weight or height for age, sex, and race, divided by the SD) of -1 or more were alive at 1 month compared with 11 of the 47 poorly-nourished children (Z-score &lt;-1). Survival among the Japanese declined after 1 year, and there was no association with Z-scores. Overall, Z-scores for weight improved significantly after transplantation, whereas those for height improved a little, but not significantly so. Japanese children were significantly shorter than ANZ children, and their Z-scores for height did not improve after transplantation. Conclusion: liver transplantation should be done as soon as possible for children with biliary atresia to maximise survival and growth.","author":[{"dropping-particle":"","family":"Ishikawa","given":"Masashi","non-dropping-particle":"","parse-names":false,"suffix":""},{"dropping-particle":"V.","family":"Lynch","given":"Stephen","non-dropping-particle":"","parse-names":false,"suffix":""},{"dropping-particle":"","family":"Balderson","given":"Glenda A.","non-dropping-particle":"","parse-names":false,"suffix":""},{"dropping-particle":"","family":"Shepherd","given":"Ross W.","non-dropping-particle":"","parse-names":false,"suffix":""},{"dropping-particle":"","family":"Ong","given":"Tat H.","non-dropping-particle":"","parse-names":false,"suffix":""},{"dropping-particle":"","family":"Strong","given":"Russell W.","non-dropping-particle":"","parse-names":false,"suffix":""}],"container-title":"European Journal of Surgery","id":"ITEM-1","issue":"5","issued":{"date-parts":[["1999"]]},"page":"454-459","title":"Liver transplantation in Japanese and Australian/New Zealand children with biliary atresia: A 10-year comparative study","type":"article-journal","volume":"165"},"uris":["http://www.mendeley.com/documents/?uuid=044a4348-9a99-4bc0-9cff-a4dd71f48af0"]}],"mendeley":{"formattedCitation":"(154)","plainTextFormattedCitation":"(154)","previouslyFormattedCitation":"(154)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(154)</w:t>
      </w:r>
      <w:r w:rsidRPr="006720E4">
        <w:rPr>
          <w:rFonts w:ascii="Calibri" w:hAnsi="Calibri" w:cs="Calibri"/>
          <w:sz w:val="22"/>
          <w:szCs w:val="22"/>
        </w:rPr>
        <w:fldChar w:fldCharType="end"/>
      </w:r>
      <w:r w:rsidRPr="006720E4">
        <w:rPr>
          <w:rFonts w:ascii="Calibri" w:hAnsi="Calibri" w:cs="Calibri"/>
          <w:sz w:val="22"/>
          <w:szCs w:val="22"/>
        </w:rPr>
        <w:t xml:space="preserve"> Just as it is important to ensure that donation is not associated with a financial gain which would constitute payment for donation and hence violate the prohibition of trade in organs and tissues, it is important to ensure that people are not financially harmed as a result of their decision to donate. </w:t>
      </w:r>
    </w:p>
    <w:p w14:paraId="64ADAC23" w14:textId="235707A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Financial costs may be incurred by living donors and the families of deceased donors, and even by those who consider donation opportunities but who may not proceed to donate. Costs may be related to taking time off work for donation, or to provide care for a living donor. Costs might also be associated with travel, accommodation, telecommunications, or healthcare investigations and consultations related to donor screening, donation decision-making, donation itself, or follow up care for living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{"citationItems":[{"id":"ITEM-1","itemData":{"DOI":"10.1111/ajt.13232","ISSN":"16006143","PMID":"25833381","abstract":"The supply of organs - particularly kidneys - donated by living and deceased donors falls short of the number of patients added annually to transplant waiting lists in the United States. To remedy this problem, a number of prominent physicians, ethicists, economists and others have mounted a campaign to suspend the prohibitions in the National Organ Transplant Act of 1984 (NOTA) on the buying and selling of organs. The argument that providing financial benefits would incentivize enough people to part with a kidney (or a portion of a liver) to clear the waiting lists is flawed. This commentary marshals arguments against the claim that the shortage of donor organs would best be overcome by providing financial incentives for donation. We can increase the number of organs available for transplantation by removing all financial disincentives that deter unpaid living or deceased kidney donation. These disincentives include a range of burdens, such as the costs of travel and lodging for medical evaluation and surgery, lost wages, and the expense of dependent care during the period of organ removal and recuperation. Organ donation should remain an act that is financially neutral for donors, neither imposing financial burdens nor enriching them monetarily.","author":[{"dropping-particle":"","family":"Delmonico","given":"F. L.","non-dropping-particle":"","parse-names":false,"suffix":""},{"dropping-particle":"","family":"Martin","given":"D.","non-dropping-particle":"","parse-names":false,"suffix":""},{"dropping-particle":"","family":"Domínguez-Gil","given":"B.","non-dropping-particle":"","parse-names":false,"suffix":""},{"dropping-particle":"","family":"Muller","given":"E.","non-dropping-particle":"","parse-names":false,"suffix":""},{"dropping-particle":"","family":"Jha","given":"V.","non-dropping-particle":"","parse-names":false,"suffix":""},{"dropping-particle":"","family":"Levin","given":"A.","non-dropping-particle":"","parse-names":false,"suffix":""},{"dropping-particle":"","family":"Danovitch","given":"G. M.","non-dropping-particle":"","parse-names":false,"suffix":""},{"dropping-particle":"","family":"Capron","given":"A. M.","non-dropping-particle":"","parse-names":false,"suffix":""}],"container-title":"American Journal of Transplantation","id":"ITEM-1","issue":"5","issued":{"date-parts":[["2015"]]},"page":"1187-1191","title":"Living and deceased organ donation should be financially neutral acts","type":"article-journal","volume":"15"},"uris":["http://www.mendeley.com/documents/?uuid=8889e97a-9e0f-482f-9c7b-dc61d0536d77"]},{"id":"ITEM-2","itemData":{"DOI":"10.1097/TXD.0000000000000872","ISBN":"0000000000000","ISSN":"23738731","abstract":"The 2018 Edition of the Declaration of Istanbul on Organ Trafficking and Transplant Tourism (DoI) provides an updated set of principles and definitions to guide policymakers and health professionals working in organ donation and transplantation. A draft of the new edition was circulated to the public and transplant professionals through an online consultation process, which also sought feedback on a draft explanatory article that explained the principles and discussed some of their practical implications. Both drafts were revised in response to feedback from participants in the consultation. We present here the discussion article, which is intended to assist stakeholders in applying the principles of the DoI by providing more detailed information about the meaning and potential implications of implementing the DoI in various contexts.","author":[{"dropping-particle":"","family":"Martin","given":"Dominique E.","non-dropping-particle":"","parse-names":false,"suffix":""},{"dropping-particle":"","family":"Assche","given":"Kristof","non-dropping-particle":"Van","parse-names":false,"suffix":""},{"dropping-particle":"","family":"Domínguez-Gil","given":"Beatriz","non-dropping-particle":"","parse-names":false,"suffix":""},{"dropping-particle":"","family":"López-Fraga","given":"Marta","non-dropping-particle":"","parse-names":false,"suffix":""},{"dropping-particle":"","family":"García Gallont","given":"Rudolf","non-dropping-particle":"","parse-names":false,"suffix":""},{"dropping-particle":"","family":"Muller","given":"Elmi","non-dropping-particle":"","parse-names":false,"suffix":""},{"dropping-particle":"","family":"Capron","given":"Alexander M.","non-dropping-particle":"","parse-names":false,"suffix":""}],"container-title":"Transplantation Direct","id":"ITEM-2","issue":"3","issued":{"date-parts":[["2019"]]},"page":"1-13","title":"Strengthening Global Efforts to Combat Organ Trafficking and Transplant Tourism: Implications of the 2018 Edition of the Declaration of Istanbul","type":"article-journal","volume":"5"},"uris":["http://www.mendeley.com/documents/?uuid=2839b7bb-0974-4ab5-bb77-c64a47dd4bf4"]}],"mendeley":{"formattedCitation":"(155,156)","plainTextFormattedCitation":"(155,156)","previouslyFormattedCitation":"(155,156)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(155,156)</w:t>
      </w:r>
      <w:r w:rsidRPr="006720E4">
        <w:rPr>
          <w:rFonts w:ascii="Calibri" w:hAnsi="Calibri" w:cs="Calibri"/>
          <w:sz w:val="22"/>
          <w:szCs w:val="22"/>
        </w:rPr>
        <w:fldChar w:fldCharType="end"/>
      </w:r>
      <w:r w:rsidRPr="006720E4">
        <w:rPr>
          <w:rFonts w:ascii="Calibri" w:hAnsi="Calibri" w:cs="Calibri"/>
          <w:sz w:val="22"/>
          <w:szCs w:val="22"/>
        </w:rPr>
        <w:t xml:space="preserve"> </w:t>
      </w:r>
    </w:p>
    <w:p w14:paraId="75B19C6B" w14:textId="7E314C0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Promoting financial neutrality in donation is important not only because it reduces the risk of financial harm to donors and those who may be exploring opportunities for donation, but also because it reduces potential financial barriers to participation in donation opportunities. This means that it supports equity in donation and may enable more people to access transplantation.</w:t>
      </w:r>
    </w:p>
    <w:p w14:paraId="39CAAFAE" w14:textId="443F89C1" w:rsidR="006C6EBA" w:rsidRPr="006720E4" w:rsidRDefault="006C6EBA" w:rsidP="00EA22AE">
      <w:pPr>
        <w:pStyle w:val="Heading3"/>
        <w:spacing w:after="120"/>
      </w:pPr>
      <w:bookmarkStart w:id="4398" w:name="_Challenges_in_implementing"/>
      <w:bookmarkStart w:id="4399" w:name="_Toc63683470"/>
      <w:bookmarkStart w:id="4400" w:name="_Toc70241815"/>
      <w:bookmarkStart w:id="4401" w:name="_Toc70243450"/>
      <w:bookmarkStart w:id="4402" w:name="_Toc70414946"/>
      <w:bookmarkStart w:id="4403" w:name="_Toc70844264"/>
      <w:bookmarkStart w:id="4404" w:name="_Toc72615203"/>
      <w:bookmarkStart w:id="4405" w:name="_Toc73129930"/>
      <w:bookmarkStart w:id="4406" w:name="_Toc73301802"/>
      <w:bookmarkStart w:id="4407" w:name="_Toc73302308"/>
      <w:bookmarkStart w:id="4408" w:name="_Toc73303441"/>
      <w:bookmarkStart w:id="4409" w:name="_Toc73303659"/>
      <w:bookmarkStart w:id="4410" w:name="_Toc74080776"/>
      <w:bookmarkStart w:id="4411" w:name="_Toc74081084"/>
      <w:bookmarkStart w:id="4412" w:name="_Toc74081314"/>
      <w:bookmarkStart w:id="4413" w:name="_Toc74081586"/>
      <w:bookmarkStart w:id="4414" w:name="_Toc74171145"/>
      <w:bookmarkStart w:id="4415" w:name="_Toc74172363"/>
      <w:bookmarkStart w:id="4416" w:name="_Toc74172899"/>
      <w:bookmarkStart w:id="4417" w:name="_Toc74238819"/>
      <w:bookmarkStart w:id="4418" w:name="_Toc79406476"/>
      <w:bookmarkStart w:id="4419" w:name="_Toc82773712"/>
      <w:bookmarkStart w:id="4420" w:name="_Toc82774065"/>
      <w:bookmarkEnd w:id="4398"/>
      <w:r w:rsidRPr="006720E4">
        <w:t>Challenges in implementing policies to support financial neutralit</w:t>
      </w:r>
      <w:bookmarkEnd w:id="4399"/>
      <w:r w:rsidRPr="006720E4">
        <w:t>y</w:t>
      </w:r>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r w:rsidRPr="006720E4">
        <w:t xml:space="preserve"> </w:t>
      </w:r>
    </w:p>
    <w:p w14:paraId="2FC274F6" w14:textId="77777777" w:rsidR="006C6EBA" w:rsidRPr="006720E4" w:rsidRDefault="006C6EBA" w:rsidP="00EA22AE">
      <w:pPr>
        <w:spacing w:after="120"/>
        <w:rPr>
          <w:rFonts w:ascii="Calibri" w:hAnsi="Calibri" w:cs="Calibri"/>
          <w:sz w:val="22"/>
          <w:szCs w:val="22"/>
        </w:rPr>
      </w:pPr>
      <w:bookmarkStart w:id="4421" w:name="_Toc70241816"/>
      <w:bookmarkStart w:id="4422" w:name="_Toc70243451"/>
      <w:bookmarkStart w:id="4423" w:name="_Toc70414947"/>
      <w:r w:rsidRPr="006720E4">
        <w:rPr>
          <w:rFonts w:ascii="Calibri" w:hAnsi="Calibri" w:cs="Calibri"/>
          <w:sz w:val="22"/>
          <w:szCs w:val="22"/>
        </w:rPr>
        <w:t xml:space="preserve">The type of costs incurred as a consequence of donation will differ for individuals, and some may be covered by donation programs, transplant recipients, social welfare or other governmental programs. For example, some living donors may have work related costs </w:t>
      </w:r>
      <w:r w:rsidRPr="006720E4">
        <w:rPr>
          <w:rFonts w:ascii="Calibri" w:hAnsi="Calibri" w:cs="Calibri"/>
          <w:bCs/>
          <w:sz w:val="22"/>
          <w:szCs w:val="22"/>
        </w:rPr>
        <w:t>including leave</w:t>
      </w:r>
      <w:r w:rsidRPr="006720E4">
        <w:rPr>
          <w:rFonts w:ascii="Calibri" w:hAnsi="Calibri" w:cs="Calibri"/>
          <w:b/>
          <w:sz w:val="22"/>
          <w:szCs w:val="22"/>
        </w:rPr>
        <w:t xml:space="preserve"> </w:t>
      </w:r>
      <w:r w:rsidRPr="006720E4">
        <w:rPr>
          <w:rFonts w:ascii="Calibri" w:hAnsi="Calibri" w:cs="Calibri"/>
          <w:sz w:val="22"/>
          <w:szCs w:val="22"/>
        </w:rPr>
        <w:t xml:space="preserve">covered by their employer, e.g. via the </w:t>
      </w:r>
      <w:hyperlink r:id="rId124" w:history="1">
        <w:r w:rsidRPr="006720E4">
          <w:rPr>
            <w:rStyle w:val="Hyperlink"/>
            <w:rFonts w:ascii="Calibri" w:hAnsi="Calibri" w:cs="Calibri"/>
            <w:bCs/>
            <w:sz w:val="22"/>
            <w:szCs w:val="22"/>
          </w:rPr>
          <w:t>Supporting Living Organ Donors Program</w:t>
        </w:r>
      </w:hyperlink>
      <w:r w:rsidRPr="006720E4">
        <w:rPr>
          <w:rFonts w:ascii="Calibri" w:hAnsi="Calibri" w:cs="Calibri"/>
          <w:sz w:val="22"/>
          <w:szCs w:val="22"/>
        </w:rPr>
        <w:t xml:space="preserve">. </w:t>
      </w:r>
    </w:p>
    <w:p w14:paraId="520DD789" w14:textId="4368BDF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There are often concerns about which costs should be covered under the principle of financial neutrality, for fear of providing payments that might actually represent a financial incentive for </w:t>
      </w:r>
      <w:r w:rsidRPr="006824A7">
        <w:rPr>
          <w:rFonts w:ascii="Calibri" w:hAnsi="Calibri" w:cs="Calibri"/>
          <w:sz w:val="22"/>
          <w:szCs w:val="22"/>
        </w:rPr>
        <w:t xml:space="preserve">donation (see </w:t>
      </w:r>
      <w:hyperlink w:anchor="_Distinguishing_coverage_of"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.4.1.1</w:t>
        </w:r>
      </w:hyperlink>
      <w:r w:rsidRPr="006824A7">
        <w:rPr>
          <w:rFonts w:ascii="Calibri" w:hAnsi="Calibri" w:cs="Calibri"/>
          <w:sz w:val="22"/>
          <w:szCs w:val="22"/>
        </w:rPr>
        <w:t>). Although it</w:t>
      </w:r>
      <w:r w:rsidRPr="006720E4">
        <w:rPr>
          <w:rFonts w:ascii="Calibri" w:hAnsi="Calibri" w:cs="Calibri"/>
          <w:sz w:val="22"/>
          <w:szCs w:val="22"/>
        </w:rPr>
        <w:t xml:space="preserve"> is important to consider common costs associated with donation in particular settings, defining specific costs as eligible for coverage may not ensure financial neutrality for all donors. A fixed payment for donor travel costs, for example, might not cover all the costs of travel for some donors, but may represent a financial profit for others.</w:t>
      </w:r>
      <w:bookmarkEnd w:id="4421"/>
      <w:bookmarkEnd w:id="4422"/>
      <w:bookmarkEnd w:id="4423"/>
      <w:r w:rsidRPr="006720E4">
        <w:rPr>
          <w:rFonts w:ascii="Calibri" w:hAnsi="Calibri" w:cs="Calibri"/>
          <w:sz w:val="22"/>
          <w:szCs w:val="22"/>
        </w:rPr>
        <w:t xml:space="preserve"> </w:t>
      </w:r>
    </w:p>
    <w:p w14:paraId="78127842" w14:textId="129850B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Although the term “reasonable costs” may sometimes be used to describe costs associated with donation that should be covered, it may be difficult to determine when costs are “reasonable”. It may be easier to distinguish between costs that are necessary and unavoidable, and hence which should be covered, and unnecessary costs. Payment of unnecessary costs may constitute a financial </w:t>
      </w:r>
      <w:r w:rsidRPr="005525CE">
        <w:rPr>
          <w:rFonts w:ascii="Calibri" w:hAnsi="Calibri" w:cs="Calibri"/>
          <w:sz w:val="22"/>
          <w:szCs w:val="22"/>
        </w:rPr>
        <w:t xml:space="preserve">incentive or reward (see </w:t>
      </w:r>
      <w:hyperlink w:anchor="_Distinguishing_coverage_of" w:history="1">
        <w:r w:rsidRPr="005525CE">
          <w:rPr>
            <w:rStyle w:val="Hyperlink"/>
            <w:rFonts w:ascii="Calibri" w:hAnsi="Calibri" w:cs="Calibri"/>
            <w:sz w:val="22"/>
            <w:szCs w:val="22"/>
          </w:rPr>
          <w:t xml:space="preserve">Chapter </w:t>
        </w:r>
        <w:r w:rsidR="005525CE" w:rsidRPr="005525CE">
          <w:rPr>
            <w:rStyle w:val="Hyperlink"/>
            <w:rFonts w:ascii="Calibri" w:hAnsi="Calibri" w:cs="Calibri"/>
            <w:sz w:val="22"/>
            <w:szCs w:val="22"/>
          </w:rPr>
          <w:t>10</w:t>
        </w:r>
        <w:r w:rsidRPr="005525CE">
          <w:rPr>
            <w:rStyle w:val="Hyperlink"/>
            <w:rFonts w:ascii="Calibri" w:hAnsi="Calibri" w:cs="Calibri"/>
            <w:sz w:val="22"/>
            <w:szCs w:val="22"/>
          </w:rPr>
          <w:t>.4.1.1</w:t>
        </w:r>
      </w:hyperlink>
      <w:r w:rsidRPr="005525CE">
        <w:rPr>
          <w:rFonts w:ascii="Calibri" w:hAnsi="Calibri" w:cs="Calibri"/>
          <w:sz w:val="22"/>
          <w:szCs w:val="22"/>
        </w:rPr>
        <w:t>).</w:t>
      </w:r>
    </w:p>
    <w:p w14:paraId="779C85D7" w14:textId="6D7729B0" w:rsidR="006C6EBA" w:rsidRPr="006720E4" w:rsidRDefault="006C6EBA" w:rsidP="00C3783C">
      <w:pPr>
        <w:pStyle w:val="ListParagraph"/>
        <w:numPr>
          <w:ilvl w:val="0"/>
          <w:numId w:val="112"/>
        </w:numPr>
        <w:spacing w:after="120"/>
        <w:contextualSpacing w:val="0"/>
        <w:rPr>
          <w:rFonts w:cs="Calibri"/>
          <w:szCs w:val="22"/>
        </w:rPr>
      </w:pPr>
      <w:r w:rsidRPr="006720E4">
        <w:rPr>
          <w:rFonts w:cs="Calibri"/>
          <w:szCs w:val="22"/>
        </w:rPr>
        <w:t xml:space="preserve">For example, a prospective living HSC donor might fly interstate in a private airplane and stay at a luxury hotel while undergoing further tests to determine if they are suitable donor. Although these may be genuine costs associated with donation, they are largely avoidable as the prospective donor may be able to undergo evaluation and complete donation in their state of residency. Even if travel is necessary, use of a private jet and luxury hotel stay would be avoidable.   </w:t>
      </w:r>
    </w:p>
    <w:p w14:paraId="4AC791B3" w14:textId="77777777" w:rsidR="006C6EBA" w:rsidRPr="006720E4" w:rsidRDefault="006C6EBA" w:rsidP="00EA22AE">
      <w:pPr>
        <w:pStyle w:val="Heading4"/>
        <w:spacing w:after="120"/>
      </w:pPr>
      <w:bookmarkStart w:id="4424" w:name="_Distinguishing_coverage_of"/>
      <w:bookmarkStart w:id="4425" w:name="_Toc73301803"/>
      <w:bookmarkStart w:id="4426" w:name="_Toc73302309"/>
      <w:bookmarkStart w:id="4427" w:name="_Toc73303442"/>
      <w:bookmarkStart w:id="4428" w:name="_Toc74081587"/>
      <w:bookmarkStart w:id="4429" w:name="_Toc74172364"/>
      <w:bookmarkStart w:id="4430" w:name="_Toc74172900"/>
      <w:bookmarkStart w:id="4431" w:name="_Toc82773713"/>
      <w:bookmarkStart w:id="4432" w:name="_Toc82774066"/>
      <w:bookmarkEnd w:id="4424"/>
      <w:r w:rsidRPr="006720E4">
        <w:t>Distinguishing coverage of donation costs from incentives or rewards for donation</w:t>
      </w:r>
      <w:bookmarkEnd w:id="4425"/>
      <w:bookmarkEnd w:id="4426"/>
      <w:bookmarkEnd w:id="4427"/>
      <w:bookmarkEnd w:id="4428"/>
      <w:bookmarkEnd w:id="4429"/>
      <w:bookmarkEnd w:id="4430"/>
      <w:bookmarkEnd w:id="4431"/>
      <w:bookmarkEnd w:id="4432"/>
    </w:p>
    <w:p w14:paraId="652D5EF6" w14:textId="0F873556" w:rsidR="006C6EBA" w:rsidRPr="006720E4" w:rsidRDefault="006C6EBA" w:rsidP="00EA22AE">
      <w:pPr>
        <w:spacing w:after="120"/>
        <w:rPr>
          <w:rFonts w:ascii="Calibri" w:hAnsi="Calibri" w:cs="Calibri"/>
          <w:sz w:val="22"/>
          <w:szCs w:val="22"/>
        </w:rPr>
      </w:pPr>
      <w:r w:rsidRPr="006720E4">
        <w:rPr>
          <w:rFonts w:ascii="Calibri" w:hAnsi="Calibri" w:cs="Calibri"/>
          <w:bCs/>
          <w:color w:val="000000" w:themeColor="text1"/>
          <w:sz w:val="22"/>
          <w:szCs w:val="22"/>
        </w:rPr>
        <w:t>In some cases, confusion may arise because people consider coverage of costs as a form of reward</w:t>
      </w:r>
      <w:r w:rsidRPr="006720E4">
        <w:rPr>
          <w:rFonts w:ascii="Calibri" w:hAnsi="Calibri" w:cs="Calibri"/>
          <w:color w:val="000000" w:themeColor="text1"/>
          <w:sz w:val="22"/>
          <w:szCs w:val="22"/>
        </w:rPr>
        <w:t xml:space="preserve"> </w:t>
      </w:r>
      <w:r w:rsidRPr="006720E4">
        <w:rPr>
          <w:rFonts w:ascii="Calibri" w:hAnsi="Calibri" w:cs="Calibri"/>
          <w:sz w:val="22"/>
          <w:szCs w:val="22"/>
        </w:rPr>
        <w:t xml:space="preserve">or recognition of donation, rather than a way to achieve financial neutrality of donation and avoid causing financial harm to those who donate. </w:t>
      </w:r>
    </w:p>
    <w:p w14:paraId="18A0E287" w14:textId="6F038EC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in some countries, families who approve deceased donation are rewarded by payments that are intended to cover the costs of a funeral for the deceased donor. However, such payments often serve as an incentive to donate, because they represent a financial gain for families who approve </w:t>
      </w:r>
      <w:r w:rsidRPr="006824A7">
        <w:rPr>
          <w:rFonts w:ascii="Calibri" w:hAnsi="Calibri" w:cs="Calibri"/>
          <w:sz w:val="22"/>
          <w:szCs w:val="22"/>
        </w:rPr>
        <w:t xml:space="preserve">donation (see </w:t>
      </w:r>
      <w:hyperlink w:anchor="_Incentives_for_donation"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.1.1</w:t>
        </w:r>
      </w:hyperlink>
      <w:r w:rsidRPr="006824A7">
        <w:rPr>
          <w:rFonts w:ascii="Calibri" w:hAnsi="Calibri" w:cs="Calibri"/>
          <w:sz w:val="22"/>
          <w:szCs w:val="22"/>
        </w:rPr>
        <w:t>). These families would otherwise have to pay for the funeral of their loved one, so the cost of the funeral is not</w:t>
      </w:r>
      <w:r w:rsidRPr="006720E4">
        <w:rPr>
          <w:rFonts w:ascii="Calibri" w:hAnsi="Calibri" w:cs="Calibri"/>
          <w:sz w:val="22"/>
          <w:szCs w:val="22"/>
        </w:rPr>
        <w:t xml:space="preserve"> actually a cost of donation.</w:t>
      </w:r>
    </w:p>
    <w:p w14:paraId="6F1F22BE"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simple way to determine whether a cost is donation-specific and, as such, whether it should be covered for or reimbursed to donors, is to ask whether the individual or family concerned would have incurred this cost in the absence of donation. </w:t>
      </w:r>
    </w:p>
    <w:p w14:paraId="1884BAB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Care should be taken to establish clear policies or guidelines to support coverage or reimbursement of necessary costs associated with donation. If policies are not clearly communicated, for example, they may inadvertently cause harm. Announcements that donors will be paid to donate or will receive a lump sum of money to cover travel costs, for example, may incentivise or stigmatise donation even if the actual payments do not leave donors financially better off. </w:t>
      </w:r>
    </w:p>
    <w:p w14:paraId="36FC340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way that costs are covered may differ in specific settings and some flexibility may be required to reduce administrative burdens on donors as well as healthcare institutions. Programs that cover costs directly, for example by providing travel or parking vouchers for prospective donors undergoing screening, may be more effective in reducing barriers to donation and achieving neutrality, and less burdensome than programs which reimburse costs once these have been incurred.</w:t>
      </w:r>
    </w:p>
    <w:p w14:paraId="0464F52C" w14:textId="673E379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value of donation is priceless, and the </w:t>
      </w:r>
      <w:r w:rsidRPr="005525CE">
        <w:rPr>
          <w:rFonts w:ascii="Calibri" w:hAnsi="Calibri" w:cs="Calibri"/>
          <w:sz w:val="22"/>
          <w:szCs w:val="22"/>
        </w:rPr>
        <w:t xml:space="preserve">gifts of donors are made without expectations of or entitlement to rewards. Donors should be celebrated, and their gifts acknowledged (see </w:t>
      </w:r>
      <w:hyperlink w:anchor="_Acknowledging_donors" w:history="1">
        <w:r w:rsidRPr="005525CE">
          <w:rPr>
            <w:rStyle w:val="Hyperlink"/>
            <w:rFonts w:ascii="Calibri" w:hAnsi="Calibri" w:cs="Calibri"/>
            <w:sz w:val="22"/>
            <w:szCs w:val="22"/>
          </w:rPr>
          <w:t xml:space="preserve">Chapter </w:t>
        </w:r>
        <w:r w:rsidR="005525CE" w:rsidRPr="005525CE">
          <w:rPr>
            <w:rStyle w:val="Hyperlink"/>
            <w:rFonts w:ascii="Calibri" w:hAnsi="Calibri" w:cs="Calibri"/>
            <w:sz w:val="22"/>
            <w:szCs w:val="22"/>
          </w:rPr>
          <w:t>3</w:t>
        </w:r>
        <w:r w:rsidRPr="005525CE">
          <w:rPr>
            <w:rStyle w:val="Hyperlink"/>
            <w:rFonts w:ascii="Calibri" w:hAnsi="Calibri" w:cs="Calibri"/>
            <w:sz w:val="22"/>
            <w:szCs w:val="22"/>
          </w:rPr>
          <w:t>.</w:t>
        </w:r>
        <w:r w:rsidR="005525CE" w:rsidRPr="005525CE">
          <w:rPr>
            <w:rStyle w:val="Hyperlink"/>
            <w:rFonts w:ascii="Calibri" w:hAnsi="Calibri" w:cs="Calibri"/>
            <w:sz w:val="22"/>
            <w:szCs w:val="22"/>
          </w:rPr>
          <w:t>2</w:t>
        </w:r>
        <w:r w:rsidRPr="005525CE">
          <w:rPr>
            <w:rStyle w:val="Hyperlink"/>
            <w:rFonts w:ascii="Calibri" w:hAnsi="Calibri" w:cs="Calibri"/>
            <w:sz w:val="22"/>
            <w:szCs w:val="22"/>
          </w:rPr>
          <w:t>.1.1</w:t>
        </w:r>
      </w:hyperlink>
      <w:r w:rsidRPr="005525CE">
        <w:rPr>
          <w:rFonts w:ascii="Calibri" w:hAnsi="Calibri" w:cs="Calibri"/>
          <w:sz w:val="22"/>
          <w:szCs w:val="22"/>
        </w:rPr>
        <w:t>) using a range of strategies, such as public tributes, commemorative events and memorials and communication of thanks. Such ackno</w:t>
      </w:r>
      <w:r w:rsidRPr="006720E4">
        <w:rPr>
          <w:rFonts w:ascii="Calibri" w:hAnsi="Calibri" w:cs="Calibri"/>
          <w:sz w:val="22"/>
          <w:szCs w:val="22"/>
        </w:rPr>
        <w:t>wledgements should not take the form of rewards of financial value.</w:t>
      </w:r>
    </w:p>
    <w:p w14:paraId="301E396E" w14:textId="77777777" w:rsidR="006C6EBA" w:rsidRPr="006720E4" w:rsidRDefault="006C6EBA" w:rsidP="00EA22AE">
      <w:pPr>
        <w:pStyle w:val="Heading2"/>
        <w:spacing w:after="120"/>
      </w:pPr>
      <w:bookmarkStart w:id="4433" w:name="_Cost_recovery_and"/>
      <w:bookmarkStart w:id="4434" w:name="_Cost_recovery_and_1"/>
      <w:bookmarkStart w:id="4435" w:name="_Toc63683471"/>
      <w:bookmarkStart w:id="4436" w:name="_Toc70241817"/>
      <w:bookmarkStart w:id="4437" w:name="_Toc70243452"/>
      <w:bookmarkStart w:id="4438" w:name="_Toc70328763"/>
      <w:bookmarkStart w:id="4439" w:name="_Toc70333993"/>
      <w:bookmarkStart w:id="4440" w:name="_Toc70414948"/>
      <w:bookmarkStart w:id="4441" w:name="_Toc70844266"/>
      <w:bookmarkStart w:id="4442" w:name="_Toc70859021"/>
      <w:bookmarkStart w:id="4443" w:name="_Toc70861122"/>
      <w:bookmarkStart w:id="4444" w:name="_Toc70876607"/>
      <w:bookmarkStart w:id="4445" w:name="_Toc72615205"/>
      <w:bookmarkStart w:id="4446" w:name="_Toc73129933"/>
      <w:bookmarkStart w:id="4447" w:name="_Toc73301805"/>
      <w:bookmarkStart w:id="4448" w:name="_Toc73302311"/>
      <w:bookmarkStart w:id="4449" w:name="_Toc73303444"/>
      <w:bookmarkStart w:id="4450" w:name="_Toc73303661"/>
      <w:bookmarkStart w:id="4451" w:name="_Toc74080778"/>
      <w:bookmarkStart w:id="4452" w:name="_Toc74081086"/>
      <w:bookmarkStart w:id="4453" w:name="_Toc74081316"/>
      <w:bookmarkStart w:id="4454" w:name="_Toc74081589"/>
      <w:bookmarkStart w:id="4455" w:name="_Toc74171147"/>
      <w:bookmarkStart w:id="4456" w:name="_Toc74172366"/>
      <w:bookmarkStart w:id="4457" w:name="_Toc74172902"/>
      <w:bookmarkStart w:id="4458" w:name="_Toc74238821"/>
      <w:bookmarkStart w:id="4459" w:name="_Toc78304796"/>
      <w:bookmarkStart w:id="4460" w:name="_Toc79330899"/>
      <w:bookmarkStart w:id="4461" w:name="_Toc79331279"/>
      <w:bookmarkStart w:id="4462" w:name="_Toc79406477"/>
      <w:bookmarkStart w:id="4463" w:name="_Toc82773714"/>
      <w:bookmarkStart w:id="4464" w:name="_Toc82774067"/>
      <w:bookmarkStart w:id="4465" w:name="_Toc128314237"/>
      <w:bookmarkStart w:id="4466" w:name="_Toc135131482"/>
      <w:bookmarkEnd w:id="4433"/>
      <w:bookmarkEnd w:id="4434"/>
      <w:r w:rsidRPr="006720E4">
        <w:lastRenderedPageBreak/>
        <w:t>Cost recovery and profit management for donation and transplantation</w:t>
      </w:r>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p>
    <w:p w14:paraId="128DFD64" w14:textId="12DC8D6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addition to the costs potentially incurred by donors or donor families, the costs of donation and transplantation may also include fees for services or goods that are necessary for the safe and effective performance of donation and transplantation, as </w:t>
      </w:r>
      <w:r w:rsidRPr="006824A7">
        <w:rPr>
          <w:rFonts w:ascii="Calibri" w:hAnsi="Calibri" w:cs="Calibri"/>
          <w:sz w:val="22"/>
          <w:szCs w:val="22"/>
        </w:rPr>
        <w:t xml:space="preserve">noted in </w:t>
      </w:r>
      <w:hyperlink w:anchor="_Distinguishing_trade_in_1" w:history="1">
        <w:r w:rsidRPr="006824A7">
          <w:rPr>
            <w:rStyle w:val="Hyperlink"/>
            <w:rFonts w:ascii="Calibri" w:hAnsi="Calibri" w:cs="Calibri"/>
            <w:sz w:val="22"/>
            <w:szCs w:val="22"/>
          </w:rPr>
          <w:t xml:space="preserve">Chapter </w:t>
        </w:r>
        <w:r w:rsidR="00471664" w:rsidRPr="006824A7">
          <w:rPr>
            <w:rStyle w:val="Hyperlink"/>
            <w:rFonts w:ascii="Calibri" w:hAnsi="Calibri" w:cs="Calibri"/>
            <w:sz w:val="22"/>
            <w:szCs w:val="22"/>
          </w:rPr>
          <w:t>10</w:t>
        </w:r>
        <w:r w:rsidRPr="006824A7">
          <w:rPr>
            <w:rStyle w:val="Hyperlink"/>
            <w:rFonts w:ascii="Calibri" w:hAnsi="Calibri" w:cs="Calibri"/>
            <w:sz w:val="22"/>
            <w:szCs w:val="22"/>
          </w:rPr>
          <w:t>.3</w:t>
        </w:r>
      </w:hyperlink>
      <w:r w:rsidRPr="006824A7">
        <w:rPr>
          <w:rFonts w:ascii="Calibri" w:hAnsi="Calibri" w:cs="Calibri"/>
          <w:sz w:val="22"/>
          <w:szCs w:val="22"/>
        </w:rPr>
        <w:t>. In</w:t>
      </w:r>
      <w:r w:rsidRPr="006720E4">
        <w:rPr>
          <w:rFonts w:ascii="Calibri" w:hAnsi="Calibri" w:cs="Calibri"/>
          <w:sz w:val="22"/>
          <w:szCs w:val="22"/>
        </w:rPr>
        <w:t xml:space="preserve"> many cases, this may result in generation of a financial surplus or profits by organi</w:t>
      </w:r>
      <w:r w:rsidR="00BB3616">
        <w:rPr>
          <w:rFonts w:ascii="Calibri" w:hAnsi="Calibri" w:cs="Calibri"/>
          <w:sz w:val="22"/>
          <w:szCs w:val="22"/>
        </w:rPr>
        <w:t>s</w:t>
      </w:r>
      <w:r w:rsidRPr="006720E4">
        <w:rPr>
          <w:rFonts w:ascii="Calibri" w:hAnsi="Calibri" w:cs="Calibri"/>
          <w:sz w:val="22"/>
          <w:szCs w:val="22"/>
        </w:rPr>
        <w:t xml:space="preserve">ations involved in donation and transplantation activities, especially in the context of tissue </w:t>
      </w:r>
      <w:r w:rsidRPr="006824A7">
        <w:rPr>
          <w:rFonts w:ascii="Calibri" w:hAnsi="Calibri" w:cs="Calibri"/>
          <w:sz w:val="22"/>
          <w:szCs w:val="22"/>
        </w:rPr>
        <w:t xml:space="preserve">banking (see </w:t>
      </w:r>
      <w:hyperlink w:anchor="_How_cost_recovery"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.5.1.1</w:t>
        </w:r>
      </w:hyperlink>
      <w:r w:rsidRPr="006824A7">
        <w:rPr>
          <w:rFonts w:ascii="Calibri" w:hAnsi="Calibri" w:cs="Calibri"/>
          <w:sz w:val="22"/>
          <w:szCs w:val="22"/>
        </w:rPr>
        <w:t>).</w:t>
      </w:r>
      <w:r w:rsidRPr="006720E4">
        <w:rPr>
          <w:rFonts w:ascii="Calibri" w:hAnsi="Calibri" w:cs="Calibri"/>
          <w:sz w:val="22"/>
          <w:szCs w:val="22"/>
        </w:rPr>
        <w:t xml:space="preserve"> </w:t>
      </w:r>
    </w:p>
    <w:p w14:paraId="6C3EA34B" w14:textId="4CA2CF4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is an important consideration because when professional activities in donation and transplantation are perceived to create significant or inappropriate profits, this may undermine public trust in the integrity of donation and transplantation programs and discourage participation in donation. Generation of profits may give the impression that the financial gain is produced from the removal or exchange of cells, tissues or organs which may indirectly or directly treat donated materials as commodities. </w:t>
      </w:r>
    </w:p>
    <w:p w14:paraId="3A0B5667" w14:textId="1CB85AD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may sometimes be difficult to determine when </w:t>
      </w:r>
      <w:r w:rsidRPr="006824A7">
        <w:rPr>
          <w:rFonts w:ascii="Calibri" w:hAnsi="Calibri" w:cs="Calibri"/>
          <w:sz w:val="22"/>
          <w:szCs w:val="22"/>
        </w:rPr>
        <w:t xml:space="preserve">profits are appropriately generated and used, in part due to difficulties in defining costs and set fees for services for reasons outlined in </w:t>
      </w:r>
      <w:hyperlink w:anchor="_Difficulties_in_defining"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.5.1</w:t>
        </w:r>
      </w:hyperlink>
      <w:r w:rsidRPr="006824A7">
        <w:rPr>
          <w:rFonts w:ascii="Calibri" w:hAnsi="Calibri" w:cs="Calibri"/>
          <w:sz w:val="22"/>
          <w:szCs w:val="22"/>
        </w:rPr>
        <w:t xml:space="preserve">. Potential strategies to guide determination of ethically appropriate costs and fees for services are discussed in </w:t>
      </w:r>
      <w:hyperlink w:anchor="_Determining_ethically_appropriate"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.5.2</w:t>
        </w:r>
      </w:hyperlink>
      <w:r w:rsidRPr="006824A7">
        <w:rPr>
          <w:rFonts w:ascii="Calibri" w:hAnsi="Calibri" w:cs="Calibri"/>
          <w:sz w:val="22"/>
          <w:szCs w:val="22"/>
        </w:rPr>
        <w:t>.</w:t>
      </w:r>
    </w:p>
    <w:p w14:paraId="5FFE8575" w14:textId="690FD4F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some circumstances generation of profits from donation and transplantation activities may be ethically appropriate, when this is necessary to cover the costs associated with achievement of the goals of donation and transplant programs. However, generation of profits may also reflect ethically inappropriate “profiteering” activities that seek to create profits in ways that undermine the values and goals of donation and transplant </w:t>
      </w:r>
      <w:r w:rsidRPr="006824A7">
        <w:rPr>
          <w:rFonts w:ascii="Calibri" w:hAnsi="Calibri" w:cs="Calibri"/>
          <w:sz w:val="22"/>
          <w:szCs w:val="22"/>
        </w:rPr>
        <w:t xml:space="preserve">programs. Ethical considerations with regards to generation and management of profits are discussed in </w:t>
      </w:r>
      <w:hyperlink w:anchor="_Managing_profits_in"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.5.3</w:t>
        </w:r>
      </w:hyperlink>
      <w:r w:rsidRPr="006824A7">
        <w:rPr>
          <w:rFonts w:ascii="Calibri" w:hAnsi="Calibri" w:cs="Calibri"/>
          <w:sz w:val="22"/>
          <w:szCs w:val="22"/>
        </w:rPr>
        <w:t>.</w:t>
      </w:r>
      <w:r w:rsidRPr="006720E4">
        <w:rPr>
          <w:rFonts w:ascii="Calibri" w:hAnsi="Calibri" w:cs="Calibri"/>
          <w:sz w:val="22"/>
          <w:szCs w:val="22"/>
        </w:rPr>
        <w:t xml:space="preserve"> </w:t>
      </w:r>
    </w:p>
    <w:p w14:paraId="4252C3C1" w14:textId="77777777" w:rsidR="006C6EBA" w:rsidRPr="006720E4" w:rsidRDefault="006C6EBA" w:rsidP="00C3783C">
      <w:pPr>
        <w:pStyle w:val="Heading3"/>
        <w:numPr>
          <w:ilvl w:val="2"/>
          <w:numId w:val="60"/>
        </w:numPr>
        <w:spacing w:after="120"/>
      </w:pPr>
      <w:bookmarkStart w:id="4467" w:name="_Toc79330900"/>
      <w:bookmarkStart w:id="4468" w:name="_Toc79331280"/>
      <w:bookmarkStart w:id="4469" w:name="_Toc79406478"/>
      <w:bookmarkStart w:id="4470" w:name="_Toc82623504"/>
      <w:bookmarkStart w:id="4471" w:name="_Difficulties_in_defining"/>
      <w:bookmarkStart w:id="4472" w:name="_Toc79406483"/>
      <w:bookmarkStart w:id="4473" w:name="_Toc82773715"/>
      <w:bookmarkStart w:id="4474" w:name="_Toc82774068"/>
      <w:bookmarkEnd w:id="4467"/>
      <w:bookmarkEnd w:id="4468"/>
      <w:bookmarkEnd w:id="4469"/>
      <w:bookmarkEnd w:id="4470"/>
      <w:bookmarkEnd w:id="4471"/>
      <w:r w:rsidRPr="006720E4">
        <w:t>Difficulties in defining and quantifying costs of donation and transplantation activities</w:t>
      </w:r>
      <w:bookmarkEnd w:id="4472"/>
      <w:bookmarkEnd w:id="4473"/>
      <w:bookmarkEnd w:id="4474"/>
    </w:p>
    <w:p w14:paraId="7C2C8C51"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Defining and quantifying specific costs for particular donation and transplantation activities may be difficult for several reasons. First, </w:t>
      </w:r>
      <w:r w:rsidRPr="006720E4">
        <w:rPr>
          <w:rFonts w:ascii="Calibri" w:hAnsi="Calibri" w:cs="Calibri"/>
          <w:b/>
          <w:bCs/>
          <w:sz w:val="22"/>
          <w:szCs w:val="22"/>
        </w:rPr>
        <w:t>standardising legitimate costs across Australia is difficult</w:t>
      </w:r>
      <w:r w:rsidRPr="006720E4">
        <w:rPr>
          <w:rFonts w:ascii="Calibri" w:hAnsi="Calibri" w:cs="Calibri"/>
          <w:sz w:val="22"/>
          <w:szCs w:val="22"/>
        </w:rPr>
        <w:t xml:space="preserve"> because costs may fluctuate over time and may differ according to the particular context in which donation and transplantation occurs and in which organ transplantation services or tissue banks operate. </w:t>
      </w:r>
    </w:p>
    <w:p w14:paraId="540FEB0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example, larger tissue banks with a higher volume of activity may be able to operate more cost effectively, as a result of economies of scale. Similarly, some hospitals may face higher costs in retrieving organs from deceased donors, for example when a surgical team is required to travel for donation surgery or when donated organs must travel interstate for transplantation.</w:t>
      </w:r>
    </w:p>
    <w:p w14:paraId="01B818BB" w14:textId="074DD0E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Fluctuations in donor numbers may also impact cost recovery in tissue banks, when costs are covered via fees associated with supply of grafts. The major costs of operating a tissue bank, for example, with staff salaries and maintenance of facilities and equipment may remain largely the same regardless of the level of activity. However, cost recovery will be influenced by fluctuations in donor numbers and proportionate to the number of grafts supplied. This problem is reduced when operational costs are partly covered as public health funding.</w:t>
      </w:r>
    </w:p>
    <w:p w14:paraId="0E995F5B" w14:textId="25A9A0A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Second, in order to recover the costs of performing donation and transplantation activities, some organi</w:t>
      </w:r>
      <w:r w:rsidR="00BB3616">
        <w:rPr>
          <w:rFonts w:ascii="Calibri" w:hAnsi="Calibri" w:cs="Calibri"/>
          <w:sz w:val="22"/>
          <w:szCs w:val="22"/>
        </w:rPr>
        <w:t>s</w:t>
      </w:r>
      <w:r w:rsidRPr="006720E4">
        <w:rPr>
          <w:rFonts w:ascii="Calibri" w:hAnsi="Calibri" w:cs="Calibri"/>
          <w:sz w:val="22"/>
          <w:szCs w:val="22"/>
        </w:rPr>
        <w:t xml:space="preserve">ations or institutions may effectively set a price on cells, tissues or organs at the point of delivery for transplantation. For example, a tissue graft may be purchased by a hospital for use in a transplant procedure, and the fee paid to the tissue bank that provides this product will contribute to the costs of employing staff, maintaining the tissue bank infrastructure and the various activities of the bank in procuring, processing, storing and distributing various tissue products, and maintaining regulatory compliance. It may thus be </w:t>
      </w:r>
      <w:r w:rsidRPr="006720E4">
        <w:rPr>
          <w:rFonts w:ascii="Calibri" w:hAnsi="Calibri" w:cs="Calibri"/>
          <w:b/>
          <w:bCs/>
          <w:sz w:val="22"/>
          <w:szCs w:val="22"/>
        </w:rPr>
        <w:t>difficult to determine whether the specific price set for this tissue product is equivalent to the direct costs</w:t>
      </w:r>
      <w:r w:rsidRPr="006720E4">
        <w:rPr>
          <w:rFonts w:ascii="Calibri" w:hAnsi="Calibri" w:cs="Calibri"/>
          <w:sz w:val="22"/>
          <w:szCs w:val="22"/>
        </w:rPr>
        <w:t xml:space="preserve"> associated with its production, and hence whether the price is legitimate.</w:t>
      </w:r>
    </w:p>
    <w:p w14:paraId="2CEBD9FD"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Third, </w:t>
      </w:r>
      <w:r w:rsidRPr="006720E4">
        <w:rPr>
          <w:rFonts w:ascii="Calibri" w:hAnsi="Calibri" w:cs="Calibri"/>
          <w:b/>
          <w:bCs/>
          <w:sz w:val="22"/>
          <w:szCs w:val="22"/>
        </w:rPr>
        <w:t>lack of data</w:t>
      </w:r>
      <w:r w:rsidRPr="006720E4">
        <w:rPr>
          <w:rFonts w:ascii="Calibri" w:hAnsi="Calibri" w:cs="Calibri"/>
          <w:sz w:val="22"/>
          <w:szCs w:val="22"/>
        </w:rPr>
        <w:t xml:space="preserve"> about the various costs and factors influencing donation and transplantation activities in particular contexts, and the complexities of funding associated with related healthcare institutions and systems make it difficult to obtain a clear picture of the “economy” of donation and transplantation and to make comparisons between the fees or costs charged by various stakeholders.</w:t>
      </w:r>
    </w:p>
    <w:p w14:paraId="6F1684AA" w14:textId="77777777" w:rsidR="006C6EBA" w:rsidRPr="006720E4" w:rsidRDefault="006C6EBA" w:rsidP="00EA22AE">
      <w:pPr>
        <w:pStyle w:val="Heading4"/>
        <w:spacing w:after="120"/>
      </w:pPr>
      <w:bookmarkStart w:id="4475" w:name="_How_cost_recovery"/>
      <w:bookmarkStart w:id="4476" w:name="_Toc82773716"/>
      <w:bookmarkStart w:id="4477" w:name="_Toc82774069"/>
      <w:bookmarkEnd w:id="4475"/>
      <w:r w:rsidRPr="006720E4">
        <w:t>How cost recovery models may complicate tissue banking</w:t>
      </w:r>
      <w:bookmarkEnd w:id="4476"/>
      <w:bookmarkEnd w:id="4477"/>
    </w:p>
    <w:p w14:paraId="4DEC7215" w14:textId="0A5DA92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fees for services or prices associated with removal, storage or distribution of tissue donations are too high, this could mean that the organi</w:t>
      </w:r>
      <w:r w:rsidR="00BB3616">
        <w:rPr>
          <w:rFonts w:ascii="Calibri" w:hAnsi="Calibri" w:cs="Calibri"/>
          <w:sz w:val="22"/>
          <w:szCs w:val="22"/>
        </w:rPr>
        <w:t>s</w:t>
      </w:r>
      <w:r w:rsidRPr="006720E4">
        <w:rPr>
          <w:rFonts w:ascii="Calibri" w:hAnsi="Calibri" w:cs="Calibri"/>
          <w:sz w:val="22"/>
          <w:szCs w:val="22"/>
        </w:rPr>
        <w:t>ation responsible for these activities is obtaining a profit from the donation, and effectively trading in tissues. If too low, this could mean the organi</w:t>
      </w:r>
      <w:r w:rsidR="00BB3616">
        <w:rPr>
          <w:rFonts w:ascii="Calibri" w:hAnsi="Calibri" w:cs="Calibri"/>
          <w:sz w:val="22"/>
          <w:szCs w:val="22"/>
        </w:rPr>
        <w:t>s</w:t>
      </w:r>
      <w:r w:rsidRPr="006720E4">
        <w:rPr>
          <w:rFonts w:ascii="Calibri" w:hAnsi="Calibri" w:cs="Calibri"/>
          <w:sz w:val="22"/>
          <w:szCs w:val="22"/>
        </w:rPr>
        <w:t>ation is not adequately covering its costs and may thus be jeopardising its economic sustainability and ability to provide high quality services.</w:t>
      </w:r>
    </w:p>
    <w:p w14:paraId="02E16114" w14:textId="48A86CA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w:t>
      </w:r>
      <w:r w:rsidRPr="006824A7">
        <w:rPr>
          <w:rFonts w:ascii="Calibri" w:hAnsi="Calibri" w:cs="Calibri"/>
          <w:sz w:val="22"/>
          <w:szCs w:val="22"/>
        </w:rPr>
        <w:t xml:space="preserve">noted in </w:t>
      </w:r>
      <w:hyperlink w:anchor="_Difficulties_in_defining"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.5.1</w:t>
        </w:r>
      </w:hyperlink>
      <w:r w:rsidRPr="006824A7">
        <w:rPr>
          <w:rFonts w:ascii="Calibri" w:hAnsi="Calibri" w:cs="Calibri"/>
          <w:sz w:val="22"/>
          <w:szCs w:val="22"/>
        </w:rPr>
        <w:t>, the costs of</w:t>
      </w:r>
      <w:r w:rsidRPr="006720E4">
        <w:rPr>
          <w:rFonts w:ascii="Calibri" w:hAnsi="Calibri" w:cs="Calibri"/>
          <w:sz w:val="22"/>
          <w:szCs w:val="22"/>
        </w:rPr>
        <w:t xml:space="preserve"> producing specific tissue grafts within a particular bank may vary for several reasons. This means that when particular grafts are purchased by health professionals, the same type of graft may be cheaper if obtained from one tissue bank rather than another.</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{"citationItems":[{"id":"ITEM-1","itemData":{"author":[{"dropping-particle":"","family":"Commonwealth Government","given":"","non-dropping-particle":"","parse-names":false,"suffix":""}],"id":"ITEM-1","issue":"December","issued":{"date-parts":[["2018"]]},"title":"Review of the Australian organ donation, retrieval and transplantation system -Final Report","type":"report"},"uris":["http://www.mendeley.com/documents/?uuid=457f0dca-8738-4134-ac43-d1026bf4968d"]}],"mendeley":{"formattedCitation":"(157)","plainTextFormattedCitation":"(157)","previouslyFormattedCitation":"(157)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(157)</w:t>
      </w:r>
      <w:r w:rsidRPr="006720E4">
        <w:rPr>
          <w:rFonts w:ascii="Calibri" w:hAnsi="Calibri" w:cs="Calibri"/>
          <w:sz w:val="22"/>
          <w:szCs w:val="22"/>
        </w:rPr>
        <w:fldChar w:fldCharType="end"/>
      </w:r>
      <w:r w:rsidRPr="006720E4">
        <w:rPr>
          <w:rFonts w:ascii="Calibri" w:hAnsi="Calibri" w:cs="Calibri"/>
          <w:sz w:val="22"/>
          <w:szCs w:val="22"/>
        </w:rPr>
        <w:t xml:space="preserve"> Thus the distribution of tissue products within Australia may in some circumstances operate like an open market in ways that can impact the sustainability of individual tissue banks, as some banks may be forced to offer products at a cost that is not sustainable or risk being outpriced by a competing bank. </w:t>
      </w:r>
    </w:p>
    <w:p w14:paraId="1B5600C1" w14:textId="2F8BE14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can also influence decision-making with regards to manufacture of particular tissue grafts, as some tissues may be processed for use in grafts that will attract a higher fee than others despite costs of production that may be similar. Importation of tissue grafts from outside Australia may also </w:t>
      </w:r>
      <w:r w:rsidRPr="006824A7">
        <w:rPr>
          <w:rFonts w:ascii="Calibri" w:hAnsi="Calibri" w:cs="Calibri"/>
          <w:sz w:val="22"/>
          <w:szCs w:val="22"/>
        </w:rPr>
        <w:t xml:space="preserve">threaten sustainability or influence decision-making about fees charged for supply of particular grafts (see </w:t>
      </w:r>
      <w:hyperlink w:anchor="_Ethical_considerations_in_3"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9</w:t>
        </w:r>
        <w:r w:rsidRPr="006824A7">
          <w:rPr>
            <w:rStyle w:val="Hyperlink"/>
            <w:rFonts w:ascii="Calibri" w:hAnsi="Calibri" w:cs="Calibri"/>
            <w:sz w:val="22"/>
            <w:szCs w:val="22"/>
          </w:rPr>
          <w:t>.3.2</w:t>
        </w:r>
      </w:hyperlink>
      <w:r w:rsidRPr="006824A7">
        <w:rPr>
          <w:rFonts w:ascii="Calibri" w:hAnsi="Calibri" w:cs="Calibri"/>
          <w:sz w:val="22"/>
          <w:szCs w:val="22"/>
        </w:rPr>
        <w:t>).</w:t>
      </w:r>
    </w:p>
    <w:p w14:paraId="4D67A057"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Cost recovery models are also challenging for the economic stability of tissue banks as processed tissues may often be stored for significant periods of time, resulting in variable time lags between expenditure and recovery of incurred costs. This may encourage or necessitate generation of a financial surplus in order to protect against periods in which costs cannot be recovered. Finally, the expenses involved in the development of new technologies and introduction of new tissue grafts may not be accounted for in cost-recovery modelling, hindering growth and innovation.  </w:t>
      </w:r>
    </w:p>
    <w:p w14:paraId="1B7F0B3D" w14:textId="77777777" w:rsidR="006C6EBA" w:rsidRPr="006720E4" w:rsidRDefault="006C6EBA" w:rsidP="00EA22AE">
      <w:pPr>
        <w:pStyle w:val="Heading3"/>
        <w:spacing w:after="120"/>
      </w:pPr>
      <w:bookmarkStart w:id="4478" w:name="_Determining_ethically_appropriate"/>
      <w:bookmarkStart w:id="4479" w:name="_Determining__ethically"/>
      <w:bookmarkStart w:id="4480" w:name="_Toc63683472"/>
      <w:bookmarkStart w:id="4481" w:name="_Toc70241818"/>
      <w:bookmarkStart w:id="4482" w:name="_Toc70243453"/>
      <w:bookmarkStart w:id="4483" w:name="_Toc70414949"/>
      <w:bookmarkStart w:id="4484" w:name="_Toc70844267"/>
      <w:bookmarkStart w:id="4485" w:name="_Toc72615206"/>
      <w:bookmarkStart w:id="4486" w:name="_Toc73129934"/>
      <w:bookmarkStart w:id="4487" w:name="_Toc73301808"/>
      <w:bookmarkStart w:id="4488" w:name="_Toc73302314"/>
      <w:bookmarkStart w:id="4489" w:name="_Toc73303447"/>
      <w:bookmarkStart w:id="4490" w:name="_Toc73303664"/>
      <w:bookmarkStart w:id="4491" w:name="_Toc74080781"/>
      <w:bookmarkStart w:id="4492" w:name="_Toc74081089"/>
      <w:bookmarkStart w:id="4493" w:name="_Toc74081319"/>
      <w:bookmarkStart w:id="4494" w:name="_Toc74081592"/>
      <w:bookmarkStart w:id="4495" w:name="_Toc74171150"/>
      <w:bookmarkStart w:id="4496" w:name="_Toc74172369"/>
      <w:bookmarkStart w:id="4497" w:name="_Toc74172905"/>
      <w:bookmarkStart w:id="4498" w:name="_Toc74238824"/>
      <w:bookmarkStart w:id="4499" w:name="_Toc79406484"/>
      <w:bookmarkStart w:id="4500" w:name="_Toc82773717"/>
      <w:bookmarkStart w:id="4501" w:name="_Toc82774070"/>
      <w:bookmarkEnd w:id="4478"/>
      <w:bookmarkEnd w:id="4479"/>
      <w:r w:rsidRPr="006720E4">
        <w:t>Determining ethically appropriate costs and fees for services relating to donation and transplantation activities</w:t>
      </w:r>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r w:rsidRPr="006720E4">
        <w:t xml:space="preserve"> </w:t>
      </w:r>
    </w:p>
    <w:p w14:paraId="73DEF0A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Determination of legitimate fees for services or costs of goods required for donation and transplantation activities should be guided by consideration of the fees and charges associated with similar activities or goods outside the context of donation and transplantation. Fees for services such as medical consultations, investigations and procedures should be consistent with fees associated with similar activities which do not involve donation and transplantation. By calculating reasonable fees and charges, and the proportion of these costs that may be associated with eventual supply of specific types of cells, tissues, or organs for transplantation, it should be possible to estimate the overall costs that may need to be recovered by particular service providers.</w:t>
      </w:r>
    </w:p>
    <w:p w14:paraId="4AC27003" w14:textId="057D2BD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example, the general costs associated with removal of a kidney for therapeutic purposes should be similar to those of removing a kidney for the purpose of donation, although some elements may differ (e.g., complexity of operation and related investigations and follow up may be different). Similarly, fees for services such as collection, transport and storage of human tissues should be consistent with fees associated with similar activities involving medical products of nonhuman origin, noting that some elements may differ (e.g., costs associated with maintaining necessary systems for traceability of tissues, biovigilance and surveillance).</w:t>
      </w:r>
    </w:p>
    <w:p w14:paraId="204FF1FE"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When setting a price on goods and services relating to donation and transplantation, this should be determined by what is </w:t>
      </w:r>
    </w:p>
    <w:p w14:paraId="36035B04" w14:textId="77777777" w:rsidR="006C6EBA" w:rsidRPr="006720E4" w:rsidRDefault="006C6EBA" w:rsidP="00EA22AE">
      <w:pPr>
        <w:pStyle w:val="Bullet"/>
        <w:numPr>
          <w:ilvl w:val="0"/>
          <w:numId w:val="14"/>
        </w:numPr>
        <w:spacing w:after="120"/>
        <w:contextualSpacing w:val="0"/>
        <w:rPr>
          <w:rFonts w:cs="Calibri"/>
          <w:szCs w:val="22"/>
        </w:rPr>
      </w:pPr>
      <w:r w:rsidRPr="006720E4">
        <w:rPr>
          <w:rFonts w:cs="Calibri"/>
          <w:szCs w:val="22"/>
        </w:rPr>
        <w:t xml:space="preserve">necessary to provide high quality, safe care to potential and actual donors and transplant recipients; </w:t>
      </w:r>
    </w:p>
    <w:p w14:paraId="39C775B4" w14:textId="77777777" w:rsidR="006C6EBA" w:rsidRPr="006720E4" w:rsidRDefault="006C6EBA" w:rsidP="00EA22AE">
      <w:pPr>
        <w:pStyle w:val="Bullet"/>
        <w:numPr>
          <w:ilvl w:val="0"/>
          <w:numId w:val="14"/>
        </w:numPr>
        <w:spacing w:after="120"/>
        <w:contextualSpacing w:val="0"/>
        <w:rPr>
          <w:rFonts w:cs="Calibri"/>
          <w:szCs w:val="22"/>
        </w:rPr>
      </w:pPr>
      <w:r w:rsidRPr="006720E4">
        <w:rPr>
          <w:rFonts w:cs="Calibri"/>
          <w:szCs w:val="22"/>
        </w:rPr>
        <w:t>proportionate to equivalent activities outside the context of donation and transplantation; and</w:t>
      </w:r>
    </w:p>
    <w:p w14:paraId="33FB5EA5" w14:textId="77777777" w:rsidR="006C6EBA" w:rsidRPr="006720E4" w:rsidRDefault="006C6EBA" w:rsidP="00EA22AE">
      <w:pPr>
        <w:pStyle w:val="Bullet"/>
        <w:numPr>
          <w:ilvl w:val="0"/>
          <w:numId w:val="14"/>
        </w:numPr>
        <w:spacing w:after="120"/>
        <w:contextualSpacing w:val="0"/>
        <w:rPr>
          <w:rFonts w:cs="Calibri"/>
          <w:szCs w:val="22"/>
        </w:rPr>
      </w:pPr>
      <w:r w:rsidRPr="006720E4">
        <w:rPr>
          <w:rFonts w:cs="Calibri"/>
          <w:szCs w:val="22"/>
        </w:rPr>
        <w:t>necessary to promote and maintain sustainable and equitable programs of donation and transplantation within Australia.</w:t>
      </w:r>
    </w:p>
    <w:p w14:paraId="4D6ABB21" w14:textId="7B4B3EE8" w:rsidR="006C6EBA" w:rsidRPr="006720E4" w:rsidRDefault="006C6EBA" w:rsidP="00EA22AE">
      <w:pPr>
        <w:pStyle w:val="Bullet"/>
        <w:numPr>
          <w:ilvl w:val="0"/>
          <w:numId w:val="0"/>
        </w:numPr>
        <w:spacing w:after="120"/>
        <w:contextualSpacing w:val="0"/>
        <w:rPr>
          <w:rFonts w:cs="Calibri"/>
          <w:szCs w:val="22"/>
        </w:rPr>
      </w:pPr>
      <w:r w:rsidRPr="006720E4">
        <w:rPr>
          <w:rFonts w:cs="Calibri"/>
          <w:szCs w:val="22"/>
        </w:rPr>
        <w:t xml:space="preserve">These considerations in turn will require further specification, for example in determining what is necessary to provide high quality care for donors and transplant recipients. For example, there may be research and development costs associated with efforts to improve the quality of organ or tissue grafts, and costs of training staff involved in various donation and transplantation activities. Some such costs may be considered necessary, in the strictest sense, but not in all circumstances. Coverage of these more indirect costs associated with donation or transplantation is discussed in the context of ethical profit </w:t>
      </w:r>
      <w:r w:rsidRPr="006824A7">
        <w:rPr>
          <w:rFonts w:cs="Calibri"/>
          <w:szCs w:val="22"/>
        </w:rPr>
        <w:t xml:space="preserve">management in </w:t>
      </w:r>
      <w:hyperlink w:anchor="_Conditions_in_which" w:history="1">
        <w:r w:rsidRPr="006824A7">
          <w:rPr>
            <w:rStyle w:val="Hyperlink"/>
            <w:rFonts w:cs="Calibri"/>
            <w:szCs w:val="22"/>
          </w:rPr>
          <w:t xml:space="preserve">Chapter </w:t>
        </w:r>
        <w:r w:rsidR="006824A7" w:rsidRPr="006824A7">
          <w:rPr>
            <w:rStyle w:val="Hyperlink"/>
            <w:rFonts w:cs="Calibri"/>
            <w:szCs w:val="22"/>
          </w:rPr>
          <w:t>10</w:t>
        </w:r>
        <w:r w:rsidRPr="006824A7">
          <w:rPr>
            <w:rStyle w:val="Hyperlink"/>
            <w:rFonts w:cs="Calibri"/>
            <w:szCs w:val="22"/>
          </w:rPr>
          <w:t>.5.3.1</w:t>
        </w:r>
      </w:hyperlink>
      <w:r w:rsidRPr="006824A7">
        <w:rPr>
          <w:rFonts w:cs="Calibri"/>
          <w:szCs w:val="22"/>
        </w:rPr>
        <w:t>, as profits</w:t>
      </w:r>
      <w:r w:rsidRPr="006720E4">
        <w:rPr>
          <w:rFonts w:cs="Calibri"/>
          <w:szCs w:val="22"/>
        </w:rPr>
        <w:t xml:space="preserve"> may sometimes be generated or used to support activities such as research or training.</w:t>
      </w:r>
    </w:p>
    <w:p w14:paraId="1299BD01" w14:textId="0582E83E" w:rsidR="006C6EBA" w:rsidRPr="006720E4" w:rsidRDefault="006C6EBA" w:rsidP="00EA22AE">
      <w:pPr>
        <w:pStyle w:val="Heading3"/>
        <w:spacing w:after="120"/>
      </w:pPr>
      <w:bookmarkStart w:id="4502" w:name="_Managing_profits_in"/>
      <w:bookmarkStart w:id="4503" w:name="_Toc63683473"/>
      <w:bookmarkStart w:id="4504" w:name="_Toc70241819"/>
      <w:bookmarkStart w:id="4505" w:name="_Toc70243454"/>
      <w:bookmarkStart w:id="4506" w:name="_Toc70414950"/>
      <w:bookmarkStart w:id="4507" w:name="_Toc70844268"/>
      <w:bookmarkStart w:id="4508" w:name="_Toc72615207"/>
      <w:bookmarkStart w:id="4509" w:name="_Toc73129935"/>
      <w:bookmarkStart w:id="4510" w:name="_Toc73301809"/>
      <w:bookmarkStart w:id="4511" w:name="_Toc73302315"/>
      <w:bookmarkStart w:id="4512" w:name="_Toc73303448"/>
      <w:bookmarkStart w:id="4513" w:name="_Toc73303665"/>
      <w:bookmarkStart w:id="4514" w:name="_Toc74080782"/>
      <w:bookmarkStart w:id="4515" w:name="_Toc74081090"/>
      <w:bookmarkStart w:id="4516" w:name="_Toc74081320"/>
      <w:bookmarkStart w:id="4517" w:name="_Toc74081593"/>
      <w:bookmarkStart w:id="4518" w:name="_Toc74171151"/>
      <w:bookmarkStart w:id="4519" w:name="_Toc74172370"/>
      <w:bookmarkStart w:id="4520" w:name="_Toc74172906"/>
      <w:bookmarkStart w:id="4521" w:name="_Toc74238825"/>
      <w:bookmarkStart w:id="4522" w:name="_Toc79406485"/>
      <w:bookmarkStart w:id="4523" w:name="_Toc82773718"/>
      <w:bookmarkStart w:id="4524" w:name="_Toc82774071"/>
      <w:bookmarkEnd w:id="4502"/>
      <w:r w:rsidRPr="006720E4">
        <w:t>Managing profits in donation and transplantation</w:t>
      </w:r>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p>
    <w:p w14:paraId="2EF484F0" w14:textId="5188090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not always feasible to associate individual donations or specific cells, tissues or organs that are made available for transplantation with an itemised fee reflecting the relevant proportion of all costs associated with removal, storage, distribution, and quality assurance of the cells, tissues or organs, given the economic complexities </w:t>
      </w:r>
      <w:r w:rsidRPr="006824A7">
        <w:rPr>
          <w:rFonts w:ascii="Calibri" w:hAnsi="Calibri" w:cs="Calibri"/>
          <w:sz w:val="22"/>
          <w:szCs w:val="22"/>
        </w:rPr>
        <w:t xml:space="preserve">outlined in </w:t>
      </w:r>
      <w:hyperlink w:anchor="_Difficulties_in_defining" w:history="1">
        <w:r w:rsidRPr="006824A7">
          <w:rPr>
            <w:rStyle w:val="Hyperlink"/>
            <w:rFonts w:ascii="Calibri" w:hAnsi="Calibri" w:cs="Calibri"/>
            <w:sz w:val="22"/>
            <w:szCs w:val="22"/>
          </w:rPr>
          <w:t xml:space="preserve">Chapter </w:t>
        </w:r>
        <w:r w:rsidR="006824A7" w:rsidRPr="006824A7">
          <w:rPr>
            <w:rStyle w:val="Hyperlink"/>
            <w:rFonts w:ascii="Calibri" w:hAnsi="Calibri" w:cs="Calibri"/>
            <w:sz w:val="22"/>
            <w:szCs w:val="22"/>
          </w:rPr>
          <w:t>10</w:t>
        </w:r>
        <w:r w:rsidRPr="006824A7">
          <w:rPr>
            <w:rStyle w:val="Hyperlink"/>
            <w:rFonts w:ascii="Calibri" w:hAnsi="Calibri" w:cs="Calibri"/>
            <w:sz w:val="22"/>
            <w:szCs w:val="22"/>
          </w:rPr>
          <w:t>.5.1</w:t>
        </w:r>
      </w:hyperlink>
      <w:r w:rsidRPr="006824A7">
        <w:rPr>
          <w:rFonts w:ascii="Calibri" w:hAnsi="Calibri" w:cs="Calibri"/>
          <w:sz w:val="22"/>
          <w:szCs w:val="22"/>
        </w:rPr>
        <w:t>. This</w:t>
      </w:r>
      <w:r w:rsidRPr="006720E4">
        <w:rPr>
          <w:rFonts w:ascii="Calibri" w:hAnsi="Calibri" w:cs="Calibri"/>
          <w:sz w:val="22"/>
          <w:szCs w:val="22"/>
        </w:rPr>
        <w:t xml:space="preserve"> means that on a case-by-case basis, not all costs may be recovered, or profits – a financial surplus - may be generated. Collectively, donation or transplantation activities in specific settings may run at a financial loss, or conversely generate profits in excess of the costs incurred in performing these specific donation and transplantation activities. </w:t>
      </w:r>
    </w:p>
    <w:p w14:paraId="759CC027" w14:textId="5526443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profits are used to cover the costs incurred by other donation and transplantation activities this may not be problematic, provided that efforts to subsidize the costs in one part of the sector do not undermine equity of access to transplantation. For example, profits generated by supply of some tissue grafts by a tissue bank may be used to subsidise costs associated with supply of other types of graft. The fundamental concerns are that donation and transplantation should not be driven by financial gain; access to donation and transplantation should be equitable and not influenced by the ability of donors or recipients to pay for donation or transplantation; the overall costs associated with donation and transplantation activities should be covered fairly; and donated cells, tissues, and organs should not be treated as commodities. Profit generation may also indicate increased costs of donation and transplantation services which could negatively impact equity of access to donation and transplantation.</w:t>
      </w:r>
    </w:p>
    <w:p w14:paraId="198497A0" w14:textId="25D7F67C" w:rsidR="006C6EBA" w:rsidRPr="00CB38A6" w:rsidRDefault="006C6EBA" w:rsidP="00EA22AE">
      <w:pPr>
        <w:spacing w:after="120"/>
        <w:rPr>
          <w:rFonts w:ascii="Calibri" w:hAnsi="Calibri" w:cs="Calibri"/>
          <w:sz w:val="22"/>
          <w:szCs w:val="22"/>
        </w:rPr>
      </w:pPr>
      <w:r w:rsidRPr="006720E4">
        <w:rPr>
          <w:rFonts w:ascii="Calibri" w:hAnsi="Calibri" w:cs="Calibri"/>
          <w:sz w:val="22"/>
          <w:szCs w:val="22"/>
        </w:rPr>
        <w:t xml:space="preserve">In some cases, significant profits may be inadvertently or intentionally accrued. When accrued inadvertently, review should help to determine the cause(s) of profit production and how to resolve this, for example by lowering the charges associated with performance of particular activities or delivery of particular organs or tissue products. Profits that are unintentionally accrued should be </w:t>
      </w:r>
      <w:r w:rsidRPr="00CB38A6">
        <w:rPr>
          <w:rFonts w:ascii="Calibri" w:hAnsi="Calibri" w:cs="Calibri"/>
          <w:sz w:val="22"/>
          <w:szCs w:val="22"/>
        </w:rPr>
        <w:t xml:space="preserve">managed according to the principles set out for management of intentionally generated profits (see </w:t>
      </w:r>
      <w:hyperlink w:anchor="_Conditions_in_which" w:history="1">
        <w:r w:rsidRPr="00CB38A6">
          <w:rPr>
            <w:rStyle w:val="Hyperlink"/>
            <w:rFonts w:ascii="Calibri" w:hAnsi="Calibri" w:cs="Calibri"/>
            <w:sz w:val="22"/>
            <w:szCs w:val="22"/>
          </w:rPr>
          <w:t xml:space="preserve">Chapter </w:t>
        </w:r>
        <w:r w:rsidR="00CB38A6" w:rsidRPr="00CB38A6">
          <w:rPr>
            <w:rStyle w:val="Hyperlink"/>
            <w:rFonts w:ascii="Calibri" w:hAnsi="Calibri" w:cs="Calibri"/>
            <w:sz w:val="22"/>
            <w:szCs w:val="22"/>
          </w:rPr>
          <w:t>10</w:t>
        </w:r>
        <w:r w:rsidRPr="00CB38A6">
          <w:rPr>
            <w:rStyle w:val="Hyperlink"/>
            <w:rFonts w:ascii="Calibri" w:hAnsi="Calibri" w:cs="Calibri"/>
            <w:sz w:val="22"/>
            <w:szCs w:val="22"/>
          </w:rPr>
          <w:t>.5.3.1</w:t>
        </w:r>
      </w:hyperlink>
      <w:r w:rsidRPr="00CB38A6">
        <w:rPr>
          <w:rFonts w:ascii="Calibri" w:hAnsi="Calibri" w:cs="Calibri"/>
          <w:sz w:val="22"/>
          <w:szCs w:val="22"/>
        </w:rPr>
        <w:t xml:space="preserve">). </w:t>
      </w:r>
    </w:p>
    <w:p w14:paraId="0EB9878E" w14:textId="1ECFDBBE" w:rsidR="006C6EBA" w:rsidRPr="006720E4" w:rsidRDefault="006C6EBA" w:rsidP="00EA22AE">
      <w:pPr>
        <w:spacing w:after="120"/>
        <w:rPr>
          <w:rFonts w:ascii="Calibri" w:hAnsi="Calibri" w:cs="Calibri"/>
          <w:sz w:val="22"/>
          <w:szCs w:val="22"/>
        </w:rPr>
      </w:pPr>
      <w:r w:rsidRPr="00CB38A6">
        <w:rPr>
          <w:rFonts w:ascii="Calibri" w:hAnsi="Calibri" w:cs="Calibri"/>
          <w:sz w:val="22"/>
          <w:szCs w:val="22"/>
        </w:rPr>
        <w:t xml:space="preserve">In order to ensure the ethical governance of donation and transplantation activities, economic or financial aspects of these activities must be routinely and transparently disclosed (see </w:t>
      </w:r>
      <w:hyperlink w:anchor="_Requirement_for_financial" w:history="1">
        <w:r w:rsidRPr="00CB38A6">
          <w:rPr>
            <w:rStyle w:val="Hyperlink"/>
            <w:rFonts w:ascii="Calibri" w:hAnsi="Calibri" w:cs="Calibri"/>
            <w:sz w:val="22"/>
            <w:szCs w:val="22"/>
          </w:rPr>
          <w:t xml:space="preserve">Chapter </w:t>
        </w:r>
        <w:r w:rsidR="00CB38A6" w:rsidRPr="00CB38A6">
          <w:rPr>
            <w:rStyle w:val="Hyperlink"/>
            <w:rFonts w:ascii="Calibri" w:hAnsi="Calibri" w:cs="Calibri"/>
            <w:sz w:val="22"/>
            <w:szCs w:val="22"/>
          </w:rPr>
          <w:t>10</w:t>
        </w:r>
        <w:r w:rsidRPr="00CB38A6">
          <w:rPr>
            <w:rStyle w:val="Hyperlink"/>
            <w:rFonts w:ascii="Calibri" w:hAnsi="Calibri" w:cs="Calibri"/>
            <w:sz w:val="22"/>
            <w:szCs w:val="22"/>
          </w:rPr>
          <w:t>.5.3.2</w:t>
        </w:r>
      </w:hyperlink>
      <w:r w:rsidRPr="00CB38A6">
        <w:rPr>
          <w:rFonts w:ascii="Calibri" w:hAnsi="Calibri" w:cs="Calibri"/>
          <w:sz w:val="22"/>
          <w:szCs w:val="22"/>
        </w:rPr>
        <w:t>)</w:t>
      </w:r>
    </w:p>
    <w:p w14:paraId="7E920F6D" w14:textId="48932FA7" w:rsidR="006C6EBA" w:rsidRPr="006720E4" w:rsidRDefault="006C6EBA" w:rsidP="00EA22AE">
      <w:pPr>
        <w:pStyle w:val="Heading4"/>
        <w:spacing w:after="120"/>
      </w:pPr>
      <w:bookmarkStart w:id="4525" w:name="_Conditions_in_which"/>
      <w:bookmarkStart w:id="4526" w:name="_Toc73301810"/>
      <w:bookmarkStart w:id="4527" w:name="_Toc73302316"/>
      <w:bookmarkStart w:id="4528" w:name="_Toc73303449"/>
      <w:bookmarkStart w:id="4529" w:name="_Toc74081594"/>
      <w:bookmarkStart w:id="4530" w:name="_Toc74172371"/>
      <w:bookmarkStart w:id="4531" w:name="_Toc74172907"/>
      <w:bookmarkStart w:id="4532" w:name="_Toc82773719"/>
      <w:bookmarkStart w:id="4533" w:name="_Toc82774072"/>
      <w:bookmarkEnd w:id="4525"/>
      <w:r w:rsidRPr="006720E4">
        <w:lastRenderedPageBreak/>
        <w:t>Conditions in which intentional generation of profits from donation or transplantation activities may be considered ethically acceptable</w:t>
      </w:r>
      <w:bookmarkEnd w:id="4526"/>
      <w:bookmarkEnd w:id="4527"/>
      <w:bookmarkEnd w:id="4528"/>
      <w:bookmarkEnd w:id="4529"/>
      <w:bookmarkEnd w:id="4530"/>
      <w:bookmarkEnd w:id="4531"/>
      <w:bookmarkEnd w:id="4532"/>
      <w:bookmarkEnd w:id="4533"/>
    </w:p>
    <w:p w14:paraId="4466B552"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Profit generation should only be pursued </w:t>
      </w:r>
    </w:p>
    <w:p w14:paraId="3346D3D8" w14:textId="77777777" w:rsidR="006C6EBA" w:rsidRPr="006720E4" w:rsidRDefault="006C6EBA" w:rsidP="00C3783C">
      <w:pPr>
        <w:pStyle w:val="ListParagraph"/>
        <w:numPr>
          <w:ilvl w:val="0"/>
          <w:numId w:val="33"/>
        </w:numPr>
        <w:spacing w:after="120"/>
        <w:contextualSpacing w:val="0"/>
        <w:rPr>
          <w:rFonts w:cs="Calibri"/>
          <w:szCs w:val="22"/>
        </w:rPr>
      </w:pPr>
      <w:r w:rsidRPr="006720E4">
        <w:rPr>
          <w:rFonts w:cs="Calibri"/>
          <w:szCs w:val="22"/>
        </w:rPr>
        <w:t xml:space="preserve">when necessary to support the goals and values that underpin public engagement in donation, such as the equitable allocation of cells, tissues or organs to those in need of transplantation; </w:t>
      </w:r>
    </w:p>
    <w:p w14:paraId="3F39E321" w14:textId="3470837B" w:rsidR="006C6EBA" w:rsidRPr="006720E4" w:rsidRDefault="006C6EBA" w:rsidP="00C3783C">
      <w:pPr>
        <w:pStyle w:val="ListParagraph"/>
        <w:numPr>
          <w:ilvl w:val="0"/>
          <w:numId w:val="33"/>
        </w:numPr>
        <w:spacing w:after="120"/>
        <w:contextualSpacing w:val="0"/>
        <w:rPr>
          <w:rFonts w:cs="Calibri"/>
          <w:szCs w:val="22"/>
        </w:rPr>
      </w:pPr>
      <w:r w:rsidRPr="006720E4">
        <w:rPr>
          <w:rFonts w:cs="Calibri"/>
          <w:szCs w:val="22"/>
        </w:rPr>
        <w:t>if the pursuit of profits does not jeopardise these goals and values; and</w:t>
      </w:r>
    </w:p>
    <w:p w14:paraId="2ACB44C7" w14:textId="1705F78A" w:rsidR="006C6EBA" w:rsidRPr="006720E4" w:rsidRDefault="006C6EBA" w:rsidP="00C3783C">
      <w:pPr>
        <w:pStyle w:val="ListParagraph"/>
        <w:numPr>
          <w:ilvl w:val="0"/>
          <w:numId w:val="33"/>
        </w:numPr>
        <w:spacing w:after="120"/>
        <w:contextualSpacing w:val="0"/>
        <w:rPr>
          <w:rFonts w:cs="Calibri"/>
          <w:szCs w:val="22"/>
        </w:rPr>
      </w:pPr>
      <w:r w:rsidRPr="006720E4">
        <w:rPr>
          <w:rFonts w:cs="Calibri"/>
          <w:szCs w:val="22"/>
        </w:rPr>
        <w:t xml:space="preserve">if activities </w:t>
      </w:r>
      <w:r w:rsidRPr="00CB38A6">
        <w:rPr>
          <w:rFonts w:cs="Calibri"/>
          <w:szCs w:val="22"/>
        </w:rPr>
        <w:t xml:space="preserve">and financial data are routinely and transparently reported to allow public scrutiny and oversight (see </w:t>
      </w:r>
      <w:hyperlink w:anchor="_Requirement_for_financial" w:history="1">
        <w:r w:rsidRPr="00CB38A6">
          <w:rPr>
            <w:rStyle w:val="Hyperlink"/>
            <w:rFonts w:cs="Calibri"/>
            <w:szCs w:val="22"/>
          </w:rPr>
          <w:t xml:space="preserve">Chapter </w:t>
        </w:r>
        <w:r w:rsidR="00CB38A6" w:rsidRPr="00CB38A6">
          <w:rPr>
            <w:rStyle w:val="Hyperlink"/>
            <w:rFonts w:cs="Calibri"/>
            <w:szCs w:val="22"/>
          </w:rPr>
          <w:t>10</w:t>
        </w:r>
        <w:r w:rsidRPr="00CB38A6">
          <w:rPr>
            <w:rStyle w:val="Hyperlink"/>
            <w:rFonts w:cs="Calibri"/>
            <w:szCs w:val="22"/>
          </w:rPr>
          <w:t>.5.3.2</w:t>
        </w:r>
      </w:hyperlink>
      <w:r w:rsidRPr="00CB38A6">
        <w:rPr>
          <w:rFonts w:cs="Calibri"/>
        </w:rPr>
        <w:t>).</w:t>
      </w:r>
    </w:p>
    <w:p w14:paraId="531A4D53" w14:textId="5B70C75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Reasons for which generation of profits </w:t>
      </w:r>
      <w:r w:rsidRPr="006720E4">
        <w:rPr>
          <w:rFonts w:ascii="Calibri" w:hAnsi="Calibri" w:cs="Calibri"/>
          <w:sz w:val="22"/>
          <w:szCs w:val="22"/>
          <w:u w:val="single"/>
        </w:rPr>
        <w:t>might</w:t>
      </w:r>
      <w:r w:rsidRPr="006720E4">
        <w:rPr>
          <w:rFonts w:ascii="Calibri" w:hAnsi="Calibri" w:cs="Calibri"/>
          <w:sz w:val="22"/>
          <w:szCs w:val="22"/>
        </w:rPr>
        <w:t xml:space="preserve"> be ethically pursued:</w:t>
      </w:r>
    </w:p>
    <w:p w14:paraId="33154A7C" w14:textId="109B7321" w:rsidR="006C6EBA" w:rsidRPr="006720E4" w:rsidRDefault="006C6EBA" w:rsidP="00C3783C">
      <w:pPr>
        <w:pStyle w:val="ListParagraph"/>
        <w:numPr>
          <w:ilvl w:val="0"/>
          <w:numId w:val="33"/>
        </w:numPr>
        <w:spacing w:after="120"/>
        <w:contextualSpacing w:val="0"/>
        <w:rPr>
          <w:rFonts w:cs="Calibri"/>
          <w:szCs w:val="22"/>
        </w:rPr>
      </w:pPr>
      <w:r w:rsidRPr="006720E4">
        <w:rPr>
          <w:rFonts w:cs="Calibri"/>
          <w:szCs w:val="22"/>
        </w:rPr>
        <w:t>to cover anticipated future costs of maintaining donation and transplantation programs, for example to enable investment or renewal of core infrastructure at a tissue bank;</w:t>
      </w:r>
    </w:p>
    <w:p w14:paraId="52D74F03" w14:textId="369C6067" w:rsidR="006C6EBA" w:rsidRPr="006720E4" w:rsidRDefault="006C6EBA" w:rsidP="00C3783C">
      <w:pPr>
        <w:pStyle w:val="ListParagraph"/>
        <w:numPr>
          <w:ilvl w:val="0"/>
          <w:numId w:val="33"/>
        </w:numPr>
        <w:spacing w:after="120"/>
        <w:contextualSpacing w:val="0"/>
        <w:rPr>
          <w:rFonts w:cs="Calibri"/>
          <w:szCs w:val="22"/>
        </w:rPr>
      </w:pPr>
      <w:r w:rsidRPr="006720E4">
        <w:rPr>
          <w:rFonts w:cs="Calibri"/>
          <w:szCs w:val="22"/>
        </w:rPr>
        <w:t>to improve the quality of care for donors or transplant recipients, for example by investing in research that will inform clinical practice or development of better therapeutic products; or</w:t>
      </w:r>
    </w:p>
    <w:p w14:paraId="28FF095F" w14:textId="77777777" w:rsidR="006C6EBA" w:rsidRPr="006720E4" w:rsidRDefault="006C6EBA" w:rsidP="00C3783C">
      <w:pPr>
        <w:pStyle w:val="ListParagraph"/>
        <w:numPr>
          <w:ilvl w:val="0"/>
          <w:numId w:val="33"/>
        </w:numPr>
        <w:spacing w:after="120"/>
        <w:contextualSpacing w:val="0"/>
        <w:rPr>
          <w:rFonts w:cs="Calibri"/>
          <w:szCs w:val="22"/>
        </w:rPr>
      </w:pPr>
      <w:r w:rsidRPr="006720E4">
        <w:rPr>
          <w:rFonts w:cs="Calibri"/>
          <w:szCs w:val="22"/>
        </w:rPr>
        <w:t>to provide a level of financial insurance against unexpected future costs or financial injury.</w:t>
      </w:r>
    </w:p>
    <w:p w14:paraId="5B174ED6" w14:textId="77777777" w:rsidR="006C6EBA" w:rsidRPr="006720E4" w:rsidRDefault="006C6EBA" w:rsidP="00EA22AE">
      <w:pPr>
        <w:pStyle w:val="Heading4"/>
        <w:spacing w:after="120"/>
      </w:pPr>
      <w:bookmarkStart w:id="4534" w:name="_The_requirement_for"/>
      <w:bookmarkStart w:id="4535" w:name="_Requirement_for_financial"/>
      <w:bookmarkStart w:id="4536" w:name="_Toc73301811"/>
      <w:bookmarkStart w:id="4537" w:name="_Toc73302317"/>
      <w:bookmarkStart w:id="4538" w:name="_Toc73303450"/>
      <w:bookmarkStart w:id="4539" w:name="_Toc74081595"/>
      <w:bookmarkStart w:id="4540" w:name="_Toc74172372"/>
      <w:bookmarkStart w:id="4541" w:name="_Toc74172908"/>
      <w:bookmarkStart w:id="4542" w:name="_Toc82773720"/>
      <w:bookmarkStart w:id="4543" w:name="_Toc82774073"/>
      <w:bookmarkEnd w:id="4534"/>
      <w:bookmarkEnd w:id="4535"/>
      <w:r w:rsidRPr="006720E4">
        <w:t>Requirement for financial transparency in donation and transplantation activities</w:t>
      </w:r>
      <w:bookmarkEnd w:id="4536"/>
      <w:bookmarkEnd w:id="4537"/>
      <w:bookmarkEnd w:id="4538"/>
      <w:bookmarkEnd w:id="4539"/>
      <w:bookmarkEnd w:id="4540"/>
      <w:bookmarkEnd w:id="4541"/>
      <w:bookmarkEnd w:id="4542"/>
      <w:bookmarkEnd w:id="4543"/>
    </w:p>
    <w:p w14:paraId="283852F7" w14:textId="28C0738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To ensure the integrity of donation and transplantation activities, and so that individuals and organi</w:t>
      </w:r>
      <w:r w:rsidR="00BB3616">
        <w:rPr>
          <w:rFonts w:ascii="Calibri" w:hAnsi="Calibri" w:cs="Calibri"/>
          <w:sz w:val="22"/>
          <w:szCs w:val="22"/>
        </w:rPr>
        <w:t>s</w:t>
      </w:r>
      <w:r w:rsidRPr="006720E4">
        <w:rPr>
          <w:rFonts w:ascii="Calibri" w:hAnsi="Calibri" w:cs="Calibri"/>
          <w:sz w:val="22"/>
          <w:szCs w:val="22"/>
        </w:rPr>
        <w:t xml:space="preserve">ations involved in these activities may be held accountable to the public, the economic activities of the sector should be transparent. </w:t>
      </w:r>
    </w:p>
    <w:p w14:paraId="13D3A4CD" w14:textId="43CF94D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Transparency should also assist in review of the various sectors to ensure that the broader Australian economy and healthcare funding systems are not jeopardising the sustainability of individual organi</w:t>
      </w:r>
      <w:r w:rsidR="00BB3616">
        <w:rPr>
          <w:rFonts w:ascii="Calibri" w:hAnsi="Calibri" w:cs="Calibri"/>
          <w:sz w:val="22"/>
          <w:szCs w:val="22"/>
        </w:rPr>
        <w:t>s</w:t>
      </w:r>
      <w:r w:rsidRPr="006720E4">
        <w:rPr>
          <w:rFonts w:ascii="Calibri" w:hAnsi="Calibri" w:cs="Calibri"/>
          <w:sz w:val="22"/>
          <w:szCs w:val="22"/>
        </w:rPr>
        <w:t xml:space="preserve">ations such as tissue banks or donation or transplant programs. </w:t>
      </w:r>
    </w:p>
    <w:p w14:paraId="3966027F"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Requirements for transparency and accountability include </w:t>
      </w:r>
    </w:p>
    <w:p w14:paraId="197A9A8E" w14:textId="77777777" w:rsidR="006C6EBA" w:rsidRPr="006720E4" w:rsidRDefault="006C6EBA" w:rsidP="00C3783C">
      <w:pPr>
        <w:pStyle w:val="ListParagraph"/>
        <w:numPr>
          <w:ilvl w:val="0"/>
          <w:numId w:val="33"/>
        </w:numPr>
        <w:spacing w:after="120"/>
        <w:contextualSpacing w:val="0"/>
        <w:rPr>
          <w:rFonts w:cs="Calibri"/>
          <w:szCs w:val="22"/>
        </w:rPr>
      </w:pPr>
      <w:r w:rsidRPr="006720E4">
        <w:rPr>
          <w:rFonts w:cs="Calibri"/>
          <w:szCs w:val="22"/>
        </w:rPr>
        <w:t xml:space="preserve">the maintenance of records for auditing purposes, </w:t>
      </w:r>
    </w:p>
    <w:p w14:paraId="0F87F9F4" w14:textId="77777777" w:rsidR="006C6EBA" w:rsidRPr="006720E4" w:rsidRDefault="006C6EBA" w:rsidP="00C3783C">
      <w:pPr>
        <w:pStyle w:val="ListParagraph"/>
        <w:numPr>
          <w:ilvl w:val="0"/>
          <w:numId w:val="33"/>
        </w:numPr>
        <w:spacing w:after="120"/>
        <w:contextualSpacing w:val="0"/>
        <w:rPr>
          <w:rFonts w:cs="Calibri"/>
          <w:szCs w:val="22"/>
        </w:rPr>
      </w:pPr>
      <w:r w:rsidRPr="006720E4">
        <w:rPr>
          <w:rFonts w:cs="Calibri"/>
          <w:szCs w:val="22"/>
        </w:rPr>
        <w:t xml:space="preserve">communication of fees and charges, </w:t>
      </w:r>
    </w:p>
    <w:p w14:paraId="6E8CBA3D" w14:textId="36E8CA19" w:rsidR="006C6EBA" w:rsidRPr="006720E4" w:rsidRDefault="006C6EBA" w:rsidP="00EA22AE">
      <w:pPr>
        <w:pStyle w:val="Bullet"/>
        <w:spacing w:after="120"/>
        <w:ind w:left="709"/>
        <w:contextualSpacing w:val="0"/>
        <w:rPr>
          <w:rFonts w:cs="Calibri"/>
          <w:szCs w:val="22"/>
        </w:rPr>
      </w:pPr>
      <w:r w:rsidRPr="006720E4">
        <w:rPr>
          <w:rFonts w:eastAsia="Times New Roman" w:cs="Calibri"/>
          <w:szCs w:val="22"/>
          <w:lang w:eastAsia="en-GB"/>
        </w:rPr>
        <w:t>justification of costs and pr</w:t>
      </w:r>
      <w:r w:rsidRPr="006720E4">
        <w:rPr>
          <w:rFonts w:cs="Calibri"/>
          <w:szCs w:val="22"/>
        </w:rPr>
        <w:t xml:space="preserve">ices in accordance with the principles </w:t>
      </w:r>
      <w:r w:rsidRPr="00CB38A6">
        <w:rPr>
          <w:rFonts w:cs="Calibri"/>
          <w:szCs w:val="22"/>
        </w:rPr>
        <w:t xml:space="preserve">outlined </w:t>
      </w:r>
      <w:r w:rsidRPr="00CB38A6">
        <w:rPr>
          <w:rFonts w:cs="Calibri"/>
        </w:rPr>
        <w:t xml:space="preserve">in </w:t>
      </w:r>
      <w:hyperlink w:anchor="_Determining_ethically_appropriate" w:history="1">
        <w:r w:rsidRPr="00CB38A6">
          <w:rPr>
            <w:rStyle w:val="Hyperlink"/>
            <w:rFonts w:cs="Calibri"/>
          </w:rPr>
          <w:t xml:space="preserve">Chapter </w:t>
        </w:r>
        <w:r w:rsidR="00CB38A6" w:rsidRPr="00CB38A6">
          <w:rPr>
            <w:rStyle w:val="Hyperlink"/>
            <w:rFonts w:cs="Calibri"/>
          </w:rPr>
          <w:t>10</w:t>
        </w:r>
        <w:r w:rsidRPr="00CB38A6">
          <w:rPr>
            <w:rStyle w:val="Hyperlink"/>
            <w:rFonts w:cs="Calibri"/>
          </w:rPr>
          <w:t>.5.2</w:t>
        </w:r>
      </w:hyperlink>
      <w:r w:rsidRPr="00CB38A6">
        <w:rPr>
          <w:rFonts w:cs="Calibri"/>
        </w:rPr>
        <w:t>)</w:t>
      </w:r>
    </w:p>
    <w:p w14:paraId="6B4D5E5E" w14:textId="41CEC676" w:rsidR="009D7B81" w:rsidRDefault="006C6EBA" w:rsidP="00C3783C">
      <w:pPr>
        <w:pStyle w:val="ListParagraph"/>
        <w:numPr>
          <w:ilvl w:val="0"/>
          <w:numId w:val="33"/>
        </w:numPr>
        <w:spacing w:after="120"/>
        <w:contextualSpacing w:val="0"/>
        <w:rPr>
          <w:rFonts w:cs="Calibri"/>
          <w:szCs w:val="22"/>
        </w:rPr>
      </w:pPr>
      <w:r w:rsidRPr="006720E4">
        <w:rPr>
          <w:rFonts w:cs="Calibri"/>
          <w:szCs w:val="22"/>
        </w:rPr>
        <w:t>definition of profits arising from donation and transplantation activities and explanation and justification of how these are managed.</w:t>
      </w:r>
      <w:bookmarkStart w:id="4544" w:name="_Organ_and_tissue"/>
      <w:bookmarkStart w:id="4545" w:name="_Toc63683474"/>
      <w:bookmarkStart w:id="4546" w:name="_Toc70241820"/>
      <w:bookmarkStart w:id="4547" w:name="_Toc70243455"/>
      <w:bookmarkStart w:id="4548" w:name="_Toc70328764"/>
      <w:bookmarkStart w:id="4549" w:name="_Toc70333994"/>
      <w:bookmarkStart w:id="4550" w:name="_Toc70414951"/>
      <w:bookmarkStart w:id="4551" w:name="_Toc70844269"/>
      <w:bookmarkStart w:id="4552" w:name="_Toc70859022"/>
      <w:bookmarkStart w:id="4553" w:name="_Toc70861123"/>
      <w:bookmarkStart w:id="4554" w:name="_Toc70876608"/>
      <w:bookmarkStart w:id="4555" w:name="_Toc72615208"/>
      <w:bookmarkStart w:id="4556" w:name="_Toc73129936"/>
      <w:bookmarkStart w:id="4557" w:name="_Toc73301812"/>
      <w:bookmarkStart w:id="4558" w:name="_Toc73302318"/>
      <w:bookmarkStart w:id="4559" w:name="_Toc73303451"/>
      <w:bookmarkStart w:id="4560" w:name="_Toc73303666"/>
      <w:bookmarkStart w:id="4561" w:name="_Toc74080783"/>
      <w:bookmarkStart w:id="4562" w:name="_Toc74081091"/>
      <w:bookmarkStart w:id="4563" w:name="_Toc74081321"/>
      <w:bookmarkStart w:id="4564" w:name="_Toc74081596"/>
      <w:bookmarkStart w:id="4565" w:name="_Toc74171152"/>
      <w:bookmarkStart w:id="4566" w:name="_Toc74172373"/>
      <w:bookmarkStart w:id="4567" w:name="_Toc74172909"/>
      <w:bookmarkStart w:id="4568" w:name="_Toc74238826"/>
      <w:bookmarkStart w:id="4569" w:name="_Toc78304797"/>
      <w:bookmarkStart w:id="4570" w:name="_Toc79330905"/>
      <w:bookmarkStart w:id="4571" w:name="_Toc79331285"/>
      <w:bookmarkStart w:id="4572" w:name="_Toc79406486"/>
      <w:bookmarkStart w:id="4573" w:name="_Toc82773721"/>
      <w:bookmarkStart w:id="4574" w:name="_Toc82774074"/>
      <w:bookmarkStart w:id="4575" w:name="_Toc128314238"/>
      <w:bookmarkEnd w:id="4544"/>
    </w:p>
    <w:p w14:paraId="4CAA4CB7" w14:textId="77777777" w:rsidR="005525CE" w:rsidRPr="001C292C" w:rsidRDefault="005525CE" w:rsidP="005525CE">
      <w:pPr>
        <w:pStyle w:val="ListParagraph"/>
        <w:spacing w:after="120"/>
        <w:contextualSpacing w:val="0"/>
        <w:rPr>
          <w:rFonts w:cs="Calibri"/>
          <w:szCs w:val="22"/>
        </w:rPr>
      </w:pPr>
    </w:p>
    <w:p w14:paraId="54E97746" w14:textId="77777777" w:rsidR="000564C9" w:rsidRDefault="000564C9" w:rsidP="00EA22AE">
      <w:pPr>
        <w:spacing w:after="120"/>
        <w:rPr>
          <w:rFonts w:ascii="Calibri" w:eastAsiaTheme="majorEastAsia" w:hAnsi="Calibri" w:cs="Calibri"/>
          <w:b/>
          <w:color w:val="2F5496" w:themeColor="accent1" w:themeShade="BF"/>
          <w:sz w:val="26"/>
          <w:szCs w:val="26"/>
        </w:rPr>
      </w:pPr>
      <w:r>
        <w:rPr>
          <w:rFonts w:ascii="Calibri" w:eastAsiaTheme="majorEastAsia" w:hAnsi="Calibri" w:cs="Calibri"/>
          <w:b/>
          <w:color w:val="2F5496" w:themeColor="accent1" w:themeShade="BF"/>
          <w:sz w:val="26"/>
          <w:szCs w:val="26"/>
        </w:rPr>
        <w:t>Case Study – Management of profits in a tissue bank</w:t>
      </w:r>
    </w:p>
    <w:p w14:paraId="13BB049A" w14:textId="77777777" w:rsidR="005C22A7" w:rsidRPr="005C22A7" w:rsidRDefault="005C22A7" w:rsidP="005C22A7">
      <w:pPr>
        <w:spacing w:after="120"/>
        <w:rPr>
          <w:rFonts w:ascii="Calibri" w:eastAsiaTheme="minorHAnsi" w:hAnsi="Calibri" w:cs="Calibri"/>
          <w:i/>
          <w:iCs/>
          <w:color w:val="4472C4" w:themeColor="accent1"/>
          <w:kern w:val="2"/>
          <w:sz w:val="22"/>
          <w:szCs w:val="22"/>
          <w:lang w:eastAsia="en-US"/>
          <w14:ligatures w14:val="standardContextual"/>
        </w:rPr>
      </w:pPr>
      <w:r w:rsidRPr="005C22A7">
        <w:rPr>
          <w:rFonts w:ascii="Calibri" w:eastAsiaTheme="minorHAnsi" w:hAnsi="Calibri" w:cs="Calibri"/>
          <w:i/>
          <w:iCs/>
          <w:color w:val="4472C4" w:themeColor="accent1"/>
          <w:kern w:val="2"/>
          <w:sz w:val="22"/>
          <w:szCs w:val="22"/>
          <w:lang w:eastAsia="en-US"/>
          <w14:ligatures w14:val="standardContextual"/>
        </w:rPr>
        <w:t>Mariela is the Chief Executive Officer of a not-for-profit tissue bank. When reviewing the annual accounts with her finance officer, she notes that the bank has earned a significant amount of money from the supply of X, a specific type of tissue product derived from bone. This product has been extremely popular in orthopaedic surgeries over the past year after an influential surgeon published the results of research which showed excellent patient outcomes in procedures using X.</w:t>
      </w:r>
    </w:p>
    <w:p w14:paraId="08AC4384" w14:textId="77777777" w:rsidR="005C22A7" w:rsidRPr="005C22A7" w:rsidRDefault="005C22A7" w:rsidP="005C22A7">
      <w:pPr>
        <w:spacing w:after="120"/>
        <w:rPr>
          <w:rFonts w:ascii="Calibri" w:eastAsiaTheme="minorHAnsi" w:hAnsi="Calibri" w:cs="Calibri"/>
          <w:i/>
          <w:iCs/>
          <w:color w:val="4472C4" w:themeColor="accent1"/>
          <w:kern w:val="2"/>
          <w:sz w:val="22"/>
          <w:szCs w:val="22"/>
          <w:lang w:eastAsia="en-US"/>
          <w14:ligatures w14:val="standardContextual"/>
        </w:rPr>
      </w:pPr>
      <w:r w:rsidRPr="005C22A7">
        <w:rPr>
          <w:rFonts w:ascii="Calibri" w:eastAsiaTheme="minorHAnsi" w:hAnsi="Calibri" w:cs="Calibri"/>
          <w:i/>
          <w:iCs/>
          <w:color w:val="4472C4" w:themeColor="accent1"/>
          <w:kern w:val="2"/>
          <w:sz w:val="22"/>
          <w:szCs w:val="22"/>
          <w:lang w:eastAsia="en-US"/>
          <w14:ligatures w14:val="standardContextual"/>
        </w:rPr>
        <w:t>A high fee was charged for supply of X because of the substantial infrastructure and training costs associated with development and manufacture of the product, and because Mariela had assumed that there would be limited demand for X, making it difficult to cover costs. However due to the high level of demand, the bank in fact earned substantially more money than was expended on the production and supply of X, generating a large net financial gain.</w:t>
      </w:r>
    </w:p>
    <w:p w14:paraId="53A6E1F0" w14:textId="77777777" w:rsidR="005C22A7" w:rsidRPr="005C22A7" w:rsidRDefault="005C22A7" w:rsidP="005C22A7">
      <w:pPr>
        <w:spacing w:after="120"/>
        <w:rPr>
          <w:rFonts w:ascii="Calibri" w:eastAsiaTheme="minorHAnsi" w:hAnsi="Calibri" w:cs="Calibri"/>
          <w:i/>
          <w:iCs/>
          <w:color w:val="4472C4" w:themeColor="accent1"/>
          <w:kern w:val="2"/>
          <w:sz w:val="22"/>
          <w:szCs w:val="22"/>
          <w:lang w:eastAsia="en-US"/>
          <w14:ligatures w14:val="standardContextual"/>
        </w:rPr>
      </w:pPr>
      <w:r w:rsidRPr="005C22A7">
        <w:rPr>
          <w:rFonts w:ascii="Calibri" w:eastAsiaTheme="minorHAnsi" w:hAnsi="Calibri" w:cs="Calibri"/>
          <w:i/>
          <w:iCs/>
          <w:color w:val="4472C4" w:themeColor="accent1"/>
          <w:kern w:val="2"/>
          <w:sz w:val="22"/>
          <w:szCs w:val="22"/>
          <w:lang w:eastAsia="en-US"/>
          <w14:ligatures w14:val="standardContextual"/>
        </w:rPr>
        <w:t>The financial officer asks Mariela what she would like to do with the surplus funds.</w:t>
      </w:r>
    </w:p>
    <w:p w14:paraId="44369CDD" w14:textId="77777777" w:rsidR="005C22A7" w:rsidRPr="005C22A7" w:rsidRDefault="005C22A7" w:rsidP="005C22A7">
      <w:p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sz w:val="22"/>
          <w:szCs w:val="22"/>
          <w:u w:color="0000FF"/>
          <w:lang w:val="en-GB" w:eastAsia="en-US"/>
          <w14:ligatures w14:val="standardContextual"/>
        </w:rPr>
        <w:lastRenderedPageBreak/>
        <w:t>Points to consider:</w:t>
      </w:r>
    </w:p>
    <w:p w14:paraId="7E2C9A9B" w14:textId="0603AB6B" w:rsidR="005C22A7" w:rsidRPr="005C22A7" w:rsidRDefault="005C22A7" w:rsidP="005C22A7">
      <w:pPr>
        <w:numPr>
          <w:ilvl w:val="0"/>
          <w:numId w:val="142"/>
        </w:num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sz w:val="22"/>
          <w:szCs w:val="22"/>
          <w:u w:color="0000FF"/>
          <w:lang w:val="en-GB" w:eastAsia="en-US"/>
          <w14:ligatures w14:val="standardContextual"/>
        </w:rPr>
        <w:t xml:space="preserve">This case highlights the potential complexities of charging fees for service in tissue banks that will cover costs without creating undue profits (see </w:t>
      </w:r>
      <w:hyperlink w:anchor="_Managing_profits_in" w:history="1">
        <w:r w:rsidRPr="008528BE">
          <w:rPr>
            <w:rStyle w:val="Hyperlink"/>
            <w:rFonts w:ascii="Calibri" w:eastAsiaTheme="minorHAnsi" w:hAnsi="Calibri" w:cs="Calibri"/>
            <w:sz w:val="22"/>
            <w:szCs w:val="22"/>
            <w:lang w:val="en-GB" w:eastAsia="en-US"/>
            <w14:ligatures w14:val="standardContextual"/>
          </w:rPr>
          <w:t>Chapter 10.5.2).</w:t>
        </w:r>
      </w:hyperlink>
    </w:p>
    <w:p w14:paraId="103421B9" w14:textId="77777777" w:rsidR="005C22A7" w:rsidRPr="005C22A7" w:rsidRDefault="005C22A7" w:rsidP="005C22A7">
      <w:pPr>
        <w:numPr>
          <w:ilvl w:val="0"/>
          <w:numId w:val="142"/>
        </w:num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sz w:val="22"/>
          <w:szCs w:val="22"/>
          <w:u w:color="0000FF"/>
          <w:lang w:val="en-GB" w:eastAsia="en-US"/>
          <w14:ligatures w14:val="standardContextual"/>
        </w:rPr>
        <w:t>Two principles are especially relevant to this case:</w:t>
      </w:r>
    </w:p>
    <w:p w14:paraId="3AFE81F6" w14:textId="77777777" w:rsidR="005C22A7" w:rsidRPr="005C22A7" w:rsidRDefault="005C22A7" w:rsidP="005C22A7">
      <w:pPr>
        <w:numPr>
          <w:ilvl w:val="1"/>
          <w:numId w:val="142"/>
        </w:num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b/>
          <w:bCs/>
          <w:sz w:val="22"/>
          <w:szCs w:val="22"/>
          <w:u w:color="0000FF"/>
          <w:lang w:val="en-GB" w:eastAsia="en-US"/>
          <w14:ligatures w14:val="standardContextual"/>
        </w:rPr>
        <w:t>Principle 10</w:t>
      </w:r>
      <w:r w:rsidRPr="005C22A7">
        <w:rPr>
          <w:rFonts w:ascii="Calibri" w:eastAsiaTheme="minorHAnsi" w:hAnsi="Calibri" w:cs="Calibri"/>
          <w:sz w:val="22"/>
          <w:szCs w:val="22"/>
          <w:u w:color="0000FF"/>
          <w:lang w:val="en-GB" w:eastAsia="en-US"/>
          <w14:ligatures w14:val="standardContextual"/>
        </w:rPr>
        <w:t xml:space="preserve"> Human organs, tissues and cells should not be treated as ordinary commodities that can be sold or exchanged for profit: any profits arising the removal, processing, distribution, storage, transfer or use of donated cells, tissues or organs should be used to enhance quality, safety, sustainability, and equity in healthcare for all. </w:t>
      </w:r>
    </w:p>
    <w:p w14:paraId="50CC8658" w14:textId="77777777" w:rsidR="005C22A7" w:rsidRPr="005C22A7" w:rsidRDefault="005C22A7" w:rsidP="005C22A7">
      <w:pPr>
        <w:numPr>
          <w:ilvl w:val="1"/>
          <w:numId w:val="142"/>
        </w:num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b/>
          <w:bCs/>
          <w:kern w:val="2"/>
          <w:sz w:val="22"/>
          <w:szCs w:val="22"/>
          <w:lang w:eastAsia="en-US"/>
          <w14:ligatures w14:val="standardContextual"/>
        </w:rPr>
        <w:t>Principle 11</w:t>
      </w:r>
      <w:r w:rsidRPr="005C22A7">
        <w:rPr>
          <w:rFonts w:ascii="Calibri" w:eastAsiaTheme="minorHAnsi" w:hAnsi="Calibri" w:cs="Calibri"/>
          <w:kern w:val="2"/>
          <w:sz w:val="22"/>
          <w:szCs w:val="22"/>
          <w:lang w:eastAsia="en-US"/>
          <w14:ligatures w14:val="standardContextual"/>
        </w:rPr>
        <w:t xml:space="preserve"> </w:t>
      </w:r>
      <w:r w:rsidRPr="005C22A7">
        <w:rPr>
          <w:rFonts w:ascii="Calibri" w:eastAsiaTheme="minorHAnsi" w:hAnsi="Calibri" w:cs="Calibri"/>
          <w:sz w:val="22"/>
          <w:szCs w:val="22"/>
          <w:u w:color="0000FF"/>
          <w:lang w:val="en-GB" w:eastAsia="en-US"/>
          <w14:ligatures w14:val="standardContextual"/>
        </w:rPr>
        <w:t xml:space="preserve">Decision-making about donation and transplantation should be free from coercion, exploitation or financial incentives; this should not preclude coverage of costs associated with donation or transplantation. </w:t>
      </w:r>
    </w:p>
    <w:p w14:paraId="514ABEDA" w14:textId="77777777" w:rsidR="005C22A7" w:rsidRPr="005C22A7" w:rsidRDefault="005C22A7" w:rsidP="005C22A7">
      <w:pPr>
        <w:numPr>
          <w:ilvl w:val="0"/>
          <w:numId w:val="142"/>
        </w:num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sz w:val="22"/>
          <w:szCs w:val="22"/>
          <w:u w:color="0000FF"/>
          <w:lang w:val="en-GB" w:eastAsia="en-US"/>
          <w14:ligatures w14:val="standardContextual"/>
        </w:rPr>
        <w:t>There are several factors that may determine whether Mariela decides to adjust the fee for this particular tissue product, and if so, how she adjusts fees, as well as what she plans to do with the surplus funds. For example, the profits generated from supplying X might be used to subsidise the cost of other products which are expensive to produce, making it easier for the bank to supply those products at a lower cost. This in turn may improve access to important therapeutic products.</w:t>
      </w:r>
    </w:p>
    <w:p w14:paraId="3B8885B7" w14:textId="77777777" w:rsidR="005C22A7" w:rsidRPr="005C22A7" w:rsidRDefault="005C22A7" w:rsidP="005C22A7">
      <w:pPr>
        <w:numPr>
          <w:ilvl w:val="0"/>
          <w:numId w:val="142"/>
        </w:num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sz w:val="22"/>
          <w:szCs w:val="22"/>
          <w:u w:color="0000FF"/>
          <w:lang w:val="en-GB" w:eastAsia="en-US"/>
          <w14:ligatures w14:val="standardContextual"/>
        </w:rPr>
        <w:t>However, if fees for various products are adjusted to cover costs overall and to improve availability of products, it is important that the tissue bank gives consideration to which products may be most therapeutically valuable to patients. The level of demand for a product may not reflect its therapeutic value, and in turn could be influenced by the fees charged for supply.</w:t>
      </w:r>
    </w:p>
    <w:p w14:paraId="7F7E931F" w14:textId="77777777" w:rsidR="005C22A7" w:rsidRPr="005C22A7" w:rsidRDefault="005C22A7" w:rsidP="005C22A7">
      <w:pPr>
        <w:numPr>
          <w:ilvl w:val="0"/>
          <w:numId w:val="142"/>
        </w:num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sz w:val="22"/>
          <w:szCs w:val="22"/>
          <w:u w:color="0000FF"/>
          <w:lang w:val="en-GB" w:eastAsia="en-US"/>
          <w14:ligatures w14:val="standardContextual"/>
        </w:rPr>
        <w:t xml:space="preserve">Mariela may also consider using the profit gained from supply of X to invest in quality improvements in the bank or in research. </w:t>
      </w:r>
    </w:p>
    <w:p w14:paraId="35DEFDB4" w14:textId="73E77ED3" w:rsidR="005C22A7" w:rsidRPr="005C22A7" w:rsidRDefault="005C22A7" w:rsidP="005C22A7">
      <w:pPr>
        <w:numPr>
          <w:ilvl w:val="0"/>
          <w:numId w:val="142"/>
        </w:numPr>
        <w:spacing w:after="120"/>
        <w:rPr>
          <w:rFonts w:ascii="Calibri" w:eastAsiaTheme="minorHAnsi" w:hAnsi="Calibri" w:cs="Calibri"/>
          <w:sz w:val="22"/>
          <w:szCs w:val="22"/>
          <w:u w:color="0000FF"/>
          <w:lang w:val="en-GB" w:eastAsia="en-US"/>
          <w14:ligatures w14:val="standardContextual"/>
        </w:rPr>
      </w:pPr>
      <w:r w:rsidRPr="005C22A7">
        <w:rPr>
          <w:rFonts w:ascii="Calibri" w:eastAsiaTheme="minorHAnsi" w:hAnsi="Calibri" w:cs="Calibri"/>
          <w:sz w:val="22"/>
          <w:szCs w:val="22"/>
          <w:u w:color="0000FF"/>
          <w:lang w:val="en-GB" w:eastAsia="en-US"/>
          <w14:ligatures w14:val="standardContextual"/>
        </w:rPr>
        <w:t xml:space="preserve">It is important that tissue banks regularly audit their finances so that decision-making about fees for service can be informed by an understanding of costs across the bank as a whole. (See </w:t>
      </w:r>
      <w:hyperlink w:anchor="_Managing_profits_in" w:history="1">
        <w:r w:rsidRPr="00F9014E">
          <w:rPr>
            <w:rStyle w:val="Hyperlink"/>
            <w:rFonts w:ascii="Calibri" w:eastAsiaTheme="minorHAnsi" w:hAnsi="Calibri" w:cs="Calibri"/>
            <w:sz w:val="22"/>
            <w:szCs w:val="22"/>
            <w:lang w:val="en-GB" w:eastAsia="en-US"/>
            <w14:ligatures w14:val="standardContextual"/>
          </w:rPr>
          <w:t>Chapter 10.5.3).</w:t>
        </w:r>
      </w:hyperlink>
    </w:p>
    <w:p w14:paraId="46B7BC87" w14:textId="77777777" w:rsidR="005C22A7" w:rsidRPr="005C22A7" w:rsidRDefault="005C22A7" w:rsidP="005C22A7">
      <w:pPr>
        <w:rPr>
          <w:rFonts w:asciiTheme="minorHAnsi" w:eastAsiaTheme="minorHAnsi" w:hAnsiTheme="minorHAnsi" w:cstheme="minorBidi"/>
          <w:kern w:val="2"/>
          <w:lang w:eastAsia="en-US"/>
          <w14:ligatures w14:val="standardContextual"/>
        </w:rPr>
      </w:pPr>
    </w:p>
    <w:p w14:paraId="307F3FDD" w14:textId="261454E0" w:rsidR="006C6EBA" w:rsidRPr="006720E4" w:rsidRDefault="006C6EBA" w:rsidP="00EA22AE">
      <w:pPr>
        <w:pStyle w:val="Heading2"/>
        <w:spacing w:after="120"/>
      </w:pPr>
      <w:bookmarkStart w:id="4576" w:name="_Organ_and_tissue_2"/>
      <w:bookmarkStart w:id="4577" w:name="_Toc135131483"/>
      <w:bookmarkEnd w:id="4576"/>
      <w:r w:rsidRPr="006720E4">
        <w:t>Organ and tissue traffickin</w:t>
      </w:r>
      <w:bookmarkEnd w:id="4545"/>
      <w:r w:rsidRPr="006720E4">
        <w:t>g</w:t>
      </w:r>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7"/>
      <w:r w:rsidRPr="006720E4">
        <w:t xml:space="preserve"> </w:t>
      </w:r>
    </w:p>
    <w:p w14:paraId="1CC1DC1A" w14:textId="319005B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Organ and tissue trafficking may involve one or more of a range of activities that effectively treat organs and tissues as saleable commodities or otherwise violate the legal and ethical requirements for donation (see </w:t>
      </w:r>
      <w:r w:rsidRPr="00CB38A6">
        <w:rPr>
          <w:rFonts w:ascii="Calibri" w:hAnsi="Calibri" w:cs="Calibri"/>
          <w:b/>
          <w:bCs/>
          <w:sz w:val="22"/>
          <w:szCs w:val="22"/>
        </w:rPr>
        <w:t xml:space="preserve">Box </w:t>
      </w:r>
      <w:r w:rsidR="005525CE">
        <w:rPr>
          <w:rFonts w:ascii="Calibri" w:hAnsi="Calibri" w:cs="Calibri"/>
          <w:b/>
          <w:bCs/>
          <w:sz w:val="22"/>
          <w:szCs w:val="22"/>
        </w:rPr>
        <w:t>10</w:t>
      </w:r>
      <w:r w:rsidRPr="00CB38A6">
        <w:rPr>
          <w:rFonts w:ascii="Calibri" w:hAnsi="Calibri" w:cs="Calibri"/>
          <w:b/>
          <w:bCs/>
          <w:sz w:val="22"/>
          <w:szCs w:val="22"/>
        </w:rPr>
        <w:t>.1</w:t>
      </w:r>
      <w:r w:rsidRPr="006720E4">
        <w:rPr>
          <w:rFonts w:ascii="Calibri" w:hAnsi="Calibri" w:cs="Calibri"/>
          <w:sz w:val="22"/>
          <w:szCs w:val="22"/>
        </w:rPr>
        <w:t xml:space="preserve">). </w:t>
      </w:r>
    </w:p>
    <w:p w14:paraId="54258A9D" w14:textId="36DEBE6B" w:rsidR="006C6EBA" w:rsidRDefault="006C6EBA" w:rsidP="00EA22AE">
      <w:pPr>
        <w:spacing w:after="120"/>
        <w:rPr>
          <w:rFonts w:ascii="Calibri" w:hAnsi="Calibri" w:cs="Calibri"/>
          <w:sz w:val="22"/>
          <w:szCs w:val="22"/>
        </w:rPr>
      </w:pPr>
      <w:r w:rsidRPr="006720E4">
        <w:rPr>
          <w:rFonts w:ascii="Calibri" w:hAnsi="Calibri" w:cs="Calibri"/>
          <w:sz w:val="22"/>
          <w:szCs w:val="22"/>
        </w:rPr>
        <w:t>Trafficking of both organs and tissues may cause significant harm to donors and their families and communities. Trafficking also undermines safety, quality, and equity of access to transplantation and undermines public trust in living and deceased donation programs. Worldwide, up to 10% of solid organ transplants are estimated to involve organ trafficking;</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{"citationItems":[{"id":"ITEM-1","itemData":{"DOI":"10.1111/nep.13205","ISSN":"14401797","PMID":"29215180","abstract":"Aim: To describe the direct and indirect costs incurred by Australian living kidney donors. Methods: A total of 55 living kidney donors from three centres in Perth, Australia and one centre in Melbourne, Australia (2010–2014) was studied. Forty-nine donors provided information on expenses incurred during the donor evaluation period and up to 3 months after donation. A micro-costing approach was used to measure and value the units of resources consumed. Expenses were grouped as direct costs (ground and air travel, accommodation, and prescription medications) and indirect costs (lost wages and lost productivity). Costs were standardized to the year 2016 in Australian dollars. Results: The most common direct costs were for ground travel (100%), parking (76%), and post-donation pain medications or antibiotics (73%). The highest direct costs were for air travel (median $1986 [three donors]) and ground travel (median $459 [49 donors]). Donors also reported lost wages (median $9891 [37 donors]). The inability to perform household activities or care for dependants were reported by 32 (65%) and 23 (47%) donors. Total direct costs averaged $1682 per donor (median $806 among 49 donors). Total indirect costs averaged $7249 per donor (median $7273 among 49 donors). Total direct and indirect costs averaged $8932 per donor (median $7963 among 49 donors). Conclusion: Many Australian living kidney donors incur substantial costs during the donation process. Our findings inform the continued development of policies and programmes designed to minimize costs incurred by living kidney donors.","author":[{"dropping-particle":"","family":"Barnieh","given":"Lianne","non-dropping-particle":"","parse-names":false,"suffix":""},{"dropping-particle":"","family":"Kanellis","given":"John","non-dropping-particle":"","parse-names":false,"suffix":""},{"dropping-particle":"","family":"McDonald","given":"Stephen","non-dropping-particle":"","parse-names":false,"suffix":""},{"dropping-particle":"","family":"Arnold","given":"Jennifer","non-dropping-particle":"","parse-names":false,"suffix":""},{"dropping-particle":"","family":"Sontrop","given":"Jessica M.","non-dropping-particle":"","parse-names":false,"suffix":""},{"dropping-particle":"","family":"Cuerden","given":"Meaghan","non-dropping-particle":"","parse-names":false,"suffix":""},{"dropping-particle":"","family":"Klarenbach","given":"Scott","non-dropping-particle":"","parse-names":false,"suffix":""},{"dropping-particle":"","family":"Garg","given":"Amit X.","non-dropping-particle":"","parse-names":false,"suffix":""},{"dropping-particle":"","family":"Boudville","given":"Neil","non-dropping-particle":"","parse-names":false,"suffix":""}],"container-title":"Nephrology","id":"ITEM-1","issue":"12","issued":{"date-parts":[["2018"]]},"page":"1145-1151","title":"Direct and indirect costs incurred by Australian living kidney donors","type":"article-journal","volume":"23"},"uris":["http://www.mendeley.com/documents/?uuid=9ccf1549-fe0d-44e3-afc9-d64a8f6a7e72"]}],"mendeley":{"formattedCitation":"(158)","plainTextFormattedCitation":"(158)","previouslyFormattedCitation":"(158)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(158)</w:t>
      </w:r>
      <w:r w:rsidRPr="006720E4">
        <w:rPr>
          <w:rFonts w:ascii="Calibri" w:hAnsi="Calibri" w:cs="Calibri"/>
          <w:sz w:val="22"/>
          <w:szCs w:val="22"/>
        </w:rPr>
        <w:fldChar w:fldCharType="end"/>
      </w:r>
      <w:r w:rsidRPr="006720E4">
        <w:rPr>
          <w:rFonts w:ascii="Calibri" w:hAnsi="Calibri" w:cs="Calibri"/>
          <w:sz w:val="22"/>
          <w:szCs w:val="22"/>
        </w:rPr>
        <w:t xml:space="preserve"> the extent of trafficking in human tissues is unknown. Data relating to trafficking activities are scarce, and only sporadic reports of trafficking cases in the media shed light on the ways in which organs and tissues have been stolen or taken by force from donors, and/or sold or otherwise exchanged for financial gain. </w:t>
      </w:r>
    </w:p>
    <w:p w14:paraId="5BFCA14C" w14:textId="77777777" w:rsidR="005C22A7" w:rsidRDefault="005C22A7" w:rsidP="00EA22AE">
      <w:pPr>
        <w:spacing w:after="120"/>
        <w:rPr>
          <w:rFonts w:ascii="Calibri" w:hAnsi="Calibri" w:cs="Calibri"/>
          <w:sz w:val="22"/>
          <w:szCs w:val="22"/>
        </w:rPr>
      </w:pPr>
    </w:p>
    <w:p w14:paraId="3A79771C" w14:textId="77777777" w:rsidR="005C22A7" w:rsidRPr="006720E4" w:rsidRDefault="005C22A7" w:rsidP="00EA22AE">
      <w:pPr>
        <w:spacing w:after="120"/>
        <w:rPr>
          <w:rFonts w:ascii="Calibri" w:hAnsi="Calibri" w:cs="Calibri"/>
          <w:sz w:val="22"/>
          <w:szCs w:val="22"/>
        </w:rPr>
      </w:pPr>
    </w:p>
    <w:p w14:paraId="3F439994" w14:textId="77777777" w:rsidR="006C6EBA" w:rsidRPr="006720E4" w:rsidRDefault="006C6EBA" w:rsidP="00EA22AE">
      <w:pPr>
        <w:spacing w:after="120"/>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6C6EBA" w:rsidRPr="006720E4" w14:paraId="63ED039E" w14:textId="77777777">
        <w:tc>
          <w:tcPr>
            <w:tcW w:w="9010" w:type="dxa"/>
            <w:shd w:val="clear" w:color="auto" w:fill="D0CECE" w:themeFill="background2" w:themeFillShade="E6"/>
          </w:tcPr>
          <w:p w14:paraId="1F6795DD" w14:textId="4E108F6B" w:rsidR="006C6EBA" w:rsidRPr="006720E4" w:rsidRDefault="006C6EBA" w:rsidP="00EA22AE">
            <w:pPr>
              <w:spacing w:after="120"/>
              <w:rPr>
                <w:rFonts w:ascii="Calibri" w:hAnsi="Calibri" w:cs="Calibri"/>
                <w:b/>
                <w:bCs/>
                <w:sz w:val="22"/>
                <w:szCs w:val="22"/>
              </w:rPr>
            </w:pPr>
            <w:r w:rsidRPr="00CB38A6">
              <w:rPr>
                <w:rFonts w:ascii="Calibri" w:hAnsi="Calibri" w:cs="Calibri"/>
                <w:b/>
                <w:bCs/>
                <w:sz w:val="22"/>
                <w:szCs w:val="22"/>
              </w:rPr>
              <w:lastRenderedPageBreak/>
              <w:t xml:space="preserve">Box </w:t>
            </w:r>
            <w:r w:rsidR="005525CE">
              <w:rPr>
                <w:rFonts w:ascii="Calibri" w:hAnsi="Calibri" w:cs="Calibri"/>
                <w:b/>
                <w:bCs/>
                <w:sz w:val="22"/>
                <w:szCs w:val="22"/>
              </w:rPr>
              <w:t>10</w:t>
            </w:r>
            <w:r w:rsidRPr="00CB38A6">
              <w:rPr>
                <w:rFonts w:ascii="Calibri" w:hAnsi="Calibri" w:cs="Calibri"/>
                <w:b/>
                <w:bCs/>
                <w:sz w:val="22"/>
                <w:szCs w:val="22"/>
              </w:rPr>
              <w:t>.1 Definition of</w:t>
            </w:r>
            <w:r w:rsidRPr="006720E4">
              <w:rPr>
                <w:rFonts w:ascii="Calibri" w:hAnsi="Calibri" w:cs="Calibri"/>
                <w:b/>
                <w:bCs/>
                <w:sz w:val="22"/>
                <w:szCs w:val="22"/>
              </w:rPr>
              <w:t xml:space="preserve"> organ (or tissue) trafficking</w:t>
            </w:r>
          </w:p>
        </w:tc>
      </w:tr>
      <w:tr w:rsidR="006C6EBA" w:rsidRPr="006720E4" w14:paraId="1F54F193" w14:textId="77777777">
        <w:tc>
          <w:tcPr>
            <w:tcW w:w="9010" w:type="dxa"/>
            <w:shd w:val="clear" w:color="auto" w:fill="E7E6E6" w:themeFill="background2"/>
          </w:tcPr>
          <w:p w14:paraId="16B0B76B" w14:textId="5F008E0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Declaration of Istanbul on Organ Trafficking and Transplant Tourism defines organ trafficking activities as follows:</w:t>
            </w:r>
          </w:p>
          <w:p w14:paraId="14793062" w14:textId="287F6D53" w:rsidR="006C6EBA" w:rsidRPr="006720E4" w:rsidRDefault="006C6EBA" w:rsidP="00EA22AE">
            <w:pPr>
              <w:pStyle w:val="Bullet"/>
              <w:numPr>
                <w:ilvl w:val="0"/>
                <w:numId w:val="15"/>
              </w:numPr>
              <w:spacing w:after="120"/>
              <w:contextualSpacing w:val="0"/>
              <w:rPr>
                <w:rFonts w:cs="Calibri"/>
                <w:szCs w:val="22"/>
                <w:lang w:val="en-GB"/>
              </w:rPr>
            </w:pPr>
            <w:r w:rsidRPr="006720E4">
              <w:rPr>
                <w:rFonts w:cs="Calibri"/>
                <w:szCs w:val="22"/>
                <w:lang w:val="en-GB"/>
              </w:rPr>
              <w:t>removing organs from living or deceased donors without valid consent or authori</w:t>
            </w:r>
            <w:r w:rsidR="005359C1">
              <w:rPr>
                <w:rFonts w:cs="Calibri"/>
                <w:szCs w:val="22"/>
                <w:lang w:val="en-GB"/>
              </w:rPr>
              <w:t>s</w:t>
            </w:r>
            <w:r w:rsidRPr="006720E4">
              <w:rPr>
                <w:rFonts w:cs="Calibri"/>
                <w:szCs w:val="22"/>
                <w:lang w:val="en-GB"/>
              </w:rPr>
              <w:t>ation or in exchange for financial gain or comparable advantage to the donor and/or a third person;</w:t>
            </w:r>
          </w:p>
          <w:p w14:paraId="0841CF09" w14:textId="77777777" w:rsidR="006C6EBA" w:rsidRPr="006720E4" w:rsidRDefault="006C6EBA" w:rsidP="00EA22AE">
            <w:pPr>
              <w:pStyle w:val="Bullet"/>
              <w:numPr>
                <w:ilvl w:val="0"/>
                <w:numId w:val="15"/>
              </w:numPr>
              <w:spacing w:after="120"/>
              <w:contextualSpacing w:val="0"/>
              <w:rPr>
                <w:rFonts w:cs="Calibri"/>
                <w:szCs w:val="22"/>
                <w:lang w:val="en-GB"/>
              </w:rPr>
            </w:pPr>
            <w:r w:rsidRPr="006720E4">
              <w:rPr>
                <w:rFonts w:cs="Calibri"/>
                <w:szCs w:val="22"/>
                <w:lang w:val="en-GB"/>
              </w:rPr>
              <w:t>any transportation, manipulation, transplantation, or other use of such organs;</w:t>
            </w:r>
          </w:p>
          <w:p w14:paraId="5FB03EEB" w14:textId="77777777" w:rsidR="006C6EBA" w:rsidRPr="006720E4" w:rsidRDefault="006C6EBA" w:rsidP="00EA22AE">
            <w:pPr>
              <w:pStyle w:val="Bullet"/>
              <w:numPr>
                <w:ilvl w:val="0"/>
                <w:numId w:val="15"/>
              </w:numPr>
              <w:spacing w:after="120"/>
              <w:contextualSpacing w:val="0"/>
              <w:rPr>
                <w:rFonts w:cs="Calibri"/>
                <w:szCs w:val="22"/>
                <w:lang w:val="en-GB"/>
              </w:rPr>
            </w:pPr>
            <w:r w:rsidRPr="006720E4">
              <w:rPr>
                <w:rFonts w:cs="Calibri"/>
                <w:szCs w:val="22"/>
                <w:lang w:val="en-GB"/>
              </w:rPr>
              <w:t>offering any undue advantage to, or requesting the same by, a health professional, public official, or employee of a private sector entity to facilitate or perform such removal or use;</w:t>
            </w:r>
          </w:p>
          <w:p w14:paraId="076AB57C" w14:textId="77777777" w:rsidR="006C6EBA" w:rsidRPr="006720E4" w:rsidRDefault="006C6EBA" w:rsidP="00EA22AE">
            <w:pPr>
              <w:pStyle w:val="Bullet"/>
              <w:numPr>
                <w:ilvl w:val="0"/>
                <w:numId w:val="15"/>
              </w:numPr>
              <w:spacing w:after="120"/>
              <w:contextualSpacing w:val="0"/>
              <w:rPr>
                <w:rFonts w:cs="Calibri"/>
                <w:szCs w:val="22"/>
                <w:lang w:val="en-GB"/>
              </w:rPr>
            </w:pPr>
            <w:r w:rsidRPr="006720E4">
              <w:rPr>
                <w:rFonts w:cs="Calibri"/>
                <w:szCs w:val="22"/>
                <w:lang w:val="en-GB"/>
              </w:rPr>
              <w:t>soliciting or recruiting donors or recipients, where carried out for financial gain or comparable advantage; or</w:t>
            </w:r>
          </w:p>
          <w:p w14:paraId="23C1100B" w14:textId="6B0ADDA8" w:rsidR="006C6EBA" w:rsidRPr="006720E4" w:rsidRDefault="006C6EBA" w:rsidP="00EA22AE">
            <w:pPr>
              <w:pStyle w:val="Bullet"/>
              <w:numPr>
                <w:ilvl w:val="0"/>
                <w:numId w:val="15"/>
              </w:numPr>
              <w:spacing w:after="120"/>
              <w:contextualSpacing w:val="0"/>
              <w:rPr>
                <w:rFonts w:cs="Calibri"/>
                <w:szCs w:val="22"/>
              </w:rPr>
            </w:pPr>
            <w:r w:rsidRPr="006720E4">
              <w:rPr>
                <w:rFonts w:cs="Calibri"/>
                <w:szCs w:val="22"/>
                <w:lang w:val="en-GB"/>
              </w:rPr>
              <w:t>attempting to commit, or aiding or abetting the commission of, any of these acts.</w:t>
            </w:r>
            <w:r w:rsidRPr="006720E4">
              <w:rPr>
                <w:rFonts w:cs="Calibri"/>
                <w:szCs w:val="22"/>
                <w:lang w:val="en-GB"/>
              </w:rPr>
              <w:fldChar w:fldCharType="begin" w:fldLock="1"/>
            </w:r>
            <w:r w:rsidR="00EB088B">
              <w:rPr>
                <w:rFonts w:cs="Calibri"/>
                <w:szCs w:val="22"/>
                <w:lang w:val="en-GB"/>
              </w:rPr>
              <w:instrText>ADDIN CSL_CITATION {"citationItems":[{"id":"ITEM-1","itemData":{"DOI":"10.2471/BLT.06.039370","ISSN":"00429686","PMID":"18278256","abstract":"Organ transplantation is widely practised worldwide. The expansion of organ transplantation has led to a critical shortage of organs and the development of the organ trade. Many patients travel to areas where organs are obtainable through commercial transactions. Although the international organ trade is regarded as an important health policy issue, its current state remains obscure because of scarce data and the lack of efforts to synthesize available data. This paper is an attempt to integrate information about the current international organ trade and create a tentative global picture based on a systematic review of 309 media reports, journal articles and other documents. The international organ trade is described in terms of its forms, the organ-exporting countries, the organ-importing countries and its outcomes and consequences.","author":[{"dropping-particle":"","family":"Shimazono","given":"Yosuke","non-dropping-particle":"","parse-names":false,"suffix":""}],"container-title":"Bulletin of the World Health Organization","id":"ITEM-1","issue":"12","issued":{"date-parts":[["2007"]]},"page":"955-962","title":"The state of the international organ trade: A provisional picture based on integration of available information","type":"article-journal","volume":"85"},"uris":["http://www.mendeley.com/documents/?uuid=e7e50955-3d47-478b-aa13-6605228b6462"]}],"mendeley":{"formattedCitation":"(142)","plainTextFormattedCitation":"(142)","previouslyFormattedCitation":"(142)"},"properties":{"noteIndex":0},"schema":"https://github.com/citation-style-language/schema/raw/master/csl-citation.json"}</w:instrText>
            </w:r>
            <w:r w:rsidRPr="006720E4">
              <w:rPr>
                <w:rFonts w:cs="Calibri"/>
                <w:szCs w:val="22"/>
                <w:lang w:val="en-GB"/>
              </w:rPr>
              <w:fldChar w:fldCharType="separate"/>
            </w:r>
            <w:r w:rsidR="00BA3D76" w:rsidRPr="00BA3D76">
              <w:rPr>
                <w:rFonts w:cs="Calibri"/>
                <w:noProof/>
                <w:szCs w:val="22"/>
                <w:lang w:val="en-GB"/>
              </w:rPr>
              <w:t>(142)</w:t>
            </w:r>
            <w:r w:rsidRPr="006720E4">
              <w:rPr>
                <w:rFonts w:cs="Calibri"/>
                <w:szCs w:val="22"/>
                <w:lang w:val="en-GB"/>
              </w:rPr>
              <w:fldChar w:fldCharType="end"/>
            </w:r>
          </w:p>
          <w:p w14:paraId="4091401A" w14:textId="77777777"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The same types of activities involving human tissues rather than organs would constitute trafficking in human tissues.</w:t>
            </w:r>
          </w:p>
        </w:tc>
      </w:tr>
    </w:tbl>
    <w:p w14:paraId="18C45CDC" w14:textId="6E92D7B5" w:rsidR="006C6EBA" w:rsidRPr="006720E4" w:rsidRDefault="006C6EBA" w:rsidP="00EA22AE">
      <w:pPr>
        <w:spacing w:after="120"/>
        <w:rPr>
          <w:rFonts w:ascii="Calibri" w:hAnsi="Calibri" w:cs="Calibri"/>
          <w:sz w:val="22"/>
          <w:szCs w:val="22"/>
        </w:rPr>
      </w:pPr>
      <w:bookmarkStart w:id="4578" w:name="_Organ_trafficking"/>
      <w:bookmarkStart w:id="4579" w:name="_Toc70414952"/>
      <w:bookmarkStart w:id="4580" w:name="_Toc70844270"/>
      <w:bookmarkStart w:id="4581" w:name="_Toc72615209"/>
      <w:bookmarkStart w:id="4582" w:name="_Toc73129937"/>
      <w:bookmarkStart w:id="4583" w:name="_Toc73301813"/>
      <w:bookmarkStart w:id="4584" w:name="_Toc73302319"/>
      <w:bookmarkStart w:id="4585" w:name="_Toc73303452"/>
      <w:bookmarkStart w:id="4586" w:name="_Toc73303667"/>
      <w:bookmarkStart w:id="4587" w:name="_Toc74080784"/>
      <w:bookmarkStart w:id="4588" w:name="_Toc74081092"/>
      <w:bookmarkStart w:id="4589" w:name="_Toc74081322"/>
      <w:bookmarkStart w:id="4590" w:name="_Toc74081597"/>
      <w:bookmarkStart w:id="4591" w:name="_Toc74171153"/>
      <w:bookmarkStart w:id="4592" w:name="_Toc74172374"/>
      <w:bookmarkStart w:id="4593" w:name="_Toc74172910"/>
      <w:bookmarkStart w:id="4594" w:name="_Toc74238827"/>
      <w:bookmarkEnd w:id="4578"/>
      <w:r w:rsidRPr="006720E4">
        <w:rPr>
          <w:rFonts w:ascii="Calibri" w:hAnsi="Calibri" w:cs="Calibri"/>
          <w:sz w:val="22"/>
          <w:szCs w:val="22"/>
        </w:rPr>
        <w:t xml:space="preserve">Health professionals and institutions involved in donation and transplantation activities have ethical and legal obligations to refrain from involvement in trafficking of organs or tissues, to assist in preventing trafficking where possible, and to take action in response to potential trafficking that may have occurred. These duties are discussed in the context of organ </w:t>
      </w:r>
      <w:r w:rsidRPr="00CB38A6">
        <w:rPr>
          <w:rFonts w:ascii="Calibri" w:hAnsi="Calibri" w:cs="Calibri"/>
          <w:sz w:val="22"/>
          <w:szCs w:val="22"/>
        </w:rPr>
        <w:t xml:space="preserve">trafficking in </w:t>
      </w:r>
      <w:hyperlink w:anchor="_Organ_trafficking_1" w:history="1">
        <w:r w:rsidRPr="00CB38A6">
          <w:rPr>
            <w:rStyle w:val="Hyperlink"/>
            <w:rFonts w:ascii="Calibri" w:hAnsi="Calibri" w:cs="Calibri"/>
            <w:sz w:val="22"/>
            <w:szCs w:val="22"/>
          </w:rPr>
          <w:t xml:space="preserve">Chapter </w:t>
        </w:r>
        <w:r w:rsidR="00CB38A6" w:rsidRPr="00CB38A6">
          <w:rPr>
            <w:rStyle w:val="Hyperlink"/>
            <w:rFonts w:ascii="Calibri" w:hAnsi="Calibri" w:cs="Calibri"/>
            <w:sz w:val="22"/>
            <w:szCs w:val="22"/>
          </w:rPr>
          <w:t>10</w:t>
        </w:r>
        <w:r w:rsidRPr="00CB38A6">
          <w:rPr>
            <w:rStyle w:val="Hyperlink"/>
            <w:rFonts w:ascii="Calibri" w:hAnsi="Calibri" w:cs="Calibri"/>
            <w:sz w:val="22"/>
            <w:szCs w:val="22"/>
          </w:rPr>
          <w:t>.6.1</w:t>
        </w:r>
      </w:hyperlink>
      <w:r w:rsidRPr="00CB38A6">
        <w:rPr>
          <w:rFonts w:ascii="Calibri" w:hAnsi="Calibri" w:cs="Calibri"/>
          <w:sz w:val="22"/>
          <w:szCs w:val="22"/>
        </w:rPr>
        <w:t xml:space="preserve"> and trafficking of tissues in </w:t>
      </w:r>
      <w:hyperlink w:anchor="_Trafficking_in_human" w:history="1">
        <w:r w:rsidRPr="00CB38A6">
          <w:rPr>
            <w:rStyle w:val="Hyperlink"/>
            <w:rFonts w:ascii="Calibri" w:hAnsi="Calibri" w:cs="Calibri"/>
            <w:sz w:val="22"/>
            <w:szCs w:val="22"/>
          </w:rPr>
          <w:t xml:space="preserve">Chapter </w:t>
        </w:r>
        <w:r w:rsidR="00CB38A6" w:rsidRPr="00CB38A6">
          <w:rPr>
            <w:rStyle w:val="Hyperlink"/>
            <w:rFonts w:ascii="Calibri" w:hAnsi="Calibri" w:cs="Calibri"/>
            <w:sz w:val="22"/>
            <w:szCs w:val="22"/>
          </w:rPr>
          <w:t>10</w:t>
        </w:r>
        <w:r w:rsidRPr="00CB38A6">
          <w:rPr>
            <w:rStyle w:val="Hyperlink"/>
            <w:rFonts w:ascii="Calibri" w:hAnsi="Calibri" w:cs="Calibri"/>
            <w:sz w:val="22"/>
            <w:szCs w:val="22"/>
          </w:rPr>
          <w:t>.6.2</w:t>
        </w:r>
      </w:hyperlink>
      <w:r w:rsidRPr="00CB38A6">
        <w:rPr>
          <w:rFonts w:ascii="Calibri" w:hAnsi="Calibri" w:cs="Calibri"/>
          <w:sz w:val="22"/>
          <w:szCs w:val="22"/>
        </w:rPr>
        <w:t>.</w:t>
      </w:r>
    </w:p>
    <w:p w14:paraId="402B3033" w14:textId="77777777" w:rsidR="006C6EBA" w:rsidRPr="006720E4" w:rsidRDefault="006C6EBA" w:rsidP="00EA22AE">
      <w:pPr>
        <w:pStyle w:val="Heading3"/>
        <w:spacing w:after="120"/>
      </w:pPr>
      <w:bookmarkStart w:id="4595" w:name="_Organ_trafficking_1"/>
      <w:bookmarkStart w:id="4596" w:name="_Toc79406487"/>
      <w:bookmarkStart w:id="4597" w:name="_Toc82773722"/>
      <w:bookmarkStart w:id="4598" w:name="_Toc82774075"/>
      <w:bookmarkEnd w:id="4595"/>
      <w:r w:rsidRPr="006720E4">
        <w:t>Organ trafficking</w:t>
      </w:r>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6"/>
      <w:bookmarkEnd w:id="4597"/>
      <w:bookmarkEnd w:id="4598"/>
      <w:r w:rsidRPr="006720E4">
        <w:t xml:space="preserve"> </w:t>
      </w:r>
    </w:p>
    <w:p w14:paraId="53E4EAEB" w14:textId="4BC85321" w:rsidR="006C6EBA" w:rsidRPr="00CB38A6" w:rsidRDefault="006C6EBA" w:rsidP="00EA22AE">
      <w:pPr>
        <w:spacing w:after="120"/>
        <w:rPr>
          <w:rFonts w:ascii="Calibri" w:hAnsi="Calibri" w:cs="Calibri"/>
          <w:sz w:val="22"/>
          <w:szCs w:val="22"/>
        </w:rPr>
      </w:pPr>
      <w:r w:rsidRPr="006720E4">
        <w:rPr>
          <w:rFonts w:ascii="Calibri" w:hAnsi="Calibri" w:cs="Calibri"/>
          <w:sz w:val="22"/>
          <w:szCs w:val="22"/>
        </w:rPr>
        <w:t xml:space="preserve">Organ trafficking, particularly the sale of kidneys from living “donors”, has attracted widespread attention since the 1990s.  Reports of the “black market” in organs have stimulated efforts to prevent trafficking as well as so-called “transplant tourism.” Transplant tourism is associated with travel of wealthy patients from countries like Australia to purchase organs on the black market in other countries (see also the discussion of transplant </w:t>
      </w:r>
      <w:r w:rsidRPr="00CB38A6">
        <w:rPr>
          <w:rFonts w:ascii="Calibri" w:hAnsi="Calibri" w:cs="Calibri"/>
          <w:sz w:val="22"/>
          <w:szCs w:val="22"/>
        </w:rPr>
        <w:t xml:space="preserve">tourism in </w:t>
      </w:r>
      <w:r w:rsidR="00CB38A6" w:rsidRPr="00CB38A6">
        <w:rPr>
          <w:rStyle w:val="Hyperlink"/>
          <w:rFonts w:ascii="Calibri" w:hAnsi="Calibri" w:cs="Calibri"/>
          <w:sz w:val="22"/>
          <w:szCs w:val="22"/>
        </w:rPr>
        <w:t>Chapter 9</w:t>
      </w:r>
      <w:r w:rsidRPr="00CB38A6">
        <w:rPr>
          <w:rStyle w:val="Hyperlink"/>
          <w:rFonts w:ascii="Calibri" w:hAnsi="Calibri" w:cs="Calibri"/>
          <w:sz w:val="22"/>
          <w:szCs w:val="22"/>
        </w:rPr>
        <w:t>.4.1</w:t>
      </w:r>
      <w:r w:rsidRPr="00CB38A6">
        <w:rPr>
          <w:rFonts w:ascii="Calibri" w:hAnsi="Calibri" w:cs="Calibri"/>
          <w:sz w:val="22"/>
          <w:szCs w:val="22"/>
        </w:rPr>
        <w:t xml:space="preserve">). </w:t>
      </w:r>
    </w:p>
    <w:p w14:paraId="101523C6" w14:textId="25648AEB" w:rsidR="006C6EBA" w:rsidRPr="00CB38A6" w:rsidRDefault="006C6EBA" w:rsidP="00EA22AE">
      <w:pPr>
        <w:spacing w:after="120"/>
        <w:rPr>
          <w:rFonts w:ascii="Calibri" w:hAnsi="Calibri" w:cs="Calibri"/>
          <w:sz w:val="22"/>
          <w:szCs w:val="22"/>
        </w:rPr>
      </w:pPr>
      <w:r w:rsidRPr="00CB38A6">
        <w:rPr>
          <w:rFonts w:ascii="Calibri" w:hAnsi="Calibri" w:cs="Calibri"/>
          <w:sz w:val="22"/>
          <w:szCs w:val="22"/>
        </w:rPr>
        <w:t>Australians may be involved in organ trafficking in the following ways:</w:t>
      </w:r>
    </w:p>
    <w:p w14:paraId="160A13B6" w14:textId="2DCE23BF" w:rsidR="006C6EBA" w:rsidRPr="00CB38A6" w:rsidRDefault="006C6EBA" w:rsidP="00EA22AE">
      <w:pPr>
        <w:pStyle w:val="ListParagraph"/>
        <w:numPr>
          <w:ilvl w:val="0"/>
          <w:numId w:val="12"/>
        </w:numPr>
        <w:spacing w:after="120"/>
        <w:ind w:left="709"/>
        <w:contextualSpacing w:val="0"/>
        <w:rPr>
          <w:rFonts w:cs="Calibri"/>
          <w:szCs w:val="22"/>
        </w:rPr>
      </w:pPr>
      <w:r w:rsidRPr="00CB38A6">
        <w:rPr>
          <w:rFonts w:cs="Calibri"/>
          <w:szCs w:val="22"/>
        </w:rPr>
        <w:t xml:space="preserve">A person travels from Australia to another country for the purpose of obtaining a transplant that involves a trafficked organ (“transplant tourism”) (see </w:t>
      </w:r>
      <w:r w:rsidR="00CB38A6" w:rsidRPr="00CB38A6">
        <w:rPr>
          <w:rStyle w:val="Hyperlink"/>
          <w:rFonts w:cs="Calibri"/>
          <w:szCs w:val="22"/>
        </w:rPr>
        <w:t>Chapter 9.</w:t>
      </w:r>
      <w:r w:rsidRPr="00CB38A6">
        <w:rPr>
          <w:rStyle w:val="Hyperlink"/>
          <w:rFonts w:cs="Calibri"/>
          <w:szCs w:val="22"/>
        </w:rPr>
        <w:t>4.1</w:t>
      </w:r>
      <w:r w:rsidRPr="00CB38A6">
        <w:rPr>
          <w:rFonts w:cs="Calibri"/>
          <w:szCs w:val="22"/>
        </w:rPr>
        <w:t>).</w:t>
      </w:r>
    </w:p>
    <w:p w14:paraId="1BA2EA1D" w14:textId="77777777" w:rsidR="006C6EBA" w:rsidRPr="006720E4" w:rsidRDefault="006C6EBA" w:rsidP="00EA22AE">
      <w:pPr>
        <w:pStyle w:val="ListParagraph"/>
        <w:numPr>
          <w:ilvl w:val="0"/>
          <w:numId w:val="12"/>
        </w:numPr>
        <w:spacing w:after="120"/>
        <w:ind w:left="709"/>
        <w:contextualSpacing w:val="0"/>
        <w:rPr>
          <w:rFonts w:cs="Calibri"/>
          <w:szCs w:val="22"/>
        </w:rPr>
      </w:pPr>
      <w:r w:rsidRPr="006720E4">
        <w:rPr>
          <w:rFonts w:cs="Calibri"/>
          <w:szCs w:val="22"/>
        </w:rPr>
        <w:t>A person travels to Australia from another country for the purpose of buying an organ that will be transplanted within Australia.</w:t>
      </w:r>
    </w:p>
    <w:p w14:paraId="53FC0877" w14:textId="77777777" w:rsidR="006C6EBA" w:rsidRPr="006720E4" w:rsidRDefault="006C6EBA" w:rsidP="00EA22AE">
      <w:pPr>
        <w:pStyle w:val="ListParagraph"/>
        <w:numPr>
          <w:ilvl w:val="0"/>
          <w:numId w:val="12"/>
        </w:numPr>
        <w:spacing w:after="120"/>
        <w:ind w:left="709"/>
        <w:contextualSpacing w:val="0"/>
        <w:rPr>
          <w:rFonts w:cs="Calibri"/>
          <w:szCs w:val="22"/>
        </w:rPr>
      </w:pPr>
      <w:r w:rsidRPr="006720E4">
        <w:rPr>
          <w:rFonts w:cs="Calibri"/>
          <w:szCs w:val="22"/>
        </w:rPr>
        <w:t>A person travels to Australia from another country for the purpose of selling an organ that will be transplanted within Australia</w:t>
      </w:r>
    </w:p>
    <w:p w14:paraId="06DDA456" w14:textId="25F55D8E" w:rsidR="006C6EBA" w:rsidRPr="006720E4" w:rsidRDefault="006C6EBA" w:rsidP="00EA22AE">
      <w:pPr>
        <w:pStyle w:val="ListParagraph"/>
        <w:numPr>
          <w:ilvl w:val="0"/>
          <w:numId w:val="12"/>
        </w:numPr>
        <w:spacing w:after="120"/>
        <w:ind w:left="709"/>
        <w:contextualSpacing w:val="0"/>
        <w:rPr>
          <w:rFonts w:cs="Calibri"/>
          <w:szCs w:val="22"/>
        </w:rPr>
      </w:pPr>
      <w:r w:rsidRPr="006720E4">
        <w:rPr>
          <w:rFonts w:cs="Calibri"/>
          <w:szCs w:val="22"/>
        </w:rPr>
        <w:t>A person within Australia may seek to sell or purchase an organ for transplantation within Australia (domestic organ trafficking).</w:t>
      </w:r>
    </w:p>
    <w:p w14:paraId="7FF62851" w14:textId="2D3BCF5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Of note, intent to buy or sell an organ constitutes involvement in organ trafficking, regardless of whether organ removal or transplant in fact occurs, as per the definition in </w:t>
      </w:r>
      <w:r w:rsidRPr="00CB38A6">
        <w:rPr>
          <w:rFonts w:ascii="Calibri" w:hAnsi="Calibri" w:cs="Calibri"/>
          <w:b/>
          <w:bCs/>
          <w:sz w:val="22"/>
          <w:szCs w:val="22"/>
        </w:rPr>
        <w:t xml:space="preserve">Box </w:t>
      </w:r>
      <w:r w:rsidR="005525CE">
        <w:rPr>
          <w:rFonts w:ascii="Calibri" w:hAnsi="Calibri" w:cs="Calibri"/>
          <w:b/>
          <w:bCs/>
          <w:sz w:val="22"/>
          <w:szCs w:val="22"/>
        </w:rPr>
        <w:t>10</w:t>
      </w:r>
      <w:r w:rsidRPr="00CB38A6">
        <w:rPr>
          <w:rFonts w:ascii="Calibri" w:hAnsi="Calibri" w:cs="Calibri"/>
          <w:b/>
          <w:bCs/>
          <w:sz w:val="22"/>
          <w:szCs w:val="22"/>
        </w:rPr>
        <w:t>.1.</w:t>
      </w:r>
    </w:p>
    <w:p w14:paraId="2175AAA8" w14:textId="73D693A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Internationally, organ trafficking is associated with exploitation, coercion and significant long term physical, and psychosocial harm to organ sellers and their communities,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{"citationItems":[{"id":"ITEM-1","itemData":{"DOI":"10.1016/j.kint.2019.01.006","ISSN":"15231755","PMID":"30904066","author":[{"dropping-particle":"","family":"Martin","given":"Dominique E.","non-dropping-particle":"","parse-names":false,"suffix":""},{"dropping-particle":"","family":"Assche","given":"Kristof","non-dropping-particle":"Van","parse-names":false,"suffix":""},{"dropping-particle":"","family":"Domínguez-Gil","given":"Beatriz","non-dropping-particle":"","parse-names":false,"suffix":""},{"dropping-particle":"","family":"López-Fraga","given":"Marta","non-dropping-particle":"","parse-names":false,"suffix":""},{"dropping-particle":"","family":"Garcia Gallont","given":"Rudolf","non-dropping-particle":"","parse-names":false,"suffix":""},{"dropping-particle":"","family":"Muller","given":"Elmi","non-dropping-particle":"","parse-names":false,"suffix":""},{"dropping-particle":"","family":"Rondeau","given":"Eric","non-dropping-particle":"","parse-names":false,"suffix":""},{"dropping-particle":"","family":"Capron","given":"Alexander M.","non-dropping-particle":"","parse-names":false,"suffix":""}],"container-title":"Kidney International","id":"ITEM-1","issue":"4","issued":{"date-parts":[["2019"]]},"page":"757-759","title":"A new edition of the Declaration of Istanbul: updated guidance to combat organ trafficking and transplant tourism worldwide","type":"article-journal","volume":"95"},"uris":["http://www.mendeley.com/documents/?uuid=37cc9411-2f01-4000-8e7f-a7c78a631192"]}],"mendeley":{"formattedCitation":"(153)","plainTextFormattedCitation":"(153)","previouslyFormattedCitation":"(153)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(153)</w:t>
      </w:r>
      <w:r w:rsidRPr="006720E4">
        <w:rPr>
          <w:rFonts w:ascii="Calibri" w:hAnsi="Calibri" w:cs="Calibri"/>
          <w:sz w:val="22"/>
          <w:szCs w:val="22"/>
        </w:rPr>
        <w:fldChar w:fldCharType="end"/>
      </w:r>
      <w:r w:rsidRPr="006720E4">
        <w:rPr>
          <w:rFonts w:ascii="Calibri" w:hAnsi="Calibri" w:cs="Calibri"/>
          <w:sz w:val="22"/>
          <w:szCs w:val="22"/>
        </w:rPr>
        <w:t xml:space="preserve"> as well as serious risks of medical complications and criminal prosecution for recipients of their organs.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{"citationItems":[{"id":"ITEM-1","itemData":{"DOI":"10.1353/hcr.0.0136","ISSN":"0093-0334","PMID":"19537621","abstract":"In theory, a commercial market for kidneys could increase the scarce supply of transplantable organs and give impoverished people a new way to lift themselves out of poverty. In-depth sociological work on those who opt to sell their kidneys reveals a different set of realities. Around the town of Sarghoda, Pakistan, the negative social and psychological ramifications of selling a kidney affect not only the vendors themselves, but also their families, communities, and even the country as a whole.","author":[{"dropping-particle":"","family":"Farhat Moazam","given":"","non-dropping-particle":"","parse-names":false,"suffix":""},{"dropping-particle":"","family":"Riffat Moazam Zaman","given":"","non-dropping-particle":"","parse-names":false,"suffix":""},{"dropping-particle":"","family":"Aamir M. Jafarey","given":"","non-dropping-particle":"","parse-names":false,"suffix":""}],"container-title":"Hastings Center Report","id":"ITEM-1","issue":"3","issued":{"date-parts":[["2009"]]},"page":"29-44","title":"Conversations with Kidney Vendors in Pakistan: An Ethnographic Study","type":"article-journal","volume":"39"},"uris":["http://www.mendeley.com/documents/?uuid=21e77b90-9d4c-46dd-8270-2b946e5085bf"]},{"id":"ITEM-2","itemData":{"DOI":"10.1111/j.1548-1387.2011.01197.x","ISSN":"07455194","PMID":"22574392","abstract":"The technology-driven demand for the extraction of human organs-mainly kidneys, but also liver lobes and single corneas-has created an illegal market in body parts. Based on ethnographic fieldwork, in this article I examine the body bazaar in Bangladesh: in particular, the process of selling organs and the experiences of 33 kidney sellers who are victims of this trade. The sellers' narratives reveal how wealthy buyers (both recipients and brokers) tricked Bangladeshi poor into selling their kidneys; in the end, these sellers were brutally deceived and their suffering was extreme. I therefore argue that the current practice of organ commodification is both exploitative and unethical, as organs are removed from the bodies of the poor by inflicting a novel form of bioviolence against them. This bioviolence is deliberately silenced by vested interest groups for their personal gain. © 2012 by the American Anthropological Association.","author":[{"dropping-particle":"","family":"Moniruzzaman","given":"Monir","non-dropping-particle":"","parse-names":false,"suffix":""}],"container-title":"Medical Anthropology Quarterly","id":"ITEM-2","issue":"1","issued":{"date-parts":[["2012"]]},"page":"69-91","title":"\"Living Cadavers\" in Bangladesh: Bioviolence in the Human Organ Bazaar","type":"article-journal","volume":"26"},"uris":["http://www.mendeley.com/documents/?uuid=5471181a-d6a0-48b7-b0b4-465a50e83c4b"]},{"id":"ITEM-3","itemData":{"DOI":"10.1007/s10389-010-0320-3","ISSN":"09431853","abstract":"Aim This quantitative study seeks to determine why the underground organ commerce exists and thrives in Colombia, and how it responds to global donor shortages, public opposition and government initiatives to curtail it. Policy lessons and insights from the Colombian experience in organ donation and transplantation are identified in this study. Subjects andMethods Statistical random samples of 169 living and paid Colombian donors (or vendors) were apportioned between the key organ supplier cities of Bogotá and Medellín based on population. A pre-tested and interviewer- administeredquestionnaire was designed for organ vendors in these multistage samples. Qualitative analysis of pertinent Colombian laws and regulations forms the other half of this study. Results Survey results from Bogotá and Medellín tend to indicate shared demographic characteristics between Colombian vendors and their counterparts in developing countries that are major destinations for organ trafficking. The organ trade in Colombia is generally open, brokered and without price competition and provisions for vendors' postoperative care, which help attract many foreign buyers. These factors also increase the vulnerability of vendors to unscrupulous third parties. The study finds that public indifference, state/ institutional incapacity, corruption, and constantly changing trade environments, rules and operations subvert the legal and regulatory framework for organ donation and transplantation, which in Colombia is rather unique for its extent of coverage, complexity and detail. Conclusion The empirical evidence obtained from Bogotá and Medellín offers a challenge for governments to look beyond the availability of legal and regulatory restraints and remedies. Why and how these can be effectively undermined by organ trade participants without necessarily affecting or reversing their economic behavior are pressing issues that demand immediate attention. © Springer-Verlag 2010.","author":[{"dropping-particle":"","family":"Mendoza","given":"Roger Lee","non-dropping-particle":"","parse-names":false,"suffix":""}],"container-title":"Journal of Public Health","id":"ITEM-3","issue":"4","issued":{"date-parts":[["2010"]]},"page":"375-384","title":"Colombia's organ trade: Evidence from Bogotá and Medellín","type":"article-journal","volume":"18"},"uris":["http://www.mendeley.com/documents/?uuid=d839c2e1-4370-4bbe-9de1-d920fb89d139"]},{"id":"ITEM-4","itemData":{"DOI":"10.1080/0966369X.2013.832657","ISSN":"13600524","abstract":"The Philippines has recently achieved notoriety as one of the top five source countries for commercially provided organs, particularly kidneys, globally. The vast majority of commercial organ providers are economically marginal men, thus throwing into question conventional wisdom regarding the gendered nature of human trafficking in which most trafficked persons are presumed to be female. This article examined the motives of men who sell kidneys in Manila's black organ market and their ongoing negotiations when their aspirations are not fulfilled. I suggest that family considerations figure prominently amongst many of the men, who attempt to use the money from the sale of a kidney as a livelihood or family security strategy. Narratives of economically marginal men in the Philippines about the commercial value of their body parts are situated in discourses of traditional Philippines ideas about masculinity, particularly concerning the male breadwinner and also about heroism. Thus, although an emotionally and relationally complex decision, selling a kidney nonetheless allows these men to attempt to reclaim their masculine roles, but often with contradictory outcomes.","author":[{"dropping-particle":"","family":"Yea","given":"Sallie","non-dropping-particle":"","parse-names":false,"suffix":""}],"container-title":"Gender, Place and Culture","id":"ITEM-4","issue":"1","issued":{"date-parts":[["2015"]]},"page":"123-142","title":"Masculinity under the knife: Filipino men, trafficking and the black organ market in Manila, the Philippines","type":"article-journal","volume":"22"},"uris":["http://www.mendeley.com/documents/?uuid=0ea5f6ef-7f00-4a81-9d61-e10de85a8630"]},{"id":"ITEM-5","itemData":{"DOI":"10.1093/bjc/azw068","ISSN":"14643529","abstract":"Legislative action in response to the organ trade has centred on the prohibition of organ sales and the enforcement of criminal sanctions targeting 'trafficking' offences. This paper argues that the existing law enforcement response is not only inadequate but harmful. The analysis is based on empirical data gathered in Cairo, Egypt, among members of the Sudanese population who have either sold or arranged for the sale of kidneys. The data suggest that prohibition has pushed the organ trade further underground increasing the role of organ brokers and reducing the bargaining position of organ sellers, leaving them exposed to greater levels of exploitation.","author":[{"dropping-particle":"","family":"Columb","given":"Seán","non-dropping-particle":"","parse-names":false,"suffix":""}],"container-title":"British Journal of Criminology","id":"ITEM-5","issue":"6","issued":{"date-parts":[["2017"]]},"page":"1301-1321","title":"Excavating the organ trade: An empirical study of organ trading networks in Cairo, Egypt","type":"article-journal","volume":"57"},"uris":["http://www.mendeley.com/documents/?uuid=4ca119ee-b484-43ab-b6e6-a9a15346b818"]},{"id":"ITEM-6","itemData":{"DOI":"10.1001/jama.288.13.1589","ISSN":"00987484","PMID":"12350189","abstract":"Context: Many countries have a shortage of kidneys available for transplantation. Paying people to donate kidneys is often proposed or justified as a way to benefit recipients by increasing the supply of organs and to benefit donors by improving their economic status. However, whether individuals who sell their kidneys actually benefit from the sale is controversial. Objective: To determine the economic and health effects of selling a kidney. Design, Setting, and Participants: Cross-sectional survey conducted in February 2001 among 305 individuals who had sold a kidney in Chennai, India, an average of 6 years before the survey. Main Outcome Measures: Reasons for selling kidney, amount received from sale, how money was spent, change in economic status, change in health status, advice for others contemplating selling a kidney. Results: Ninety-six percent of participants sold their kidneys to pay off debts. The average amount received was $1070. Most of the money received was spent on debts, food, and clothing. Average family income declined by one third after nephrectomy (P&lt;.001), and the number of participants living below the poverty line increased. Three fourths of participants were still in debt at the time of the survey. About 86% of participants reported a deterioration in their health status after nephrectomy. Seventy-nine percent would not recommend that others sell a kidney. Conclusions: Among paid donors in India, selling a kidney does not lead to a long-term economic benefit and may be associated with a decline in health. Physicians and policy makers should reexamine the value of using financial incentives to increase the supply of organs for transplantation.","author":[{"dropping-particle":"","family":"Goyal","given":"Madhav","non-dropping-particle":"","parse-names":false,"suffix":""},{"dropping-particle":"","family":"Mehta","given":"Ravindra L.","non-dropping-particle":"","parse-names":false,"suffix":""},{"dropping-particle":"","family":"Schneiderman","given":"Lawrence J.","non-dropping-particle":"","parse-names":false,"suffix":""},{"dropping-particle":"","family":"Sehgal","given":"Ashwini R.","non-dropping-particle":"","parse-names":false,"suffix":""}],"container-title":"Journal of the American Medical Association","id":"ITEM-6","issue":"13","issued":{"date-parts":[["2002"]]},"page":"1589-1593","title":"Economic and health consequences of selling a kidney in India","type":"article-journal","volume":"288"},"uris":["http://www.mendeley.com/documents/?uuid=55a8c9f8-01c6-4754-b8ef-f847d9530ddb"]}],"mendeley":{"formattedCitation":"(144–147,159,160)","plainTextFormattedCitation":"(144–147,159,160)","previouslyFormattedCitation":"(144–147,159,160)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(144–147,159,160)</w:t>
      </w:r>
      <w:r w:rsidRPr="006720E4">
        <w:rPr>
          <w:rFonts w:ascii="Calibri" w:hAnsi="Calibri" w:cs="Calibri"/>
          <w:sz w:val="22"/>
          <w:szCs w:val="22"/>
        </w:rPr>
        <w:fldChar w:fldCharType="end"/>
      </w:r>
      <w:r w:rsidRPr="006720E4">
        <w:rPr>
          <w:rFonts w:ascii="Calibri" w:hAnsi="Calibri" w:cs="Calibri"/>
          <w:sz w:val="22"/>
          <w:szCs w:val="22"/>
        </w:rPr>
        <w:t xml:space="preserve"> </w:t>
      </w:r>
    </w:p>
    <w:p w14:paraId="3A20B2FE"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many circumstances, involvement in these activities may constitute trafficking in human beings, which involves movement of people across jurisdictional borders for the purpose of exploitation using coercion or deception. In Australia there are criminal offences associated with trafficking </w:t>
      </w:r>
      <w:r w:rsidRPr="006720E4">
        <w:rPr>
          <w:rFonts w:ascii="Calibri" w:hAnsi="Calibri" w:cs="Calibri"/>
          <w:sz w:val="22"/>
          <w:szCs w:val="22"/>
        </w:rPr>
        <w:lastRenderedPageBreak/>
        <w:t>people for the purpose of them acting as a living donor (see Criminal Code Act 1995 (</w:t>
      </w:r>
      <w:proofErr w:type="spellStart"/>
      <w:r w:rsidRPr="006720E4">
        <w:rPr>
          <w:rFonts w:ascii="Calibri" w:hAnsi="Calibri" w:cs="Calibri"/>
          <w:sz w:val="22"/>
          <w:szCs w:val="22"/>
        </w:rPr>
        <w:t>Cth</w:t>
      </w:r>
      <w:proofErr w:type="spellEnd"/>
      <w:r w:rsidRPr="006720E4">
        <w:rPr>
          <w:rFonts w:ascii="Calibri" w:hAnsi="Calibri" w:cs="Calibri"/>
          <w:sz w:val="22"/>
          <w:szCs w:val="22"/>
        </w:rPr>
        <w:t xml:space="preserve">), chapter 8, Div 271, </w:t>
      </w:r>
      <w:proofErr w:type="spellStart"/>
      <w:r w:rsidRPr="006720E4">
        <w:rPr>
          <w:rFonts w:ascii="Calibri" w:hAnsi="Calibri" w:cs="Calibri"/>
          <w:sz w:val="22"/>
          <w:szCs w:val="22"/>
        </w:rPr>
        <w:t>Subdiv</w:t>
      </w:r>
      <w:proofErr w:type="spellEnd"/>
      <w:r w:rsidRPr="006720E4">
        <w:rPr>
          <w:rFonts w:ascii="Calibri" w:hAnsi="Calibri" w:cs="Calibri"/>
          <w:sz w:val="22"/>
          <w:szCs w:val="22"/>
        </w:rPr>
        <w:t xml:space="preserve"> BA). These offences are applicable for situations of trafficking within Australia, as well as when trafficking involves the removal of someone from Australia or bringing someone into Australia.</w:t>
      </w:r>
    </w:p>
    <w:p w14:paraId="137F8A73" w14:textId="2AC464A3" w:rsidR="006C6EBA" w:rsidRPr="006720E4" w:rsidRDefault="006C6EBA" w:rsidP="00EA22AE">
      <w:pPr>
        <w:pStyle w:val="Heading4"/>
        <w:spacing w:after="120"/>
      </w:pPr>
      <w:bookmarkStart w:id="4599" w:name="_Prevention_of_organ"/>
      <w:bookmarkStart w:id="4600" w:name="_Toc73301814"/>
      <w:bookmarkStart w:id="4601" w:name="_Toc73302320"/>
      <w:bookmarkStart w:id="4602" w:name="_Toc73303453"/>
      <w:bookmarkStart w:id="4603" w:name="_Toc74081598"/>
      <w:bookmarkStart w:id="4604" w:name="_Toc74172375"/>
      <w:bookmarkStart w:id="4605" w:name="_Toc74172911"/>
      <w:bookmarkStart w:id="4606" w:name="_Toc82773723"/>
      <w:bookmarkStart w:id="4607" w:name="_Toc82774076"/>
      <w:bookmarkEnd w:id="4599"/>
      <w:r w:rsidRPr="006720E4">
        <w:t>Prevention of organ trafficking from living donors within Australia</w:t>
      </w:r>
      <w:bookmarkEnd w:id="4600"/>
      <w:bookmarkEnd w:id="4601"/>
      <w:bookmarkEnd w:id="4602"/>
      <w:bookmarkEnd w:id="4603"/>
      <w:bookmarkEnd w:id="4604"/>
      <w:bookmarkEnd w:id="4605"/>
      <w:bookmarkEnd w:id="4606"/>
      <w:bookmarkEnd w:id="4607"/>
    </w:p>
    <w:p w14:paraId="1EEF1EE4" w14:textId="69E4E333" w:rsidR="006C6EBA" w:rsidRPr="006720E4" w:rsidRDefault="006C6EBA" w:rsidP="00EA22AE">
      <w:pPr>
        <w:pStyle w:val="Bullet"/>
        <w:numPr>
          <w:ilvl w:val="0"/>
          <w:numId w:val="0"/>
        </w:numPr>
        <w:spacing w:after="120"/>
        <w:ind w:left="2"/>
        <w:contextualSpacing w:val="0"/>
        <w:rPr>
          <w:rFonts w:cs="Calibri"/>
          <w:szCs w:val="22"/>
        </w:rPr>
      </w:pPr>
      <w:r w:rsidRPr="006720E4">
        <w:rPr>
          <w:rFonts w:cs="Calibri"/>
          <w:szCs w:val="22"/>
        </w:rPr>
        <w:t xml:space="preserve">The prevention of organ trafficking within Australia is a key priority. It is also important to prevent, where possible, Australian involvement in trafficking activities </w:t>
      </w:r>
      <w:r w:rsidRPr="00CB38A6">
        <w:rPr>
          <w:rFonts w:cs="Calibri"/>
          <w:szCs w:val="22"/>
        </w:rPr>
        <w:t xml:space="preserve">overseas (see </w:t>
      </w:r>
      <w:hyperlink w:anchor="_Australians_traveling_overseas" w:history="1">
        <w:r w:rsidRPr="00CB38A6">
          <w:rPr>
            <w:rStyle w:val="Hyperlink"/>
            <w:rFonts w:cs="Calibri"/>
            <w:szCs w:val="22"/>
          </w:rPr>
          <w:t xml:space="preserve">Chapter </w:t>
        </w:r>
        <w:r w:rsidR="00CB38A6" w:rsidRPr="00CB38A6">
          <w:rPr>
            <w:rStyle w:val="Hyperlink"/>
            <w:rFonts w:cs="Calibri"/>
            <w:szCs w:val="22"/>
          </w:rPr>
          <w:t>9</w:t>
        </w:r>
        <w:r w:rsidRPr="00CB38A6">
          <w:rPr>
            <w:rStyle w:val="Hyperlink"/>
            <w:rFonts w:cs="Calibri"/>
            <w:szCs w:val="22"/>
          </w:rPr>
          <w:t>.4.2</w:t>
        </w:r>
      </w:hyperlink>
      <w:r w:rsidRPr="00CB38A6">
        <w:rPr>
          <w:rFonts w:cs="Calibri"/>
          <w:szCs w:val="22"/>
        </w:rPr>
        <w:t>), and to</w:t>
      </w:r>
      <w:r w:rsidRPr="006720E4">
        <w:rPr>
          <w:rFonts w:cs="Calibri"/>
          <w:szCs w:val="22"/>
        </w:rPr>
        <w:t xml:space="preserve"> support other countries in their efforts to address trafficking. A number of potential strategies for prevention of organ trafficking within Australia are outlined in </w:t>
      </w:r>
      <w:r w:rsidRPr="00CB38A6">
        <w:rPr>
          <w:rFonts w:cs="Calibri"/>
          <w:b/>
          <w:bCs/>
          <w:szCs w:val="22"/>
        </w:rPr>
        <w:t>Box 10.2</w:t>
      </w:r>
      <w:r w:rsidRPr="006720E4">
        <w:rPr>
          <w:rFonts w:cs="Calibri"/>
          <w:szCs w:val="22"/>
        </w:rPr>
        <w:t xml:space="preserve">. Transplant professionals may require training to implement these and other potential strategies effectively. </w:t>
      </w:r>
      <w:bookmarkStart w:id="4608" w:name="_Detecting_individuals_at"/>
      <w:bookmarkEnd w:id="4608"/>
    </w:p>
    <w:p w14:paraId="5680E4BF" w14:textId="77777777" w:rsidR="006C6EBA" w:rsidRPr="006720E4" w:rsidRDefault="006C6EBA" w:rsidP="00EA22AE">
      <w:pPr>
        <w:pStyle w:val="Bullet"/>
        <w:numPr>
          <w:ilvl w:val="0"/>
          <w:numId w:val="0"/>
        </w:numPr>
        <w:spacing w:after="120"/>
        <w:ind w:left="2"/>
        <w:contextualSpacing w:val="0"/>
        <w:rPr>
          <w:rFonts w:cs="Calibri"/>
          <w:szCs w:val="22"/>
        </w:rPr>
      </w:pPr>
    </w:p>
    <w:tbl>
      <w:tblPr>
        <w:tblStyle w:val="TableGrid"/>
        <w:tblW w:w="0" w:type="auto"/>
        <w:tblLook w:val="04A0" w:firstRow="1" w:lastRow="0" w:firstColumn="1" w:lastColumn="0" w:noHBand="0" w:noVBand="1"/>
      </w:tblPr>
      <w:tblGrid>
        <w:gridCol w:w="9010"/>
      </w:tblGrid>
      <w:tr w:rsidR="006C6EBA" w:rsidRPr="006720E4" w14:paraId="53275EC6" w14:textId="77777777">
        <w:tc>
          <w:tcPr>
            <w:tcW w:w="9010" w:type="dxa"/>
            <w:shd w:val="clear" w:color="auto" w:fill="D0CECE" w:themeFill="background2" w:themeFillShade="E6"/>
          </w:tcPr>
          <w:p w14:paraId="29D45E03" w14:textId="0AD5DF9E" w:rsidR="006C6EBA" w:rsidRPr="006720E4" w:rsidRDefault="006C6EBA" w:rsidP="00EA22AE">
            <w:pPr>
              <w:spacing w:after="120"/>
              <w:rPr>
                <w:rFonts w:ascii="Calibri" w:hAnsi="Calibri" w:cs="Calibri"/>
                <w:b/>
                <w:bCs/>
                <w:sz w:val="22"/>
                <w:szCs w:val="22"/>
              </w:rPr>
            </w:pPr>
            <w:r w:rsidRPr="006720E4">
              <w:rPr>
                <w:rFonts w:ascii="Calibri" w:hAnsi="Calibri" w:cs="Calibri"/>
                <w:b/>
                <w:bCs/>
                <w:sz w:val="22"/>
                <w:szCs w:val="22"/>
              </w:rPr>
              <w:t>Box 10.2 – Potential strategies to address organ trafficking within Australia</w:t>
            </w:r>
          </w:p>
        </w:tc>
      </w:tr>
      <w:tr w:rsidR="006C6EBA" w:rsidRPr="006720E4" w14:paraId="23D14ADD" w14:textId="77777777">
        <w:tc>
          <w:tcPr>
            <w:tcW w:w="9010" w:type="dxa"/>
            <w:shd w:val="clear" w:color="auto" w:fill="E7E6E6" w:themeFill="background2"/>
          </w:tcPr>
          <w:p w14:paraId="286BA8EC" w14:textId="49F054E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Careful evaluation of prospective living donors and recipients helps to identify and prevent cases of living donor organ trafficking. This requires:</w:t>
            </w:r>
          </w:p>
          <w:p w14:paraId="453C3B27" w14:textId="2C5F7D0C" w:rsidR="006C6EBA" w:rsidRPr="006720E4" w:rsidRDefault="006C6EBA" w:rsidP="00C3783C">
            <w:pPr>
              <w:pStyle w:val="ListParagraph"/>
              <w:numPr>
                <w:ilvl w:val="0"/>
                <w:numId w:val="34"/>
              </w:numPr>
              <w:spacing w:after="120"/>
              <w:contextualSpacing w:val="0"/>
              <w:rPr>
                <w:rFonts w:cs="Calibri"/>
                <w:szCs w:val="22"/>
              </w:rPr>
            </w:pPr>
            <w:r w:rsidRPr="006720E4">
              <w:rPr>
                <w:rFonts w:cs="Calibri"/>
                <w:b/>
                <w:bCs/>
                <w:szCs w:val="22"/>
              </w:rPr>
              <w:t xml:space="preserve">Routine and standardised psychosocial evaluation of all prospective living donors </w:t>
            </w:r>
            <w:r w:rsidRPr="006720E4">
              <w:rPr>
                <w:rFonts w:cs="Calibri"/>
                <w:szCs w:val="22"/>
              </w:rPr>
              <w:t xml:space="preserve">(see </w:t>
            </w:r>
            <w:r w:rsidR="00CB38A6" w:rsidRPr="00CB38A6">
              <w:rPr>
                <w:rStyle w:val="Hyperlink"/>
              </w:rPr>
              <w:t>Chapter 6</w:t>
            </w:r>
            <w:r w:rsidRPr="00CB38A6">
              <w:rPr>
                <w:rStyle w:val="Hyperlink"/>
                <w:rFonts w:cs="Calibri"/>
                <w:szCs w:val="22"/>
              </w:rPr>
              <w:t>.</w:t>
            </w:r>
            <w:r w:rsidRPr="00CB38A6">
              <w:rPr>
                <w:rStyle w:val="Hyperlink"/>
                <w:rFonts w:cs="Calibri"/>
              </w:rPr>
              <w:t>1.3</w:t>
            </w:r>
            <w:r w:rsidRPr="00CB38A6">
              <w:rPr>
                <w:rFonts w:cs="Calibri"/>
                <w:szCs w:val="22"/>
              </w:rPr>
              <w:t>)</w:t>
            </w:r>
          </w:p>
          <w:p w14:paraId="32B623B5" w14:textId="23F573EA" w:rsidR="006C6EBA" w:rsidRPr="006720E4" w:rsidRDefault="006C6EBA" w:rsidP="00C3783C">
            <w:pPr>
              <w:pStyle w:val="ListParagraph"/>
              <w:numPr>
                <w:ilvl w:val="0"/>
                <w:numId w:val="34"/>
              </w:numPr>
              <w:spacing w:after="120"/>
              <w:contextualSpacing w:val="0"/>
              <w:rPr>
                <w:rFonts w:cs="Calibri"/>
                <w:b/>
                <w:bCs/>
                <w:i/>
                <w:iCs/>
                <w:szCs w:val="22"/>
              </w:rPr>
            </w:pPr>
            <w:r w:rsidRPr="006720E4">
              <w:rPr>
                <w:rFonts w:cs="Calibri"/>
                <w:b/>
                <w:bCs/>
                <w:szCs w:val="22"/>
              </w:rPr>
              <w:t>Attention to potential donor risk factors for organ trafficking such as</w:t>
            </w:r>
          </w:p>
          <w:p w14:paraId="108496BF" w14:textId="77777777" w:rsidR="006C6EBA" w:rsidRPr="006720E4" w:rsidRDefault="006C6EBA" w:rsidP="00C3783C">
            <w:pPr>
              <w:pStyle w:val="ListParagraph"/>
              <w:numPr>
                <w:ilvl w:val="1"/>
                <w:numId w:val="34"/>
              </w:numPr>
              <w:spacing w:after="120"/>
              <w:contextualSpacing w:val="0"/>
              <w:rPr>
                <w:rFonts w:cs="Calibri"/>
                <w:b/>
                <w:bCs/>
                <w:szCs w:val="22"/>
              </w:rPr>
            </w:pPr>
            <w:r w:rsidRPr="006720E4">
              <w:rPr>
                <w:rFonts w:cs="Calibri"/>
                <w:szCs w:val="22"/>
              </w:rPr>
              <w:t xml:space="preserve">Financial vulnerability, including precarious employment, debts </w:t>
            </w:r>
          </w:p>
          <w:p w14:paraId="4997D582" w14:textId="77777777" w:rsidR="006C6EBA" w:rsidRPr="006720E4" w:rsidRDefault="006C6EBA" w:rsidP="00C3783C">
            <w:pPr>
              <w:pStyle w:val="ListParagraph"/>
              <w:numPr>
                <w:ilvl w:val="1"/>
                <w:numId w:val="34"/>
              </w:numPr>
              <w:spacing w:after="120"/>
              <w:contextualSpacing w:val="0"/>
              <w:rPr>
                <w:rFonts w:cs="Calibri"/>
                <w:szCs w:val="22"/>
              </w:rPr>
            </w:pPr>
            <w:r w:rsidRPr="006720E4">
              <w:rPr>
                <w:rFonts w:cs="Calibri"/>
                <w:szCs w:val="22"/>
              </w:rPr>
              <w:t>Power differentials between prospective donors and recipients (and families), e.g., employee-employer relationship, significant differences in economic status</w:t>
            </w:r>
          </w:p>
          <w:p w14:paraId="60E6B7F0" w14:textId="77777777" w:rsidR="006C6EBA" w:rsidRPr="006720E4" w:rsidRDefault="006C6EBA" w:rsidP="00C3783C">
            <w:pPr>
              <w:pStyle w:val="ListParagraph"/>
              <w:numPr>
                <w:ilvl w:val="1"/>
                <w:numId w:val="34"/>
              </w:numPr>
              <w:spacing w:after="120"/>
              <w:contextualSpacing w:val="0"/>
              <w:rPr>
                <w:rFonts w:cs="Calibri"/>
                <w:szCs w:val="22"/>
              </w:rPr>
            </w:pPr>
            <w:r w:rsidRPr="006720E4">
              <w:rPr>
                <w:rFonts w:cs="Calibri"/>
                <w:szCs w:val="22"/>
              </w:rPr>
              <w:t>Lack of evidence of interpersonal relationship between donor and recipient, or unclear motivation for donation</w:t>
            </w:r>
          </w:p>
          <w:p w14:paraId="0E2B589E" w14:textId="77777777" w:rsidR="006C6EBA" w:rsidRPr="006720E4" w:rsidRDefault="006C6EBA" w:rsidP="00C3783C">
            <w:pPr>
              <w:pStyle w:val="ListParagraph"/>
              <w:numPr>
                <w:ilvl w:val="1"/>
                <w:numId w:val="34"/>
              </w:numPr>
              <w:spacing w:after="120"/>
              <w:contextualSpacing w:val="0"/>
              <w:rPr>
                <w:rFonts w:cs="Calibri"/>
                <w:szCs w:val="22"/>
              </w:rPr>
            </w:pPr>
            <w:r w:rsidRPr="006720E4">
              <w:rPr>
                <w:rFonts w:cs="Calibri"/>
                <w:szCs w:val="22"/>
              </w:rPr>
              <w:t>Presence of apparent substantive cultural, linguistic or social differences between donors and recipients</w:t>
            </w:r>
          </w:p>
          <w:p w14:paraId="2FF3647D" w14:textId="114956A7" w:rsidR="006C6EBA" w:rsidRPr="006720E4" w:rsidRDefault="006C6EBA" w:rsidP="00C3783C">
            <w:pPr>
              <w:pStyle w:val="ListParagraph"/>
              <w:numPr>
                <w:ilvl w:val="1"/>
                <w:numId w:val="34"/>
              </w:numPr>
              <w:spacing w:after="120"/>
              <w:contextualSpacing w:val="0"/>
              <w:rPr>
                <w:rFonts w:cs="Calibri"/>
                <w:szCs w:val="22"/>
              </w:rPr>
            </w:pPr>
            <w:r w:rsidRPr="006720E4">
              <w:rPr>
                <w:rFonts w:cs="Calibri"/>
                <w:szCs w:val="22"/>
              </w:rPr>
              <w:t>Indicators of potential human trafficking.</w:t>
            </w:r>
            <w:r w:rsidRPr="006720E4">
              <w:rPr>
                <w:rFonts w:cs="Calibri"/>
                <w:szCs w:val="22"/>
              </w:rPr>
              <w:fldChar w:fldCharType="begin" w:fldLock="1"/>
            </w:r>
            <w:r w:rsidR="00EB088B">
              <w:rPr>
                <w:rFonts w:cs="Calibri"/>
                <w:szCs w:val="22"/>
              </w:rPr>
              <w:instrText>ADDIN CSL_CITATION {"citationItems":[{"id":"ITEM-1","itemData":{"URL":"https://www.afp.gov.au/what-we-do/crime-types/human-trafficking","accessed":{"date-parts":[["2021","7","26"]]},"author":[{"dropping-particle":"","family":"Australian Federal Police","given":"","non-dropping-particle":"","parse-names":false,"suffix":""}],"id":"ITEM-1","issued":{"date-parts":[["2021"]]},"title":"Human trafficking","type":"webpage"},"uris":["http://www.mendeley.com/documents/?uuid=d5f3be2e-747a-40b3-8d84-6c21199cfe74"]}],"mendeley":{"formattedCitation":"(161)","plainTextFormattedCitation":"(161)","previouslyFormattedCitation":"(161)"},"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(161)</w:t>
            </w:r>
            <w:r w:rsidRPr="006720E4">
              <w:rPr>
                <w:rFonts w:cs="Calibri"/>
                <w:szCs w:val="22"/>
              </w:rPr>
              <w:fldChar w:fldCharType="end"/>
            </w:r>
            <w:r w:rsidRPr="006720E4">
              <w:rPr>
                <w:rFonts w:cs="Calibri"/>
                <w:szCs w:val="22"/>
              </w:rPr>
              <w:t xml:space="preserve"> </w:t>
            </w:r>
          </w:p>
          <w:p w14:paraId="2762E701" w14:textId="77777777" w:rsidR="006C6EBA" w:rsidRPr="006720E4" w:rsidRDefault="006C6EBA" w:rsidP="00C3783C">
            <w:pPr>
              <w:pStyle w:val="ListParagraph"/>
              <w:numPr>
                <w:ilvl w:val="0"/>
                <w:numId w:val="34"/>
              </w:numPr>
              <w:spacing w:after="120"/>
              <w:contextualSpacing w:val="0"/>
              <w:rPr>
                <w:rFonts w:cs="Calibri"/>
                <w:szCs w:val="22"/>
              </w:rPr>
            </w:pPr>
            <w:r w:rsidRPr="006720E4">
              <w:rPr>
                <w:rFonts w:cs="Calibri"/>
                <w:b/>
                <w:bCs/>
                <w:szCs w:val="22"/>
              </w:rPr>
              <w:t>Use of appropriately trained staff</w:t>
            </w:r>
            <w:r w:rsidRPr="006720E4">
              <w:rPr>
                <w:rFonts w:cs="Calibri"/>
                <w:szCs w:val="22"/>
              </w:rPr>
              <w:t>. Multidisciplinary teams should include:</w:t>
            </w:r>
          </w:p>
          <w:p w14:paraId="1844D1CE" w14:textId="77777777" w:rsidR="006C6EBA" w:rsidRPr="006720E4" w:rsidRDefault="006C6EBA" w:rsidP="00C3783C">
            <w:pPr>
              <w:pStyle w:val="ListParagraph"/>
              <w:numPr>
                <w:ilvl w:val="1"/>
                <w:numId w:val="34"/>
              </w:numPr>
              <w:spacing w:after="120"/>
              <w:contextualSpacing w:val="0"/>
              <w:rPr>
                <w:rFonts w:cs="Calibri"/>
                <w:szCs w:val="22"/>
              </w:rPr>
            </w:pPr>
            <w:r w:rsidRPr="006720E4">
              <w:rPr>
                <w:rFonts w:cs="Calibri"/>
                <w:szCs w:val="22"/>
              </w:rPr>
              <w:t>Routine use of interpreters when there is one or more parties for whom English is not a first language;</w:t>
            </w:r>
          </w:p>
          <w:p w14:paraId="23318768" w14:textId="77777777" w:rsidR="006C6EBA" w:rsidRPr="006720E4" w:rsidRDefault="006C6EBA" w:rsidP="00C3783C">
            <w:pPr>
              <w:pStyle w:val="ListParagraph"/>
              <w:numPr>
                <w:ilvl w:val="1"/>
                <w:numId w:val="34"/>
              </w:numPr>
              <w:spacing w:after="120"/>
              <w:contextualSpacing w:val="0"/>
              <w:rPr>
                <w:rFonts w:cs="Calibri"/>
                <w:szCs w:val="22"/>
              </w:rPr>
            </w:pPr>
            <w:r w:rsidRPr="006720E4">
              <w:rPr>
                <w:rFonts w:cs="Calibri"/>
                <w:szCs w:val="22"/>
              </w:rPr>
              <w:t>Social workers and psychologists;</w:t>
            </w:r>
          </w:p>
          <w:p w14:paraId="3E2463C5" w14:textId="77777777" w:rsidR="006C6EBA" w:rsidRPr="006720E4" w:rsidRDefault="006C6EBA" w:rsidP="00C3783C">
            <w:pPr>
              <w:pStyle w:val="ListParagraph"/>
              <w:numPr>
                <w:ilvl w:val="1"/>
                <w:numId w:val="34"/>
              </w:numPr>
              <w:spacing w:after="120"/>
              <w:contextualSpacing w:val="0"/>
              <w:rPr>
                <w:rFonts w:cs="Calibri"/>
                <w:szCs w:val="22"/>
              </w:rPr>
            </w:pPr>
            <w:r w:rsidRPr="006720E4">
              <w:rPr>
                <w:rFonts w:cs="Calibri"/>
                <w:szCs w:val="22"/>
              </w:rPr>
              <w:t>Staff with relevant cultural or linguistic knowledge to enable culturally safe and informed assessment of relationships between prospective living donors and transplant recipients that may present differently as a result of cultural norms</w:t>
            </w:r>
          </w:p>
          <w:p w14:paraId="15143EE2" w14:textId="1A6C9D9E" w:rsidR="006C6EBA" w:rsidRPr="006720E4" w:rsidRDefault="006C6EBA" w:rsidP="00C3783C">
            <w:pPr>
              <w:pStyle w:val="ListParagraph"/>
              <w:numPr>
                <w:ilvl w:val="0"/>
                <w:numId w:val="34"/>
              </w:numPr>
              <w:spacing w:after="120"/>
              <w:contextualSpacing w:val="0"/>
              <w:rPr>
                <w:rFonts w:cs="Calibri"/>
                <w:szCs w:val="22"/>
              </w:rPr>
            </w:pPr>
            <w:r w:rsidRPr="006720E4">
              <w:rPr>
                <w:rFonts w:cs="Calibri"/>
                <w:b/>
                <w:bCs/>
                <w:szCs w:val="22"/>
              </w:rPr>
              <w:t xml:space="preserve">Time </w:t>
            </w:r>
            <w:r w:rsidRPr="006720E4">
              <w:rPr>
                <w:rFonts w:cs="Calibri"/>
                <w:szCs w:val="22"/>
              </w:rPr>
              <w:t>as necessary to ensure quality of screening, support for decision-making and provision of support to prospective donors who may wish to withdraw consent.</w:t>
            </w:r>
          </w:p>
          <w:p w14:paraId="44BD0E10" w14:textId="550A43B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a confirmed or suspected case of organ trafficking is identified within Australia this should be referred to relevant authorities for investigation, noting that support services are available for  victims of human trafficking in Australia.</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{"citationItems":[{"id":"ITEM-1","itemData":{"author":[{"dropping-particle":"","family":"Australian Government","given":"","non-dropping-particle":"","parse-names":false,"suffix":""}],"id":"ITEM-1","issued":{"date-parts":[["0"]]},"title":"Organ trafficking: Information for medical professionals","type":"report"},"uris":["http://www.mendeley.com/documents/?uuid=9ede0bbc-4021-4ac5-83cc-def63e6e330f"]}],"mendeley":{"formattedCitation":"(162)","plainTextFormattedCitation":"(162)","previouslyFormattedCitation":"(162)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(162)</w:t>
            </w:r>
            <w:r w:rsidRPr="006720E4">
              <w:rPr>
                <w:rFonts w:ascii="Calibri" w:hAnsi="Calibri" w:cs="Calibri"/>
                <w:sz w:val="22"/>
                <w:szCs w:val="22"/>
              </w:rPr>
              <w:fldChar w:fldCharType="end"/>
            </w:r>
            <w:r w:rsidRPr="006720E4">
              <w:rPr>
                <w:rFonts w:ascii="Calibri" w:hAnsi="Calibri" w:cs="Calibri"/>
                <w:sz w:val="22"/>
                <w:szCs w:val="22"/>
              </w:rPr>
              <w:t xml:space="preserve"> Ethical considerations with regards to reporting of transplant-related crimes are </w:t>
            </w:r>
            <w:r w:rsidRPr="00CB38A6">
              <w:rPr>
                <w:rFonts w:ascii="Calibri" w:hAnsi="Calibri" w:cs="Calibri"/>
                <w:sz w:val="22"/>
                <w:szCs w:val="22"/>
              </w:rPr>
              <w:t xml:space="preserve">discussed in </w:t>
            </w:r>
            <w:hyperlink w:anchor="_Reporting_transplant-related_crimes_1" w:history="1">
              <w:r w:rsidRPr="00CB38A6">
                <w:rPr>
                  <w:rStyle w:val="Hyperlink"/>
                  <w:rFonts w:ascii="Calibri" w:hAnsi="Calibri" w:cs="Calibri"/>
                  <w:sz w:val="22"/>
                  <w:szCs w:val="22"/>
                </w:rPr>
                <w:t xml:space="preserve">Chapter </w:t>
              </w:r>
              <w:r w:rsidR="00CB38A6" w:rsidRPr="00CB38A6">
                <w:rPr>
                  <w:rStyle w:val="Hyperlink"/>
                  <w:rFonts w:ascii="Calibri" w:hAnsi="Calibri" w:cs="Calibri"/>
                  <w:sz w:val="22"/>
                  <w:szCs w:val="22"/>
                </w:rPr>
                <w:t>10</w:t>
              </w:r>
              <w:r w:rsidRPr="00CB38A6">
                <w:rPr>
                  <w:rStyle w:val="Hyperlink"/>
                  <w:rFonts w:ascii="Calibri" w:hAnsi="Calibri" w:cs="Calibri"/>
                  <w:sz w:val="22"/>
                  <w:szCs w:val="22"/>
                </w:rPr>
                <w:t>.6.1.2</w:t>
              </w:r>
            </w:hyperlink>
            <w:r w:rsidRPr="00CB38A6">
              <w:rPr>
                <w:rFonts w:ascii="Calibri" w:hAnsi="Calibri" w:cs="Calibri"/>
                <w:sz w:val="22"/>
                <w:szCs w:val="22"/>
              </w:rPr>
              <w:t>.</w:t>
            </w:r>
          </w:p>
        </w:tc>
      </w:tr>
    </w:tbl>
    <w:p w14:paraId="2F31CBF7" w14:textId="77777777" w:rsidR="006C6EBA" w:rsidRPr="006720E4" w:rsidRDefault="006C6EBA" w:rsidP="00EA22AE">
      <w:pPr>
        <w:pStyle w:val="Heading4"/>
        <w:numPr>
          <w:ilvl w:val="0"/>
          <w:numId w:val="0"/>
        </w:numPr>
        <w:spacing w:after="120"/>
        <w:ind w:left="864"/>
        <w:rPr>
          <w:highlight w:val="yellow"/>
        </w:rPr>
      </w:pPr>
      <w:bookmarkStart w:id="4609" w:name="_Reporting_transplant-related_crimes"/>
      <w:bookmarkStart w:id="4610" w:name="_Toc70414954"/>
      <w:bookmarkStart w:id="4611" w:name="_Toc70844272"/>
      <w:bookmarkStart w:id="4612" w:name="_Toc70859023"/>
      <w:bookmarkStart w:id="4613" w:name="_Toc70861124"/>
      <w:bookmarkStart w:id="4614" w:name="_Toc70876609"/>
      <w:bookmarkStart w:id="4615" w:name="_Toc72615211"/>
      <w:bookmarkStart w:id="4616" w:name="_Toc73129940"/>
      <w:bookmarkStart w:id="4617" w:name="_Toc73301815"/>
      <w:bookmarkStart w:id="4618" w:name="_Toc73302321"/>
      <w:bookmarkStart w:id="4619" w:name="_Toc73303454"/>
      <w:bookmarkStart w:id="4620" w:name="_Toc73303668"/>
      <w:bookmarkStart w:id="4621" w:name="_Toc74080785"/>
      <w:bookmarkStart w:id="4622" w:name="_Toc74081093"/>
      <w:bookmarkStart w:id="4623" w:name="_Toc74081323"/>
      <w:bookmarkStart w:id="4624" w:name="_Toc74081599"/>
      <w:bookmarkStart w:id="4625" w:name="_Toc74171154"/>
      <w:bookmarkStart w:id="4626" w:name="_Toc74172376"/>
      <w:bookmarkStart w:id="4627" w:name="_Toc74172912"/>
      <w:bookmarkStart w:id="4628" w:name="_Toc74238828"/>
      <w:bookmarkStart w:id="4629" w:name="_Toc78304798"/>
      <w:bookmarkEnd w:id="4609"/>
    </w:p>
    <w:p w14:paraId="246A87BE" w14:textId="77777777" w:rsidR="006C6EBA" w:rsidRPr="006720E4" w:rsidRDefault="006C6EBA" w:rsidP="00EA22AE">
      <w:pPr>
        <w:pStyle w:val="Heading4"/>
        <w:spacing w:after="120"/>
      </w:pPr>
      <w:bookmarkStart w:id="4630" w:name="_Reporting_transplant-related_crimes_1"/>
      <w:bookmarkStart w:id="4631" w:name="_Toc82773724"/>
      <w:bookmarkStart w:id="4632" w:name="_Toc82774077"/>
      <w:bookmarkEnd w:id="4630"/>
      <w:r w:rsidRPr="006720E4">
        <w:t>Reporting transplant-related crimes</w:t>
      </w:r>
      <w:bookmarkEnd w:id="4631"/>
      <w:bookmarkEnd w:id="4632"/>
    </w:p>
    <w:p w14:paraId="25E642AA" w14:textId="7528EA1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Health professionals are legally required to disclose confidential information about patients in specific circumstances according to mandatory notification duties. These include circumstances where the health professional has reason to believe children may at risk of harm. In some jurisdictions medical practitioners may also have a mandatory duty to report patients who present with firearms injuries, and in others may be permitted to report such injuries with protection from liability for any breach of </w:t>
      </w:r>
      <w:r w:rsidRPr="00CB38A6">
        <w:rPr>
          <w:rFonts w:ascii="Calibri" w:hAnsi="Calibri" w:cs="Calibri"/>
          <w:sz w:val="22"/>
          <w:szCs w:val="22"/>
        </w:rPr>
        <w:t xml:space="preserve">privacy. As discussed in </w:t>
      </w:r>
      <w:hyperlink w:anchor="_General_considerations_in_1" w:history="1">
        <w:r w:rsidRPr="00CB38A6">
          <w:rPr>
            <w:rStyle w:val="Hyperlink"/>
            <w:rFonts w:ascii="Calibri" w:hAnsi="Calibri" w:cs="Calibri"/>
            <w:sz w:val="22"/>
            <w:szCs w:val="22"/>
          </w:rPr>
          <w:t xml:space="preserve">Chapter </w:t>
        </w:r>
        <w:r w:rsidR="00CB38A6" w:rsidRPr="00CB38A6">
          <w:rPr>
            <w:rStyle w:val="Hyperlink"/>
            <w:rFonts w:ascii="Calibri" w:hAnsi="Calibri" w:cs="Calibri"/>
            <w:sz w:val="22"/>
            <w:szCs w:val="22"/>
          </w:rPr>
          <w:t>7</w:t>
        </w:r>
        <w:r w:rsidRPr="00CB38A6">
          <w:rPr>
            <w:rStyle w:val="Hyperlink"/>
            <w:rFonts w:ascii="Calibri" w:hAnsi="Calibri" w:cs="Calibri"/>
            <w:sz w:val="22"/>
            <w:szCs w:val="22"/>
          </w:rPr>
          <w:t>.1</w:t>
        </w:r>
      </w:hyperlink>
      <w:r w:rsidRPr="00CB38A6">
        <w:rPr>
          <w:rFonts w:ascii="Calibri" w:hAnsi="Calibri" w:cs="Calibri"/>
          <w:sz w:val="22"/>
          <w:szCs w:val="22"/>
        </w:rPr>
        <w:t>, these types</w:t>
      </w:r>
      <w:r w:rsidRPr="006720E4">
        <w:rPr>
          <w:rFonts w:ascii="Calibri" w:hAnsi="Calibri" w:cs="Calibri"/>
          <w:sz w:val="22"/>
          <w:szCs w:val="22"/>
        </w:rPr>
        <w:t xml:space="preserve"> of legal exceptions to privacy and confidentiality duties are justified ethically on the grounds that disclosure of such information to relevant authorities is necessary to prevent significant harm to others. </w:t>
      </w:r>
    </w:p>
    <w:p w14:paraId="0D9847E8" w14:textId="0C9CA61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the case of organ trafficking, there is currently no requirement to disclose suspected or even established cases of trafficking or attempted trafficking. Health professionals may hesitate to report potential transplant-related crimes due to concerns about legal liability or due to the belief that that organ trafficking is not something which represents a significant harm to others. </w:t>
      </w:r>
    </w:p>
    <w:p w14:paraId="260B4216" w14:textId="709CAA6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However, there are several reasons to consider reporting of organ trafficking, especially when this occurs within Australia. These include the following:</w:t>
      </w:r>
    </w:p>
    <w:p w14:paraId="18F2FF51" w14:textId="77777777" w:rsidR="006C6EBA" w:rsidRPr="006720E4" w:rsidRDefault="006C6EBA" w:rsidP="00C3783C">
      <w:pPr>
        <w:pStyle w:val="ListParagraph"/>
        <w:numPr>
          <w:ilvl w:val="0"/>
          <w:numId w:val="57"/>
        </w:numPr>
        <w:spacing w:after="120"/>
        <w:contextualSpacing w:val="0"/>
        <w:rPr>
          <w:rFonts w:cs="Calibri"/>
          <w:szCs w:val="22"/>
        </w:rPr>
      </w:pPr>
      <w:r w:rsidRPr="006720E4">
        <w:rPr>
          <w:rFonts w:cs="Calibri"/>
          <w:szCs w:val="22"/>
        </w:rPr>
        <w:t>reporting may be necessary to ensure that sufficient protections are provided to individuals who may be victims of human trafficking and at risk of further significant harm;</w:t>
      </w:r>
    </w:p>
    <w:p w14:paraId="3D39782E" w14:textId="77777777" w:rsidR="006C6EBA" w:rsidRPr="006720E4" w:rsidRDefault="006C6EBA" w:rsidP="00C3783C">
      <w:pPr>
        <w:pStyle w:val="ListParagraph"/>
        <w:numPr>
          <w:ilvl w:val="0"/>
          <w:numId w:val="57"/>
        </w:numPr>
        <w:spacing w:after="120"/>
        <w:contextualSpacing w:val="0"/>
        <w:rPr>
          <w:rFonts w:cs="Calibri"/>
          <w:szCs w:val="22"/>
        </w:rPr>
      </w:pPr>
      <w:r w:rsidRPr="006720E4">
        <w:rPr>
          <w:rFonts w:cs="Calibri"/>
          <w:szCs w:val="22"/>
        </w:rPr>
        <w:t>reporting may lead to identification of individuals who may be operating as organ “brokers” and facilitating domestic or international trafficking rings, and hence may result in prevention of further trafficking activities;</w:t>
      </w:r>
    </w:p>
    <w:p w14:paraId="60C44790" w14:textId="77777777" w:rsidR="006C6EBA" w:rsidRPr="006720E4" w:rsidRDefault="006C6EBA" w:rsidP="00C3783C">
      <w:pPr>
        <w:pStyle w:val="ListParagraph"/>
        <w:numPr>
          <w:ilvl w:val="0"/>
          <w:numId w:val="57"/>
        </w:numPr>
        <w:spacing w:after="120"/>
        <w:contextualSpacing w:val="0"/>
        <w:rPr>
          <w:rFonts w:cs="Calibri"/>
          <w:szCs w:val="22"/>
        </w:rPr>
      </w:pPr>
      <w:r w:rsidRPr="006720E4">
        <w:rPr>
          <w:rFonts w:cs="Calibri"/>
          <w:szCs w:val="22"/>
        </w:rPr>
        <w:t>failure to report may lead individuals who have attempted trafficking within Australia to seek care at other transplant centres where donation and transplantation may proceed without recognition of trafficking activities.</w:t>
      </w:r>
    </w:p>
    <w:p w14:paraId="64FA4AC2" w14:textId="219991F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addition to the harm that may be prevented by reporting, reporting also serves to protect the integrity of Australia’s donation and transplant programs. Given that organ trafficking - when successful in leading to transplantation – necessarily involves health professionals and organi</w:t>
      </w:r>
      <w:r w:rsidR="00B40543">
        <w:rPr>
          <w:rFonts w:ascii="Calibri" w:hAnsi="Calibri" w:cs="Calibri"/>
          <w:sz w:val="22"/>
          <w:szCs w:val="22"/>
        </w:rPr>
        <w:t>s</w:t>
      </w:r>
      <w:r w:rsidRPr="006720E4">
        <w:rPr>
          <w:rFonts w:ascii="Calibri" w:hAnsi="Calibri" w:cs="Calibri"/>
          <w:sz w:val="22"/>
          <w:szCs w:val="22"/>
        </w:rPr>
        <w:t>ations, if trafficking activities are later revealed to have taken place within Australia, this can undermine public confidence and raise suspicions regarding the possible involvement or tolerance of trafficking by donation and transplantation programs. The Australian Government notably encourages medical professionals to report cases where they are “</w:t>
      </w:r>
      <w:r w:rsidRPr="006720E4">
        <w:rPr>
          <w:rStyle w:val="markedcontent"/>
          <w:rFonts w:ascii="Calibri" w:hAnsi="Calibri" w:cs="Calibri"/>
          <w:sz w:val="22"/>
          <w:szCs w:val="22"/>
        </w:rPr>
        <w:t>aware of, or suspect someone has been, or will be trafficked” to the Australian Federal Police.</w:t>
      </w:r>
      <w:r w:rsidRPr="006720E4">
        <w:rPr>
          <w:rStyle w:val="markedcontent"/>
          <w:rFonts w:ascii="Calibri" w:hAnsi="Calibri" w:cs="Calibri"/>
          <w:sz w:val="22"/>
          <w:szCs w:val="22"/>
        </w:rPr>
        <w:fldChar w:fldCharType="begin" w:fldLock="1"/>
      </w:r>
      <w:r w:rsidR="00EB088B">
        <w:rPr>
          <w:rStyle w:val="markedcontent"/>
          <w:rFonts w:ascii="Calibri" w:hAnsi="Calibri" w:cs="Calibri"/>
          <w:sz w:val="22"/>
          <w:szCs w:val="22"/>
        </w:rPr>
        <w:instrText>ADDIN CSL_CITATION {"citationItems":[{"id":"ITEM-1","itemData":{"author":[{"dropping-particle":"","family":"Australian Government","given":"","non-dropping-particle":"","parse-names":false,"suffix":""}],"id":"ITEM-1","issued":{"date-parts":[["0"]]},"title":"Organ trafficking: Information for medical professionals","type":"report"},"uris":["http://www.mendeley.com/documents/?uuid=9ede0bbc-4021-4ac5-83cc-def63e6e330f"]}],"mendeley":{"formattedCitation":"(162)","plainTextFormattedCitation":"(162)","previouslyFormattedCitation":"(162)"},"properties":{"noteIndex":0},"schema":"https://github.com/citation-style-language/schema/raw/master/csl-citation.json"}</w:instrText>
      </w:r>
      <w:r w:rsidRPr="006720E4">
        <w:rPr>
          <w:rStyle w:val="markedcontent"/>
          <w:rFonts w:ascii="Calibri" w:hAnsi="Calibri" w:cs="Calibri"/>
          <w:sz w:val="22"/>
          <w:szCs w:val="22"/>
        </w:rPr>
        <w:fldChar w:fldCharType="separate"/>
      </w:r>
      <w:r w:rsidR="00BA3D76" w:rsidRPr="00BA3D76">
        <w:rPr>
          <w:rStyle w:val="markedcontent"/>
          <w:rFonts w:ascii="Calibri" w:hAnsi="Calibri" w:cs="Calibri"/>
          <w:noProof/>
          <w:sz w:val="22"/>
          <w:szCs w:val="22"/>
        </w:rPr>
        <w:t>(162)</w:t>
      </w:r>
      <w:r w:rsidRPr="006720E4">
        <w:rPr>
          <w:rStyle w:val="markedcontent"/>
          <w:rFonts w:ascii="Calibri" w:hAnsi="Calibri" w:cs="Calibri"/>
          <w:sz w:val="22"/>
          <w:szCs w:val="22"/>
        </w:rPr>
        <w:fldChar w:fldCharType="end"/>
      </w:r>
    </w:p>
    <w:p w14:paraId="7112E072" w14:textId="77777777" w:rsidR="006C6EBA" w:rsidRPr="006720E4" w:rsidRDefault="006C6EBA" w:rsidP="00EA22AE">
      <w:pPr>
        <w:pStyle w:val="Heading3"/>
        <w:spacing w:after="120"/>
      </w:pPr>
      <w:bookmarkStart w:id="4633" w:name="_Trafficking_in_human"/>
      <w:bookmarkStart w:id="4634" w:name="_Toc79406488"/>
      <w:bookmarkStart w:id="4635" w:name="_Toc82773725"/>
      <w:bookmarkStart w:id="4636" w:name="_Toc82774078"/>
      <w:bookmarkEnd w:id="4633"/>
      <w:r w:rsidRPr="006720E4">
        <w:t>Trafficking in human tissues</w:t>
      </w:r>
      <w:bookmarkEnd w:id="4634"/>
      <w:bookmarkEnd w:id="4635"/>
      <w:bookmarkEnd w:id="4636"/>
    </w:p>
    <w:p w14:paraId="7C396BCC" w14:textId="2C9FB83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With regards to </w:t>
      </w:r>
      <w:r w:rsidRPr="006720E4">
        <w:rPr>
          <w:rFonts w:ascii="Calibri" w:hAnsi="Calibri" w:cs="Calibri"/>
          <w:bCs/>
          <w:sz w:val="22"/>
          <w:szCs w:val="22"/>
        </w:rPr>
        <w:t>tissue trafficking</w:t>
      </w:r>
      <w:r w:rsidRPr="006720E4">
        <w:rPr>
          <w:rFonts w:ascii="Calibri" w:hAnsi="Calibri" w:cs="Calibri"/>
          <w:sz w:val="22"/>
          <w:szCs w:val="22"/>
        </w:rPr>
        <w:t xml:space="preserve">, key strategies to prevent tissue trafficking include a restriction on imports of tissue products to those that are clearly traceable via systems that meet Australian standards for ethical practice and are compliant with the requirements of the Biologicals Framework </w:t>
      </w:r>
      <w:r w:rsidRPr="000E6063">
        <w:rPr>
          <w:rFonts w:ascii="Calibri" w:hAnsi="Calibri" w:cs="Calibri"/>
          <w:sz w:val="22"/>
          <w:szCs w:val="22"/>
        </w:rPr>
        <w:t xml:space="preserve">(see </w:t>
      </w:r>
      <w:hyperlink w:anchor="_Decision-making_for_living" w:history="1">
        <w:r w:rsidRPr="000E6063">
          <w:rPr>
            <w:rStyle w:val="Hyperlink"/>
            <w:rFonts w:ascii="Calibri" w:hAnsi="Calibri" w:cs="Calibri"/>
            <w:sz w:val="22"/>
            <w:szCs w:val="22"/>
          </w:rPr>
          <w:t xml:space="preserve">Chapter </w:t>
        </w:r>
        <w:r w:rsidR="000E6063" w:rsidRPr="000E6063">
          <w:rPr>
            <w:rStyle w:val="Hyperlink"/>
            <w:rFonts w:ascii="Calibri" w:hAnsi="Calibri" w:cs="Calibri"/>
            <w:sz w:val="22"/>
            <w:szCs w:val="22"/>
          </w:rPr>
          <w:t>3</w:t>
        </w:r>
        <w:r w:rsidRPr="000E6063">
          <w:rPr>
            <w:rStyle w:val="Hyperlink"/>
            <w:rFonts w:ascii="Calibri" w:hAnsi="Calibri" w:cs="Calibri"/>
            <w:sz w:val="22"/>
            <w:szCs w:val="22"/>
          </w:rPr>
          <w:t>.</w:t>
        </w:r>
        <w:r w:rsidR="000E6063" w:rsidRPr="000E6063">
          <w:rPr>
            <w:rStyle w:val="Hyperlink"/>
            <w:rFonts w:ascii="Calibri" w:hAnsi="Calibri" w:cs="Calibri"/>
            <w:sz w:val="22"/>
            <w:szCs w:val="22"/>
          </w:rPr>
          <w:t>5</w:t>
        </w:r>
        <w:r w:rsidRPr="000E6063">
          <w:rPr>
            <w:rStyle w:val="Hyperlink"/>
            <w:rFonts w:ascii="Calibri" w:hAnsi="Calibri" w:cs="Calibri"/>
            <w:sz w:val="22"/>
            <w:szCs w:val="22"/>
          </w:rPr>
          <w:t>.2</w:t>
        </w:r>
      </w:hyperlink>
      <w:r w:rsidRPr="000E6063">
        <w:rPr>
          <w:rFonts w:ascii="Calibri" w:hAnsi="Calibri" w:cs="Calibri"/>
          <w:sz w:val="22"/>
          <w:szCs w:val="22"/>
        </w:rPr>
        <w:t>). Scrupulous</w:t>
      </w:r>
      <w:r w:rsidRPr="006720E4">
        <w:rPr>
          <w:rFonts w:ascii="Calibri" w:hAnsi="Calibri" w:cs="Calibri"/>
          <w:sz w:val="22"/>
          <w:szCs w:val="22"/>
        </w:rPr>
        <w:t xml:space="preserve"> governance of deceased donation programs and the tissue banking sector, including transparent reporting of </w:t>
      </w:r>
      <w:r w:rsidRPr="005525CE">
        <w:rPr>
          <w:rFonts w:ascii="Calibri" w:hAnsi="Calibri" w:cs="Calibri"/>
          <w:sz w:val="22"/>
          <w:szCs w:val="22"/>
        </w:rPr>
        <w:t>activities (see</w:t>
      </w:r>
      <w:hyperlink w:anchor="_Data_collection_and_1" w:history="1">
        <w:r w:rsidRPr="005525CE">
          <w:rPr>
            <w:rStyle w:val="Hyperlink"/>
            <w:rFonts w:ascii="Calibri" w:hAnsi="Calibri" w:cs="Calibri"/>
            <w:sz w:val="22"/>
            <w:szCs w:val="22"/>
          </w:rPr>
          <w:t xml:space="preserve"> </w:t>
        </w:r>
        <w:r w:rsidR="00EA22AE" w:rsidRPr="005525CE">
          <w:rPr>
            <w:rStyle w:val="Hyperlink"/>
            <w:rFonts w:ascii="Calibri" w:hAnsi="Calibri" w:cs="Calibri"/>
            <w:sz w:val="22"/>
            <w:szCs w:val="22"/>
          </w:rPr>
          <w:t>Chapter 7.4</w:t>
        </w:r>
      </w:hyperlink>
      <w:r w:rsidRPr="005525CE">
        <w:rPr>
          <w:rFonts w:ascii="Calibri" w:hAnsi="Calibri" w:cs="Calibri"/>
          <w:sz w:val="22"/>
          <w:szCs w:val="22"/>
        </w:rPr>
        <w:t>), also helps</w:t>
      </w:r>
      <w:r w:rsidRPr="006720E4">
        <w:rPr>
          <w:rFonts w:ascii="Calibri" w:hAnsi="Calibri" w:cs="Calibri"/>
          <w:sz w:val="22"/>
          <w:szCs w:val="22"/>
        </w:rPr>
        <w:t xml:space="preserve"> to prevent illicit trade in organs and tissues. </w:t>
      </w:r>
    </w:p>
    <w:p w14:paraId="505FCCFE" w14:textId="77777777" w:rsidR="006C6EBA" w:rsidRPr="006720E4" w:rsidRDefault="006C6EBA" w:rsidP="00EA22AE">
      <w:pPr>
        <w:spacing w:after="120"/>
        <w:rPr>
          <w:rFonts w:ascii="Calibri" w:hAnsi="Calibri" w:cs="Calibri"/>
        </w:rPr>
      </w:pPr>
    </w:p>
    <w:p w14:paraId="77D2E541" w14:textId="77777777" w:rsidR="00CB38A6" w:rsidRDefault="00CB38A6" w:rsidP="00EA22AE">
      <w:pPr>
        <w:spacing w:after="120"/>
        <w:rPr>
          <w:rFonts w:ascii="Calibri" w:hAnsi="Calibri" w:cs="Calibri"/>
          <w:b/>
          <w:bCs/>
          <w:color w:val="4472C4" w:themeColor="accent1"/>
          <w:sz w:val="32"/>
          <w:szCs w:val="32"/>
          <w:u w:val="single"/>
        </w:rPr>
      </w:pPr>
      <w:bookmarkStart w:id="4637" w:name="_Donation_and_transplantation"/>
      <w:bookmarkStart w:id="4638" w:name="_Ethical_issues_in"/>
      <w:bookmarkStart w:id="4639" w:name="_Toc70328780"/>
      <w:bookmarkStart w:id="4640" w:name="_Toc70334010"/>
      <w:bookmarkStart w:id="4641" w:name="_Toc70414976"/>
      <w:bookmarkStart w:id="4642" w:name="_Toc70844301"/>
      <w:bookmarkStart w:id="4643" w:name="_Toc70859031"/>
      <w:bookmarkStart w:id="4644" w:name="_Toc70861132"/>
      <w:bookmarkStart w:id="4645" w:name="_Toc70876617"/>
      <w:bookmarkStart w:id="4646" w:name="_Toc72615244"/>
      <w:bookmarkStart w:id="4647" w:name="_Toc73129968"/>
      <w:bookmarkStart w:id="4648" w:name="_Toc73301841"/>
      <w:bookmarkStart w:id="4649" w:name="_Toc73302347"/>
      <w:bookmarkStart w:id="4650" w:name="_Toc73303480"/>
      <w:bookmarkStart w:id="4651" w:name="_Toc73303689"/>
      <w:bookmarkStart w:id="4652" w:name="_Toc74080806"/>
      <w:bookmarkStart w:id="4653" w:name="_Toc74081114"/>
      <w:bookmarkStart w:id="4654" w:name="_Toc74081344"/>
      <w:bookmarkStart w:id="4655" w:name="_Toc74081625"/>
      <w:bookmarkStart w:id="4656" w:name="_Toc74171175"/>
      <w:bookmarkStart w:id="4657" w:name="_Toc74172402"/>
      <w:bookmarkStart w:id="4658" w:name="_Toc74172936"/>
      <w:bookmarkStart w:id="4659" w:name="_Toc74238849"/>
      <w:bookmarkStart w:id="4660" w:name="_Toc78304806"/>
      <w:bookmarkStart w:id="4661" w:name="_Toc79330906"/>
      <w:bookmarkStart w:id="4662" w:name="_Toc79331286"/>
      <w:bookmarkStart w:id="4663" w:name="_Toc79406489"/>
      <w:bookmarkStart w:id="4664" w:name="_Toc82773726"/>
      <w:bookmarkStart w:id="4665" w:name="_Toc82774079"/>
      <w:bookmarkStart w:id="4666" w:name="_Toc12831423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7"/>
      <w:bookmarkEnd w:id="4638"/>
      <w:r>
        <w:br w:type="page"/>
      </w:r>
    </w:p>
    <w:p w14:paraId="4FDF5558" w14:textId="34ECB46F" w:rsidR="006C6EBA" w:rsidRPr="006720E4" w:rsidRDefault="006C6EBA" w:rsidP="00EA22AE">
      <w:pPr>
        <w:pStyle w:val="Heading1"/>
      </w:pPr>
      <w:bookmarkStart w:id="4667" w:name="_Toc135131484"/>
      <w:r w:rsidRPr="006720E4">
        <w:lastRenderedPageBreak/>
        <w:t>Ethical issues in deceased donation</w:t>
      </w:r>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r w:rsidRPr="006720E4">
        <w:t xml:space="preserve"> of organs and tissues</w:t>
      </w:r>
      <w:bookmarkEnd w:id="4661"/>
      <w:bookmarkEnd w:id="4662"/>
      <w:bookmarkEnd w:id="4663"/>
      <w:bookmarkEnd w:id="4664"/>
      <w:bookmarkEnd w:id="4665"/>
      <w:bookmarkEnd w:id="4666"/>
      <w:bookmarkEnd w:id="4667"/>
    </w:p>
    <w:p w14:paraId="45D9F419" w14:textId="55FB40BA" w:rsidR="006C6EBA" w:rsidRPr="006720E4" w:rsidRDefault="006C6EBA" w:rsidP="00EA22AE">
      <w:pPr>
        <w:spacing w:after="120"/>
        <w:rPr>
          <w:rFonts w:ascii="Calibri" w:hAnsi="Calibri" w:cs="Calibri"/>
          <w:b/>
          <w:bCs/>
          <w:sz w:val="22"/>
          <w:szCs w:val="22"/>
        </w:rPr>
      </w:pPr>
      <w:r w:rsidRPr="006720E4">
        <w:rPr>
          <w:rFonts w:ascii="Calibri" w:hAnsi="Calibri" w:cs="Calibri"/>
          <w:sz w:val="22"/>
          <w:szCs w:val="22"/>
        </w:rPr>
        <w:t>While every effort should be made to support deceased donation of organs and tissues where possible, ethical issues may arise where the goals of donation may conflict to some extent with other goals or ethical and professional obligations on the part of health professionals. Individuals’ values and preferences should be of paramount importance in end-of-life decision-making, including, where relevant, their potential preference to become a deceased donor if possible. However health professionals must balance their duty to respect the autonomy of patients with other ethical, legal and professional duties.</w:t>
      </w:r>
    </w:p>
    <w:p w14:paraId="03623525" w14:textId="7499364B" w:rsidR="00BC449E" w:rsidRDefault="006C6EBA" w:rsidP="00EA22AE">
      <w:pPr>
        <w:spacing w:after="120"/>
        <w:rPr>
          <w:rFonts w:ascii="Calibri" w:hAnsi="Calibri" w:cs="Calibri"/>
          <w:sz w:val="22"/>
          <w:szCs w:val="22"/>
        </w:rPr>
      </w:pPr>
      <w:r w:rsidRPr="006720E4">
        <w:rPr>
          <w:rFonts w:ascii="Calibri" w:hAnsi="Calibri" w:cs="Calibri"/>
          <w:sz w:val="22"/>
          <w:szCs w:val="22"/>
        </w:rPr>
        <w:t xml:space="preserve">In this chapter a number of specific ethical issues are briefly explored that are relevant to donation and transplantation of organs and tissues from deceased donors. </w:t>
      </w:r>
      <w:r w:rsidR="00BC449E">
        <w:rPr>
          <w:rFonts w:ascii="Calibri" w:hAnsi="Calibri" w:cs="Calibri"/>
          <w:sz w:val="22"/>
          <w:szCs w:val="22"/>
        </w:rPr>
        <w:t>These relate to:</w:t>
      </w:r>
    </w:p>
    <w:p w14:paraId="002370F2" w14:textId="7F1ACC41" w:rsidR="00BC449E" w:rsidRDefault="00BC449E" w:rsidP="00C3783C">
      <w:pPr>
        <w:pStyle w:val="ListParagraph"/>
        <w:numPr>
          <w:ilvl w:val="0"/>
          <w:numId w:val="137"/>
        </w:numPr>
        <w:spacing w:after="120"/>
        <w:contextualSpacing w:val="0"/>
        <w:rPr>
          <w:rFonts w:cs="Calibri"/>
          <w:szCs w:val="22"/>
        </w:rPr>
      </w:pPr>
      <w:r>
        <w:rPr>
          <w:rFonts w:cs="Calibri"/>
          <w:szCs w:val="22"/>
        </w:rPr>
        <w:t>The ‘dead donor rule’ (</w:t>
      </w:r>
      <w:hyperlink r:id="rId125" w:anchor="_Understanding_the_" w:history="1">
        <w:r w:rsidRPr="006720E4">
          <w:rPr>
            <w:rStyle w:val="Hyperlink"/>
            <w:rFonts w:cs="Calibri"/>
            <w:szCs w:val="22"/>
          </w:rPr>
          <w:t>Chapter 11.1</w:t>
        </w:r>
      </w:hyperlink>
      <w:r>
        <w:rPr>
          <w:rFonts w:cs="Calibri"/>
          <w:szCs w:val="22"/>
        </w:rPr>
        <w:t>)</w:t>
      </w:r>
    </w:p>
    <w:p w14:paraId="0C45312E" w14:textId="2BF5E028" w:rsidR="00BC449E" w:rsidRDefault="00BC449E" w:rsidP="00C3783C">
      <w:pPr>
        <w:pStyle w:val="ListParagraph"/>
        <w:numPr>
          <w:ilvl w:val="0"/>
          <w:numId w:val="137"/>
        </w:numPr>
        <w:spacing w:after="120"/>
        <w:contextualSpacing w:val="0"/>
        <w:rPr>
          <w:rFonts w:cs="Calibri"/>
          <w:szCs w:val="22"/>
        </w:rPr>
      </w:pPr>
      <w:r>
        <w:rPr>
          <w:rFonts w:cs="Calibri"/>
          <w:szCs w:val="22"/>
        </w:rPr>
        <w:t>The determination of death (</w:t>
      </w:r>
      <w:hyperlink w:anchor="_Ethical_considerations_in_1" w:history="1">
        <w:r w:rsidRPr="00BC449E">
          <w:rPr>
            <w:rStyle w:val="Hyperlink"/>
            <w:rFonts w:cs="Calibri"/>
            <w:szCs w:val="22"/>
          </w:rPr>
          <w:t>Chapter 11.2</w:t>
        </w:r>
      </w:hyperlink>
      <w:r>
        <w:rPr>
          <w:rFonts w:cs="Calibri"/>
          <w:szCs w:val="22"/>
        </w:rPr>
        <w:t>)</w:t>
      </w:r>
    </w:p>
    <w:p w14:paraId="6CDF27C5" w14:textId="4A28014D" w:rsidR="00BC449E" w:rsidRDefault="00BC449E" w:rsidP="00C3783C">
      <w:pPr>
        <w:pStyle w:val="ListParagraph"/>
        <w:numPr>
          <w:ilvl w:val="0"/>
          <w:numId w:val="137"/>
        </w:numPr>
        <w:spacing w:after="120"/>
        <w:contextualSpacing w:val="0"/>
        <w:rPr>
          <w:rFonts w:cs="Calibri"/>
          <w:szCs w:val="22"/>
        </w:rPr>
      </w:pPr>
      <w:r>
        <w:rPr>
          <w:rFonts w:cs="Calibri"/>
          <w:szCs w:val="22"/>
        </w:rPr>
        <w:t>Potential conflicts of interest in end-of-life care (</w:t>
      </w:r>
      <w:hyperlink w:anchor="_Management_of_potential" w:history="1">
        <w:r w:rsidRPr="00BC449E">
          <w:rPr>
            <w:rStyle w:val="Hyperlink"/>
            <w:rFonts w:cs="Calibri"/>
            <w:szCs w:val="22"/>
          </w:rPr>
          <w:t>Chapter 11.3</w:t>
        </w:r>
      </w:hyperlink>
      <w:r>
        <w:rPr>
          <w:rFonts w:cs="Calibri"/>
          <w:szCs w:val="22"/>
        </w:rPr>
        <w:t>)</w:t>
      </w:r>
    </w:p>
    <w:p w14:paraId="5C5D4EC0" w14:textId="3C0C985A" w:rsidR="00BC449E" w:rsidRDefault="00BC449E" w:rsidP="00C3783C">
      <w:pPr>
        <w:pStyle w:val="ListParagraph"/>
        <w:numPr>
          <w:ilvl w:val="0"/>
          <w:numId w:val="137"/>
        </w:numPr>
        <w:spacing w:after="120"/>
        <w:contextualSpacing w:val="0"/>
        <w:rPr>
          <w:rFonts w:cs="Calibri"/>
          <w:szCs w:val="22"/>
        </w:rPr>
      </w:pPr>
      <w:r>
        <w:rPr>
          <w:rFonts w:cs="Calibri"/>
          <w:szCs w:val="22"/>
        </w:rPr>
        <w:t>Pre-mortem interventions for deceased donation (</w:t>
      </w:r>
      <w:hyperlink w:anchor="_Pre-mortem_interventions_for_1" w:history="1">
        <w:r w:rsidRPr="00BC449E">
          <w:rPr>
            <w:rStyle w:val="Hyperlink"/>
            <w:rFonts w:cs="Calibri"/>
            <w:szCs w:val="22"/>
          </w:rPr>
          <w:t>Chapter 11.4</w:t>
        </w:r>
      </w:hyperlink>
      <w:r>
        <w:rPr>
          <w:rFonts w:cs="Calibri"/>
          <w:szCs w:val="22"/>
        </w:rPr>
        <w:t>)</w:t>
      </w:r>
    </w:p>
    <w:p w14:paraId="7CAE0C3D" w14:textId="44416153" w:rsidR="00BC449E" w:rsidRDefault="00BC449E" w:rsidP="00C3783C">
      <w:pPr>
        <w:pStyle w:val="ListParagraph"/>
        <w:numPr>
          <w:ilvl w:val="0"/>
          <w:numId w:val="137"/>
        </w:numPr>
        <w:spacing w:after="120"/>
        <w:contextualSpacing w:val="0"/>
        <w:rPr>
          <w:rFonts w:cs="Calibri"/>
          <w:szCs w:val="22"/>
        </w:rPr>
      </w:pPr>
      <w:r>
        <w:rPr>
          <w:rFonts w:cs="Calibri"/>
          <w:szCs w:val="22"/>
        </w:rPr>
        <w:t>Routine consideration of opportunities for deceased donation (</w:t>
      </w:r>
      <w:hyperlink w:anchor="_Deceased_donation_" w:history="1">
        <w:r w:rsidRPr="006720E4">
          <w:rPr>
            <w:rStyle w:val="Hyperlink"/>
            <w:rFonts w:cs="Calibri"/>
            <w:szCs w:val="22"/>
          </w:rPr>
          <w:t>Chapter 11.5</w:t>
        </w:r>
      </w:hyperlink>
      <w:r>
        <w:rPr>
          <w:rFonts w:cs="Calibri"/>
          <w:szCs w:val="22"/>
        </w:rPr>
        <w:t>)</w:t>
      </w:r>
    </w:p>
    <w:p w14:paraId="136FBF36" w14:textId="62FAF418" w:rsidR="00BC449E" w:rsidRDefault="00BC449E" w:rsidP="00C3783C">
      <w:pPr>
        <w:pStyle w:val="ListParagraph"/>
        <w:numPr>
          <w:ilvl w:val="0"/>
          <w:numId w:val="137"/>
        </w:numPr>
        <w:spacing w:after="120"/>
        <w:contextualSpacing w:val="0"/>
        <w:rPr>
          <w:rFonts w:cs="Calibri"/>
          <w:szCs w:val="22"/>
        </w:rPr>
      </w:pPr>
      <w:r>
        <w:rPr>
          <w:rFonts w:cs="Calibri"/>
          <w:szCs w:val="22"/>
        </w:rPr>
        <w:t>Donation by individuals who choose to cease life sustaining treatment (</w:t>
      </w:r>
      <w:hyperlink w:anchor="_Deceased_donation_by" w:history="1">
        <w:r w:rsidRPr="006720E4">
          <w:rPr>
            <w:rStyle w:val="Hyperlink"/>
            <w:rFonts w:cs="Calibri"/>
            <w:szCs w:val="22"/>
          </w:rPr>
          <w:t>Chapter 11.6</w:t>
        </w:r>
      </w:hyperlink>
      <w:r>
        <w:rPr>
          <w:rFonts w:cs="Calibri"/>
          <w:szCs w:val="22"/>
        </w:rPr>
        <w:t>)</w:t>
      </w:r>
    </w:p>
    <w:p w14:paraId="498DAEBF" w14:textId="190AACC3" w:rsidR="00BC449E" w:rsidRDefault="00BC449E" w:rsidP="00C3783C">
      <w:pPr>
        <w:pStyle w:val="ListParagraph"/>
        <w:numPr>
          <w:ilvl w:val="0"/>
          <w:numId w:val="137"/>
        </w:numPr>
        <w:spacing w:after="120"/>
        <w:contextualSpacing w:val="0"/>
        <w:rPr>
          <w:rFonts w:cs="Calibri"/>
          <w:szCs w:val="22"/>
        </w:rPr>
      </w:pPr>
      <w:r>
        <w:rPr>
          <w:rFonts w:cs="Calibri"/>
          <w:szCs w:val="22"/>
        </w:rPr>
        <w:t>Donation after voluntary assisted dying (</w:t>
      </w:r>
      <w:hyperlink w:anchor="_Donation_after_voluntary" w:history="1">
        <w:r w:rsidRPr="006720E4">
          <w:rPr>
            <w:rStyle w:val="Hyperlink"/>
            <w:rFonts w:cs="Calibri"/>
            <w:szCs w:val="22"/>
          </w:rPr>
          <w:t>Chapter 11.7</w:t>
        </w:r>
      </w:hyperlink>
      <w:r>
        <w:rPr>
          <w:rFonts w:cs="Calibri"/>
          <w:szCs w:val="22"/>
        </w:rPr>
        <w:t>)</w:t>
      </w:r>
    </w:p>
    <w:p w14:paraId="5B2721B2" w14:textId="1F0BE9B9" w:rsidR="00BC449E" w:rsidRPr="00BC449E" w:rsidRDefault="00BC449E" w:rsidP="00C3783C">
      <w:pPr>
        <w:pStyle w:val="ListParagraph"/>
        <w:numPr>
          <w:ilvl w:val="0"/>
          <w:numId w:val="137"/>
        </w:numPr>
        <w:spacing w:after="120"/>
        <w:contextualSpacing w:val="0"/>
        <w:rPr>
          <w:rFonts w:cs="Calibri"/>
          <w:szCs w:val="22"/>
        </w:rPr>
      </w:pPr>
      <w:r>
        <w:rPr>
          <w:rFonts w:cs="Calibri"/>
          <w:szCs w:val="22"/>
        </w:rPr>
        <w:t>Donation by infants with anencephaly (</w:t>
      </w:r>
      <w:hyperlink w:anchor="_Organ_and_tissue_1" w:history="1">
        <w:r w:rsidRPr="00BC449E">
          <w:rPr>
            <w:rStyle w:val="Hyperlink"/>
            <w:rFonts w:cs="Calibri"/>
            <w:szCs w:val="22"/>
          </w:rPr>
          <w:t>Chapter 11.8</w:t>
        </w:r>
      </w:hyperlink>
      <w:r>
        <w:rPr>
          <w:rFonts w:cs="Calibri"/>
          <w:szCs w:val="22"/>
        </w:rPr>
        <w:t>)</w:t>
      </w:r>
    </w:p>
    <w:p w14:paraId="557648D5" w14:textId="770FD407" w:rsidR="006C6EBA" w:rsidRPr="006720E4" w:rsidRDefault="00F94371" w:rsidP="00EA22AE">
      <w:pPr>
        <w:spacing w:after="120"/>
        <w:rPr>
          <w:rFonts w:ascii="Calibri" w:hAnsi="Calibri" w:cs="Calibri"/>
          <w:sz w:val="22"/>
          <w:szCs w:val="22"/>
        </w:rPr>
      </w:pPr>
      <w:r w:rsidRPr="006720E4">
        <w:rPr>
          <w:rFonts w:ascii="Calibri" w:hAnsi="Calibri" w:cs="Calibri"/>
          <w:sz w:val="22"/>
          <w:szCs w:val="22"/>
        </w:rPr>
        <w:t>Additional issues relating to deceased</w:t>
      </w:r>
      <w:r w:rsidR="00BC449E">
        <w:rPr>
          <w:rFonts w:ascii="Calibri" w:hAnsi="Calibri" w:cs="Calibri"/>
          <w:sz w:val="22"/>
          <w:szCs w:val="22"/>
        </w:rPr>
        <w:t xml:space="preserve"> donation</w:t>
      </w:r>
      <w:r w:rsidRPr="006720E4">
        <w:rPr>
          <w:rFonts w:ascii="Calibri" w:hAnsi="Calibri" w:cs="Calibri"/>
          <w:sz w:val="22"/>
          <w:szCs w:val="22"/>
        </w:rPr>
        <w:t xml:space="preserve"> are discussed in </w:t>
      </w:r>
      <w:hyperlink w:anchor="_Miscellaneous_issues_in_1" w:history="1">
        <w:r w:rsidRPr="00BC449E">
          <w:rPr>
            <w:rStyle w:val="Hyperlink"/>
            <w:rFonts w:ascii="Calibri" w:hAnsi="Calibri" w:cs="Calibri"/>
            <w:sz w:val="22"/>
            <w:szCs w:val="22"/>
          </w:rPr>
          <w:t>Chapter 12</w:t>
        </w:r>
      </w:hyperlink>
      <w:r w:rsidRPr="006720E4">
        <w:rPr>
          <w:rFonts w:ascii="Calibri" w:hAnsi="Calibri" w:cs="Calibri"/>
          <w:sz w:val="22"/>
          <w:szCs w:val="22"/>
        </w:rPr>
        <w:t xml:space="preserve">, including directed and conditional donation (see </w:t>
      </w:r>
      <w:hyperlink w:anchor="_Directed_deceased_donation_1" w:history="1">
        <w:r w:rsidRPr="00BC449E">
          <w:rPr>
            <w:rStyle w:val="Hyperlink"/>
            <w:rFonts w:ascii="Calibri" w:hAnsi="Calibri" w:cs="Calibri"/>
            <w:sz w:val="22"/>
            <w:szCs w:val="22"/>
          </w:rPr>
          <w:t>Chapter 12.3.3</w:t>
        </w:r>
      </w:hyperlink>
      <w:r w:rsidRPr="00BC449E">
        <w:rPr>
          <w:rFonts w:ascii="Calibri" w:hAnsi="Calibri" w:cs="Calibri"/>
          <w:sz w:val="22"/>
          <w:szCs w:val="22"/>
        </w:rPr>
        <w:t xml:space="preserve">). </w:t>
      </w:r>
      <w:r w:rsidR="006C6EBA" w:rsidRPr="00BC449E">
        <w:rPr>
          <w:rFonts w:ascii="Calibri" w:hAnsi="Calibri" w:cs="Calibri"/>
          <w:sz w:val="22"/>
          <w:szCs w:val="22"/>
        </w:rPr>
        <w:t>Further</w:t>
      </w:r>
      <w:r w:rsidR="006C6EBA" w:rsidRPr="006720E4">
        <w:rPr>
          <w:rFonts w:ascii="Calibri" w:hAnsi="Calibri" w:cs="Calibri"/>
          <w:sz w:val="22"/>
          <w:szCs w:val="22"/>
        </w:rPr>
        <w:t xml:space="preserve"> readings and resources of relevant to this chapter can be found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35D506D8" w14:textId="3EFEBAC1" w:rsidR="006C6EBA" w:rsidRPr="006720E4" w:rsidRDefault="006C6EBA" w:rsidP="00EA22AE">
      <w:pPr>
        <w:pStyle w:val="Heading2"/>
        <w:spacing w:after="120"/>
      </w:pPr>
      <w:bookmarkStart w:id="4668" w:name="_Understanding_the_“dead"/>
      <w:bookmarkStart w:id="4669" w:name="_Toc70414977"/>
      <w:bookmarkStart w:id="4670" w:name="_Toc70844302"/>
      <w:bookmarkStart w:id="4671" w:name="_Toc70859032"/>
      <w:bookmarkStart w:id="4672" w:name="_Toc70861133"/>
      <w:bookmarkStart w:id="4673" w:name="_Toc70876618"/>
      <w:bookmarkStart w:id="4674" w:name="_Toc72615245"/>
      <w:bookmarkStart w:id="4675" w:name="_Toc73129969"/>
      <w:bookmarkStart w:id="4676" w:name="_Toc73301842"/>
      <w:bookmarkStart w:id="4677" w:name="_Toc73302348"/>
      <w:bookmarkStart w:id="4678" w:name="_Toc73303481"/>
      <w:bookmarkStart w:id="4679" w:name="_Toc73303690"/>
      <w:bookmarkStart w:id="4680" w:name="_Toc74080807"/>
      <w:bookmarkStart w:id="4681" w:name="_Toc74081115"/>
      <w:bookmarkStart w:id="4682" w:name="_Toc74081345"/>
      <w:bookmarkStart w:id="4683" w:name="_Toc74081626"/>
      <w:bookmarkStart w:id="4684" w:name="_Toc74171176"/>
      <w:bookmarkStart w:id="4685" w:name="_Toc74172403"/>
      <w:bookmarkStart w:id="4686" w:name="_Toc74172937"/>
      <w:bookmarkStart w:id="4687" w:name="_Toc74238850"/>
      <w:bookmarkStart w:id="4688" w:name="_Toc78304807"/>
      <w:bookmarkStart w:id="4689" w:name="_Toc79330907"/>
      <w:bookmarkStart w:id="4690" w:name="_Toc79331287"/>
      <w:bookmarkStart w:id="4691" w:name="_Toc79406490"/>
      <w:bookmarkStart w:id="4692" w:name="_Toc82773727"/>
      <w:bookmarkStart w:id="4693" w:name="_Toc82774080"/>
      <w:bookmarkStart w:id="4694" w:name="_Toc128314240"/>
      <w:bookmarkStart w:id="4695" w:name="_Toc135131485"/>
      <w:bookmarkStart w:id="4696" w:name="_Toc70328781"/>
      <w:bookmarkStart w:id="4697" w:name="_Toc70334011"/>
      <w:bookmarkStart w:id="4698" w:name="_Toc63683514"/>
      <w:bookmarkStart w:id="4699" w:name="_Toc70241863"/>
      <w:bookmarkStart w:id="4700" w:name="_Toc70243498"/>
      <w:bookmarkStart w:id="4701" w:name="_Toc63683512"/>
      <w:bookmarkStart w:id="4702" w:name="_Toc70241861"/>
      <w:bookmarkStart w:id="4703" w:name="_Toc70243496"/>
      <w:bookmarkEnd w:id="4668"/>
      <w:r w:rsidRPr="006720E4">
        <w:t>Understanding the “dead donor rule”</w:t>
      </w:r>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p>
    <w:p w14:paraId="487462C9" w14:textId="4D4F489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One of the most important ethical norms in donation and transplantation is the requirement that organs or tissues should not be removed from a person for the purpose of transplantation if their removal is expected to result in the death of the donor. That is, donation should not cause the death of the donor; donation should only take place after the donor has died. </w:t>
      </w:r>
    </w:p>
    <w:p w14:paraId="33FE9C73" w14:textId="5411197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Often referred to as “the dead donor rule”,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{"citationItems":[{"id":"ITEM-1","itemData":{"DOI":"10.1007/s11019-012-9450-4","ISSN":"13867423","PMID":"23192569","abstract":"Canada has a marked shortfall between the supply and demand for kidneys for transplantation. Median wait times for deceased donor kidney transplantation vary from 5.8 years in British Columbia, 5.2 years in Manitoba and 4.5 years in Ontario to a little over 2 years in Quebec and Nova Scotia. Living donation provides a viable option for some, but not all people. Consequently, a small number of people travel abroad to undergo kidney transplantation by commercial means. The extent to which they are aware of the potential risks to their health and the health of the kidney vendors is unclear. Travel abroad to obtain a kidney commercially i.e. transplant tourism (TT), raises ethical issues which include the exploitation of the poor, uncertainty of donor informed consent to nephrectomy, poor clinical care and lack of follow up for the donor, commodification of the body and inequity of access to medical care for donors. Also, TT widens socioeconomic disparities in access to transplantation, differing from the Canadian system of universal coverage for healthcare. The Canadian transplant community has discussed how to respond to patients who plan to travel abroad for TT or return with a purchased kidney. Unease rests in the tension between the duty to care for legitimate Canadian residents and the unwillingness to enable TT. This paper discusses three anonymized cases and the Canadian responses to TT as recorded in academic literature and a formal statement by relevant professional bodies. © 2012 Springer Science+Business Media Dordrecht.","author":[{"dropping-particle":"","family":"Wright","given":"L.","non-dropping-particle":"","parse-names":false,"suffix":""},{"dropping-particle":"","family":"Zaltzman","given":"J. S.","non-dropping-particle":"","parse-names":false,"suffix":""},{"dropping-particle":"","family":"Gill","given":"J.","non-dropping-particle":"","parse-names":false,"suffix":""},{"dropping-particle":"","family":"Prasad","given":"G. V.R.","non-dropping-particle":"","parse-names":false,"suffix":""}],"container-title":"Medicine, Health Care and Philosophy","id":"ITEM-1","issue":"4","issued":{"date-parts":[["2013"]]},"page":"921-924","title":"Kidney transplant tourism: Cases from Canada","type":"article-journal","volume":"16"},"uris":["http://www.mendeley.com/documents/?uuid=4d445d90-04a2-4f21-a67e-7db4e847356d"]},{"id":"ITEM-2","itemData":{"DOI":"10.1097/TP.0000000000001963","ISBN":"0000000000","ISSN":"00411337","PMID":"29019810","abstract":"Eradicating transplant tourism depends on complex solutions that include efforts to progress towards self-sufficiency in transplantation. Meanwhile, professionals and authorities are faced with medical, legal, and ethical problems raised by patients who return home after receiving an organ transplant abroad, particularly when the organ has been obtained through illegitimate means. In 2016, the Declaration of Istanbul Custodian Group convened an international, multidisciplinary workshop in Madrid, Spain, to address these challenges and provide recommendations for the management of these patients, which are presented in this paper. The core recommendations are grounded in the belief that principles of transparency, traceability, and continuity of care applied to patients who receive an organ domestically should also apply to patients who receive an organ abroad. Governments and professionals are urged to ensure that, upon return, patients are promptly referred to a transplant center for evaluation and care, not cover the costs of transplants resulting from organ or human trafficking, register standardized information at official registries on patients who travel for transplantation, promote international exchange of data for traceability, and develop a framework for the notification of identified or suspected cases of transnational transplant-related crimes by health professionals to law enforcement agencies.","author":[{"dropping-particle":"","family":"Domínguez-Gil","given":"Beatriz","non-dropping-particle":"","parse-names":false,"suffix":""},{"dropping-particle":"","family":"Danovitch","given":"Gabriel","non-dropping-particle":"","parse-names":false,"suffix":""},{"dropping-particle":"","family":"Martin","given":"Dominique E.","non-dropping-particle":"","parse-names":false,"suffix":""},{"dropping-particle":"","family":"López-Fraga","given":"Marta","non-dropping-particle":"","parse-names":false,"suffix":""},{"dropping-particle":"","family":"Assche","given":"Kristof","non-dropping-particle":"Van","parse-names":false,"suffix":""},{"dropping-particle":"","family":"Morris","given":"Michele L.","non-dropping-particle":"","parse-names":false,"suffix":""},{"dropping-particle":"","family":"Lavee","given":"Jacob","non-dropping-particle":"","parse-names":false,"suffix":""},{"dropping-particle":"","family":"Erlich","given":"Gilad","non-dropping-particle":"","parse-names":false,"suffix":""},{"dropping-particle":"","family":"Fadhil","given":"Riadh","non-dropping-particle":"","parse-names":false,"suffix":""},{"dropping-particle":"","family":"Busic","given":"Mirela","non-dropping-particle":"","parse-names":false,"suffix":""},{"dropping-particle":"","family":"Rankin","given":"Glynn","non-dropping-particle":"","parse-names":false,"suffix":""},{"dropping-particle":"","family":"Al-Rukhaimi","given":"Mona","non-dropping-particle":"","parse-names":false,"suffix":""},{"dropping-particle":"","family":"O'Connell","given":"Philip","non-dropping-particle":"","parse-names":false,"suffix":""},{"dropping-particle":"","family":"Chin","given":"Jacqueline","non-dropping-particle":"","parse-names":false,"suffix":""},{"dropping-particle":"","family":"Norman","given":"Triona","non-dropping-particle":"","parse-names":false,"suffix":""},{"dropping-particle":"","family":"Massari","given":"Pablo","non-dropping-particle":"","parse-names":false,"suffix":""},{"dropping-particle":"","family":"Kamel","given":"Refaat","non-dropping-particle":"","parse-names":false,"suffix":""},{"dropping-particle":"","family":"Delmonico","given":"Francis L.","non-dropping-particle":"","parse-names":false,"suffix":""}],"container-title":"Transplantation","id":"ITEM-2","issue":"1","issued":{"date-parts":[["2018"]]},"page":"e2-e9","title":"Management of Patients Who Receive an Organ Transplant Abroad and Return Home for Follow-up Care: Recommendations from the Declaration of Istanbul Custodian Group","type":"article-journal","volume":"102"},"uris":["http://www.mendeley.com/documents/?uuid=de9f4ec1-7990-4005-9669-11eaae8bdcf5"]},{"id":"ITEM-3","itemData":{"DOI":"10.2215/CJN.02180508","ISSN":"15559041","PMID":"18922987","abstract":"Background and objectives: Transplant \"tourism\" typically refers to the practice of traveling outside the country of residence to obtain organ transplantation. This study describes the characteristics and outcomes of 33 kidney transplant recipients who traveled abroad for transplant and refumed to University of California Los Angeles (UCLA) follow up. Design, settings, participants, &amp; measurements: Posttransplantation outcomes were compared between tourists and a matched cohort of patients who underwent transplantation at UCLA (matched for age, race, transplant year, dialysis time, previous transplantation, and donor type). Median follow-up time was 487 d (range 68 to 3056). Results: Compared with all patients who underwent transplantation at UCLA, tourists included more Asians and had shorter dialysis times. Most patients traveled to their region of ethnicity with the majority undergoing transplantation in China (44%), Iran (16%), and the Philippines (13%). Living unrelated transplants were most common. Tourists presented to UCLA a median of 35 d after transplantation. Four patients required urgent hospitalization, three of whom lost their grafts. Seventeen (52%) patients had infections, with nine requiring hospitalization. One patient lost her graft and subsequently died from complications related to donor-contracted hepatitis B. One-year graft survival was 89% for tourists and 98% for the matched UCLA cohort (P = 0.75). The rate of acute rejection at 1 yr was 30% in tourists and 12% in the matched cohort. Conclusions: Tourists had a more complex posttransplantation course with a higher incidence of acute rejection and severe infectious complications. Copyright © 2008 by the American Society of Nephrology.","author":[{"dropping-particle":"","family":"Gill","given":"Jagbir","non-dropping-particle":"","parse-names":false,"suffix":""},{"dropping-particle":"","family":"Madhira","given":"Bhaskara R.","non-dropping-particle":"","parse-names":false,"suffix":""},{"dropping-particle":"","family":"Gjertson","given":"David","non-dropping-particle":"","parse-names":false,"suffix":""},{"dropping-particle":"","family":"Lipshutz","given":"Gerald","non-dropping-particle":"","parse-names":false,"suffix":""},{"dropping-particle":"","family":"Cecka","given":"J. Michael","non-dropping-particle":"","parse-names":false,"suffix":""},{"dropping-particle":"","family":"Pham","given":"Phuong Thu","non-dropping-particle":"","parse-names":false,"suffix":""},{"dropping-particle":"","family":"Wilkinson","given":"Alan","non-dropping-particle":"","parse-names":false,"suffix":""},{"dropping-particle":"","family":"Bunnapradist","given":"Suphamai","non-dropping-particle":"","parse-names":false,"suffix":""},{"dropping-particle":"","family":"Danovitch","given":"Gabriel M.","non-dropping-particle":"","parse-names":false,"suffix":""}],"container-title":"Clinical Journal of the American Society of Nephrology","id":"ITEM-3","issue":"6","issued":{"date-parts":[["2008"]]},"page":"1820-1828","title":"Transplant tourism in the United States: A single-center experience","type":"article-journal","volume":"3"},"uris":["http://www.mendeley.com/documents/?uuid=0751f950-219b-43bd-a414-8b29b9677940"]},{"id":"ITEM-4","itemData":{"DOI":"10.1080/14787210.2020.1851196","ISBN":"1190801906","ISSN":"17448336","PMID":"33186078","author":[{"dropping-particle":"","family":"Torres Soto","given":"Mariam","non-dropping-particle":"","parse-names":false,"suffix":""},{"dropping-particle":"","family":"Kotton","given":"Camille Nelson","non-dropping-particle":"","parse-names":false,"suffix":""}],"container-title":"Expert Review of Anti-Infective Therapy","id":"ITEM-4","issue":"6","issued":{"date-parts":[["2021"]]},"page":"671-673","publisher":"Current Infectious Disease Reports","title":"Infectious disease complications of transplant tourism","type":"article-journal","volume":"19"},"uris":["http://www.mendeley.com/documents/?uuid=6c4e9e59-e232-47d1-88a3-5a058fa6b444"]},{"id":"ITEM-5","itemData":{"DOI":"10.5694/mja2.50333","ISSN":"13265377","PMID":"31502265","author":[{"dropping-particle":"","family":"Smith","given":"Georgia","non-dropping-particle":"","parse-names":false,"suffix":""},{"dropping-particle":"","family":"Gujari","given":"Diba","non-dropping-particle":"","parse-names":false,"suffix":""},{"dropping-particle":"","family":"Russell","given":"Oscar","non-dropping-particle":"","parse-names":false,"suffix":""},{"dropping-particle":"","family":"Palmer","given":"Lyle","non-dropping-particle":"","parse-names":false,"suffix":""},{"dropping-particle":"","family":"Toews","given":"Maeghan","non-dropping-particle":"","parse-names":false,"suffix":""},{"dropping-particle":"","family":"Wong","given":"Germaine","non-dropping-particle":"","parse-names":false,"suffix":""},{"dropping-particle":"","family":"Lim","given":"Wai","non-dropping-particle":"","parse-names":false,"suffix":""},{"dropping-particle":"","family":"McDonald","given":"Stephen","non-dropping-particle":"","parse-names":false,"suffix":""},{"dropping-particle":"","family":"Clayton","given":"Phillip","non-dropping-particle":"","parse-names":false,"suffix":""},{"dropping-particle":"","family":"Martin","given":"Dominique","non-dropping-particle":"","parse-names":false,"suffix":""},{"dropping-particle":"","family":"Coates","given":"Patrick T.","non-dropping-particle":"","parse-names":false,"suffix":""}],"container-title":"Medical Journal of Australia","id":"ITEM-5","issue":"10","issued":{"date-parts":[["2019"]]},"page":"460","title":"International travel by Australians for overseas transplantation","type":"article-journal","volume":"211"},"uris":["http://www.mendeley.com/documents/?uuid=68f5126f-d43b-40cc-ae7e-205552fb8af1"]}],"mendeley":{"formattedCitation":"(143,148,149,163,164)","plainTextFormattedCitation":"(143,148,149,163,164)","previouslyFormattedCitation":"(143,148,149,163,164)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(143,148,149,163,164)</w:t>
      </w:r>
      <w:r w:rsidRPr="006720E4">
        <w:rPr>
          <w:rFonts w:ascii="Calibri" w:hAnsi="Calibri" w:cs="Calibri"/>
          <w:sz w:val="22"/>
          <w:szCs w:val="22"/>
        </w:rPr>
        <w:fldChar w:fldCharType="end"/>
      </w:r>
      <w:r w:rsidRPr="006720E4">
        <w:rPr>
          <w:rFonts w:ascii="Calibri" w:hAnsi="Calibri" w:cs="Calibri"/>
          <w:sz w:val="22"/>
          <w:szCs w:val="22"/>
        </w:rPr>
        <w:t xml:space="preserve"> this means that a person must be determined to be dead in accordance with the relevant clinical and legal standards (se</w:t>
      </w:r>
      <w:r w:rsidRPr="005525CE">
        <w:rPr>
          <w:rFonts w:ascii="Calibri" w:hAnsi="Calibri" w:cs="Calibri"/>
          <w:sz w:val="22"/>
          <w:szCs w:val="22"/>
        </w:rPr>
        <w:t xml:space="preserve">e </w:t>
      </w:r>
      <w:hyperlink w:anchor="_Determination_of_death_1" w:history="1">
        <w:r w:rsidRPr="005525CE">
          <w:rPr>
            <w:rStyle w:val="Hyperlink"/>
            <w:rFonts w:ascii="Calibri" w:hAnsi="Calibri" w:cs="Calibri"/>
            <w:sz w:val="22"/>
            <w:szCs w:val="22"/>
          </w:rPr>
          <w:t xml:space="preserve">Chapter </w:t>
        </w:r>
        <w:r w:rsidR="00BC449E" w:rsidRPr="005525CE">
          <w:rPr>
            <w:rStyle w:val="Hyperlink"/>
            <w:rFonts w:ascii="Calibri" w:hAnsi="Calibri" w:cs="Calibri"/>
            <w:sz w:val="22"/>
            <w:szCs w:val="22"/>
          </w:rPr>
          <w:t>3</w:t>
        </w:r>
        <w:r w:rsidRPr="005525CE">
          <w:rPr>
            <w:rStyle w:val="Hyperlink"/>
            <w:rFonts w:ascii="Calibri" w:hAnsi="Calibri" w:cs="Calibri"/>
            <w:sz w:val="22"/>
            <w:szCs w:val="22"/>
          </w:rPr>
          <w:t>.</w:t>
        </w:r>
        <w:r w:rsidR="005525CE" w:rsidRPr="005525CE">
          <w:rPr>
            <w:rStyle w:val="Hyperlink"/>
            <w:rFonts w:ascii="Calibri" w:hAnsi="Calibri" w:cs="Calibri"/>
            <w:sz w:val="22"/>
            <w:szCs w:val="22"/>
          </w:rPr>
          <w:t>5</w:t>
        </w:r>
        <w:r w:rsidRPr="005525CE">
          <w:rPr>
            <w:rStyle w:val="Hyperlink"/>
            <w:rFonts w:ascii="Calibri" w:hAnsi="Calibri" w:cs="Calibri"/>
            <w:sz w:val="22"/>
            <w:szCs w:val="22"/>
          </w:rPr>
          <w:t>.1.1</w:t>
        </w:r>
      </w:hyperlink>
      <w:r w:rsidRPr="005525CE">
        <w:rPr>
          <w:rFonts w:ascii="Calibri" w:hAnsi="Calibri" w:cs="Calibri"/>
          <w:sz w:val="22"/>
          <w:szCs w:val="22"/>
        </w:rPr>
        <w:t>), before vital organs</w:t>
      </w:r>
      <w:r w:rsidRPr="006720E4">
        <w:rPr>
          <w:rFonts w:ascii="Calibri" w:hAnsi="Calibri" w:cs="Calibri"/>
          <w:sz w:val="22"/>
          <w:szCs w:val="22"/>
        </w:rPr>
        <w:t xml:space="preserve"> such as the heart, the liver, both lungs or kidneys are removed. </w:t>
      </w:r>
    </w:p>
    <w:p w14:paraId="49C4C30A" w14:textId="1F7059C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Although tissues are frequently overlooked when the “dead donor rule” is discussed, there is an implicit expectation that tissues required for normal functioning, such as the corneas, muscles, bones and so on should also not be removed from a living person for transplantation, except when these are removed for therapeutic purposes or in the specific conditions under which living donation is ethically permissible.</w:t>
      </w:r>
    </w:p>
    <w:p w14:paraId="1C7B399E" w14:textId="6B5480F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dead donor rule also implies that decisions which may result in the death of a person should not be influenced by donation goals. That is, a person should not be permitted or supported to cease life sustaining interventions or to hasten their death – for example via voluntary </w:t>
      </w:r>
      <w:r w:rsidR="00ED1E3C">
        <w:rPr>
          <w:rFonts w:ascii="Calibri" w:hAnsi="Calibri" w:cs="Calibri"/>
          <w:sz w:val="22"/>
          <w:szCs w:val="22"/>
        </w:rPr>
        <w:t>assisted dying</w:t>
      </w:r>
      <w:r w:rsidR="00ED1E3C" w:rsidRPr="006720E4">
        <w:rPr>
          <w:rFonts w:ascii="Calibri" w:hAnsi="Calibri" w:cs="Calibri"/>
          <w:sz w:val="22"/>
          <w:szCs w:val="22"/>
        </w:rPr>
        <w:t xml:space="preserve"> </w:t>
      </w:r>
      <w:r w:rsidRPr="006720E4">
        <w:rPr>
          <w:rFonts w:ascii="Calibri" w:hAnsi="Calibri" w:cs="Calibri"/>
          <w:sz w:val="22"/>
          <w:szCs w:val="22"/>
        </w:rPr>
        <w:t xml:space="preserve">– for the purpose of becoming a donor. Individuals may be entitled to make decisions about cessation of life sustaining treatment or use of voluntary </w:t>
      </w:r>
      <w:r w:rsidR="00ED1E3C">
        <w:rPr>
          <w:rFonts w:ascii="Calibri" w:hAnsi="Calibri" w:cs="Calibri"/>
          <w:sz w:val="22"/>
          <w:szCs w:val="22"/>
        </w:rPr>
        <w:t>assisted dying</w:t>
      </w:r>
      <w:r w:rsidR="00ED1E3C" w:rsidRPr="006720E4">
        <w:rPr>
          <w:rFonts w:ascii="Calibri" w:hAnsi="Calibri" w:cs="Calibri"/>
          <w:sz w:val="22"/>
          <w:szCs w:val="22"/>
        </w:rPr>
        <w:t xml:space="preserve"> </w:t>
      </w:r>
      <w:r w:rsidRPr="006720E4">
        <w:rPr>
          <w:rFonts w:ascii="Calibri" w:hAnsi="Calibri" w:cs="Calibri"/>
          <w:sz w:val="22"/>
          <w:szCs w:val="22"/>
        </w:rPr>
        <w:t xml:space="preserve">in a range of circumstances, but these decisions must be made independently of donation decisions. See </w:t>
      </w:r>
      <w:hyperlink w:anchor="_Deceased_donation_by"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.6</w:t>
        </w:r>
      </w:hyperlink>
      <w:r w:rsidRPr="006720E4">
        <w:rPr>
          <w:rFonts w:ascii="Calibri" w:hAnsi="Calibri" w:cs="Calibri"/>
          <w:sz w:val="22"/>
          <w:szCs w:val="22"/>
        </w:rPr>
        <w:t xml:space="preserve"> and </w:t>
      </w:r>
      <w:hyperlink w:anchor="_Donation_after_voluntary"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.7</w:t>
        </w:r>
      </w:hyperlink>
      <w:r w:rsidRPr="006720E4">
        <w:rPr>
          <w:rFonts w:ascii="Calibri" w:hAnsi="Calibri" w:cs="Calibri"/>
          <w:sz w:val="22"/>
          <w:szCs w:val="22"/>
        </w:rPr>
        <w:t xml:space="preserve">. </w:t>
      </w:r>
    </w:p>
    <w:p w14:paraId="3E5E13DA" w14:textId="2009373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an ethical standard, the dead donor rule is of fundamental importance because it enables the public to trust in deceased donation programs. It makes clear that choosing to be a donor will not </w:t>
      </w:r>
      <w:r w:rsidRPr="006720E4">
        <w:rPr>
          <w:rFonts w:ascii="Calibri" w:hAnsi="Calibri" w:cs="Calibri"/>
          <w:sz w:val="22"/>
          <w:szCs w:val="22"/>
        </w:rPr>
        <w:lastRenderedPageBreak/>
        <w:t xml:space="preserve">place individuals at risk of being killed or severely harmed by people seeking to obtain organs and tissue for use in transplantation, and that end-of-life care will not be compromised for the purpose of facilitating donation. </w:t>
      </w:r>
    </w:p>
    <w:p w14:paraId="3A2C678A" w14:textId="1C96F053" w:rsidR="006C6EBA" w:rsidRPr="006720E4" w:rsidRDefault="006C6EBA" w:rsidP="00EA22AE">
      <w:pPr>
        <w:pStyle w:val="Heading3"/>
        <w:spacing w:after="120"/>
      </w:pPr>
      <w:bookmarkStart w:id="4704" w:name="_Toc74080808"/>
      <w:bookmarkStart w:id="4705" w:name="_Toc74081116"/>
      <w:bookmarkStart w:id="4706" w:name="_Toc74081346"/>
      <w:bookmarkStart w:id="4707" w:name="_Toc74081627"/>
      <w:bookmarkStart w:id="4708" w:name="_Toc74171177"/>
      <w:bookmarkStart w:id="4709" w:name="_Toc74172404"/>
      <w:bookmarkStart w:id="4710" w:name="_Toc74172938"/>
      <w:bookmarkStart w:id="4711" w:name="_Toc74238851"/>
      <w:bookmarkStart w:id="4712" w:name="_Toc79406491"/>
      <w:bookmarkStart w:id="4713" w:name="_Toc82773728"/>
      <w:bookmarkStart w:id="4714" w:name="_Toc82774081"/>
      <w:r w:rsidRPr="006720E4">
        <w:t>Perceived limitations of the dead donor rule</w:t>
      </w:r>
      <w:bookmarkEnd w:id="4704"/>
      <w:bookmarkEnd w:id="4705"/>
      <w:bookmarkEnd w:id="4706"/>
      <w:bookmarkEnd w:id="4707"/>
      <w:bookmarkEnd w:id="4708"/>
      <w:bookmarkEnd w:id="4709"/>
      <w:bookmarkEnd w:id="4710"/>
      <w:bookmarkEnd w:id="4711"/>
      <w:bookmarkEnd w:id="4712"/>
      <w:bookmarkEnd w:id="4713"/>
      <w:bookmarkEnd w:id="4714"/>
      <w:r w:rsidRPr="006720E4">
        <w:t xml:space="preserve"> </w:t>
      </w:r>
    </w:p>
    <w:p w14:paraId="548CEEB3" w14:textId="184B781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Some commentators have suggested that the dead donor rule may act as a barrier to donation and should be relaxed in some circumstances.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{"citationItems":[{"id":"ITEM-1","itemData":{"DOI":"10.2307/3527865","ISSN":"00930334","PMID":"10641238","abstract":"The scarcity of vital organs has prompted several calls to either modify the dead donor rule or interpret it more broadly. Given its symbolic importance, however, the rule should be changed only cautiously.","author":[{"dropping-particle":"","family":"Robertson","given":"John A.","non-dropping-particle":"","parse-names":false,"suffix":""}],"container-title":"The Hastings Center Report","id":"ITEM-1","issue":"6","issued":{"date-parts":[["1999"]]},"page":"6","title":"The Dead Donor Rule","type":"article-journal","volume":"29"},"uris":["http://www.mendeley.com/documents/?uuid=7c66b34d-bc22-4d3a-b4c4-982e11b01680"]}],"mendeley":{"formattedCitation":"(165)","plainTextFormattedCitation":"(165)","previouslyFormattedCitation":"(165)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(165)</w:t>
      </w:r>
      <w:r w:rsidRPr="006720E4">
        <w:rPr>
          <w:rFonts w:ascii="Calibri" w:hAnsi="Calibri" w:cs="Calibri"/>
          <w:sz w:val="22"/>
          <w:szCs w:val="22"/>
        </w:rPr>
        <w:fldChar w:fldCharType="end"/>
      </w:r>
      <w:r w:rsidRPr="006720E4">
        <w:rPr>
          <w:rFonts w:ascii="Calibri" w:hAnsi="Calibri" w:cs="Calibri"/>
          <w:sz w:val="22"/>
          <w:szCs w:val="22"/>
        </w:rPr>
        <w:t xml:space="preserve"> This is because the requirement to await the death of the donor before commencing donation may sometimes prevent or reduce the probability of successfully retrieving organs or tissues for transplantation. </w:t>
      </w:r>
    </w:p>
    <w:p w14:paraId="1AEC4EBD" w14:textId="77777777" w:rsidR="00BC449E" w:rsidRDefault="006C6EBA" w:rsidP="00EA22AE">
      <w:pPr>
        <w:spacing w:after="120"/>
        <w:rPr>
          <w:rFonts w:ascii="Calibri" w:hAnsi="Calibri" w:cs="Calibri"/>
          <w:sz w:val="22"/>
          <w:szCs w:val="22"/>
        </w:rPr>
      </w:pPr>
      <w:r w:rsidRPr="006720E4">
        <w:rPr>
          <w:rFonts w:ascii="Calibri" w:hAnsi="Calibri" w:cs="Calibri"/>
          <w:sz w:val="22"/>
          <w:szCs w:val="22"/>
        </w:rPr>
        <w:t xml:space="preserve">These commentators suggest that if a person is definitely going to die because a decision has been made to cease efforts to keep them alive using life sustaining interventions, then if that person wishes to become a donor it should be possible to remove their organs before life sustaining interventions are ceased, and hence before the person actually dies, so that the organs are well perfused and suitable for transplantation. Such a position effectively suggests that it wouldn’t matter if removing organs and tissues caused the death of a person, if that person was going to die soon anyway, and the removal before death was necessary to achieve their goal of successfully donating. </w:t>
      </w:r>
    </w:p>
    <w:p w14:paraId="5EFA939C" w14:textId="306E7E8E" w:rsidR="006C6EBA" w:rsidRPr="006720E4" w:rsidRDefault="00BC449E" w:rsidP="00EA22AE">
      <w:pPr>
        <w:spacing w:after="120"/>
        <w:rPr>
          <w:rFonts w:ascii="Calibri" w:hAnsi="Calibri" w:cs="Calibri"/>
          <w:sz w:val="22"/>
          <w:szCs w:val="22"/>
        </w:rPr>
      </w:pPr>
      <w:r>
        <w:rPr>
          <w:rFonts w:ascii="Calibri" w:hAnsi="Calibri" w:cs="Calibri"/>
          <w:sz w:val="22"/>
          <w:szCs w:val="22"/>
        </w:rPr>
        <w:t>S</w:t>
      </w:r>
      <w:r w:rsidR="006C6EBA" w:rsidRPr="006720E4">
        <w:rPr>
          <w:rFonts w:ascii="Calibri" w:hAnsi="Calibri" w:cs="Calibri"/>
          <w:sz w:val="22"/>
          <w:szCs w:val="22"/>
        </w:rPr>
        <w:t>ome people appear to be less concerned about respect for the DDR</w:t>
      </w:r>
      <w:r>
        <w:rPr>
          <w:rFonts w:ascii="Calibri" w:hAnsi="Calibri" w:cs="Calibri"/>
          <w:sz w:val="22"/>
          <w:szCs w:val="22"/>
        </w:rPr>
        <w:t xml:space="preserve"> if it undermines opportunities for donation</w:t>
      </w:r>
      <w:r w:rsidR="006C6EBA" w:rsidRPr="006720E4">
        <w:rPr>
          <w:rFonts w:ascii="Calibri" w:hAnsi="Calibri" w:cs="Calibri"/>
          <w:sz w:val="22"/>
          <w:szCs w:val="22"/>
        </w:rPr>
        <w:t>.</w:t>
      </w:r>
      <w:r>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{"citationItems":[{"id":"ITEM-1","itemData":{"DOI":"10.1111/imj.15221","ISSN":"14455994","PMID":"33528090","abstract":"Background: Background: Organ donation (OD) following circulatory determination of death (DCDD) is an increasing source of transplant organs but little is known about community opinions on treatment withdrawal, determination of death and acceptance of OD in DCDD. Aims: To determine attitudes on death determination in DCDD, the importance of patient choice in treatment withdrawal and OD agreement, and the importance of the ‘Dead Donor Rule’. Methods: Scenario-based online survey of 1017 members of the Australian general public. Mean levels of agreement across respondent's responses to statements were compared by repeated measures ANOVA. Results: 54% (548) of respondents agreed that a DCDD scenario patient could be declared dead 2 minutes after circulatory standstill, however over 80% nonetheless agreed OD would be appropriate, including 77% (136/176) of those disagreeing with a 2-minute death declaration. 48% (484) supported OD even if it caused the patient's death. 75% (766) would accept relatively benign ante-mortem treatments administered to improve transplant outcomes. Over 70% supported a high quadriplegic patient's request to be allowed to die, with 61% (622) agreeing that he should be allowed to donate his organs under anaesthesia, but 60% (610) also agreed that he should first be declared dead. Conclusions: We found high levels of support for treatment withdrawal in severe brain injury and when requested by a quadriplegic patient. While there was variable agreement with the timing of death determination and with OD under anaesthesia, support for OD was high in both scenarios. For many people death determination prior to OD may not be of paramount importance.","author":[{"dropping-particle":"","family":"O'Leary","given":"Michael J.","non-dropping-particle":"","parse-names":false,"suffix":""},{"dropping-particle":"","family":"Skowronski","given":"George","non-dropping-particle":"","parse-names":false,"suffix":""},{"dropping-particle":"","family":"Critchley","given":"Christine","non-dropping-particle":"","parse-names":false,"suffix":""},{"dropping-particle":"","family":"O'Reilly","given":"Lisa","non-dropping-particle":"","parse-names":false,"suffix":""},{"dropping-particle":"","family":"Forlini","given":"Cynthia","non-dropping-particle":"","parse-names":false,"suffix":""},{"dropping-particle":"","family":"Sheahan","given":"Linda","non-dropping-particle":"","parse-names":false,"suffix":""},{"dropping-particle":"","family":"Stewart","given":"Cameron","non-dropping-particle":"","parse-names":false,"suffix":""},{"dropping-particle":"","family":"Kerridge","given":"Ian","non-dropping-particle":"","parse-names":false,"suffix":""}],"container-title":"Internal Medicine Journal","id":"ITEM-1","issue":"2","issued":{"date-parts":[["2022"]]},"page":"238-248","title":"Death determination, organ donation and the importance of the Dead Donor Rule following withdrawal of life-sustaining treatment: a survey of community opinions","type":"article-journal","volume":"52"},"uris":["http://www.mendeley.com/documents/?uuid=c9513fff-0fd7-4635-9329-dd6ba60ec190"]},{"id":"ITEM-2","itemData":{"author":[{"dropping-particle":"","family":"Tuohy","given":"Wendy","non-dropping-particle":"","parse-names":false,"suffix":""}],"container-title":"The Age","id":"ITEM-2","issued":{"date-parts":[["2023","4","17"]]},"title":"Angus wanted to donate his organs, but they all went to waste. His mother wants change","type":"article-newspaper"},"uris":["http://www.mendeley.com/documents/?uuid=98ed4cc4-9621-4a88-ad71-dec007bee144"]}],"mendeley":{"formattedCitation":"(166,167)","plainTextFormattedCitation":"(166,167)","previouslyFormattedCitation":"(166,167)"},"properties":{"noteIndex":0},"schema":"https://github.com/citation-style-language/schema/raw/master/csl-citation.json"}</w:instrText>
      </w:r>
      <w:r>
        <w:rPr>
          <w:rFonts w:ascii="Calibri" w:hAnsi="Calibri" w:cs="Calibri"/>
          <w:sz w:val="22"/>
          <w:szCs w:val="22"/>
        </w:rPr>
        <w:fldChar w:fldCharType="separate"/>
      </w:r>
      <w:r w:rsidR="00BA3D76" w:rsidRPr="00BA3D76">
        <w:rPr>
          <w:rFonts w:ascii="Calibri" w:hAnsi="Calibri" w:cs="Calibri"/>
          <w:noProof/>
          <w:sz w:val="22"/>
          <w:szCs w:val="22"/>
        </w:rPr>
        <w:t>(166,167)</w:t>
      </w:r>
      <w:r>
        <w:rPr>
          <w:rFonts w:ascii="Calibri" w:hAnsi="Calibri" w:cs="Calibri"/>
          <w:sz w:val="22"/>
          <w:szCs w:val="22"/>
        </w:rPr>
        <w:fldChar w:fldCharType="end"/>
      </w:r>
      <w:r>
        <w:rPr>
          <w:rFonts w:ascii="Calibri" w:hAnsi="Calibri" w:cs="Calibri"/>
          <w:sz w:val="22"/>
          <w:szCs w:val="22"/>
        </w:rPr>
        <w:t xml:space="preserve"> </w:t>
      </w:r>
      <w:r w:rsidR="006C6EBA" w:rsidRPr="006720E4">
        <w:rPr>
          <w:rFonts w:ascii="Calibri" w:hAnsi="Calibri" w:cs="Calibri"/>
          <w:sz w:val="22"/>
          <w:szCs w:val="22"/>
        </w:rPr>
        <w:t xml:space="preserve">In some individual cases it may seem frustrating to require that a person is dead prior to donation, if this means that the person misses the opportunity for donation and others miss the opportunity to benefit from transplantation. However, if the standard of the dead donor rule were undermined, as it would be if exceptions were permitted, this could risk greatly undermining public trust in deceased donation. This is because of the risk that conflicts of interest might lead health professionals or family members to make decisions in favour of donation that may cause harm to potential donors (see </w:t>
      </w:r>
      <w:hyperlink w:anchor="_Management_of_potential" w:history="1">
        <w:r w:rsidR="006C6EBA"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006C6EBA" w:rsidRPr="006720E4">
          <w:rPr>
            <w:rStyle w:val="Hyperlink"/>
            <w:rFonts w:ascii="Calibri" w:hAnsi="Calibri" w:cs="Calibri"/>
            <w:sz w:val="22"/>
            <w:szCs w:val="22"/>
          </w:rPr>
          <w:t>.3</w:t>
        </w:r>
      </w:hyperlink>
      <w:r w:rsidR="006C6EBA" w:rsidRPr="006720E4">
        <w:rPr>
          <w:rFonts w:ascii="Calibri" w:hAnsi="Calibri" w:cs="Calibri"/>
          <w:sz w:val="22"/>
          <w:szCs w:val="22"/>
        </w:rPr>
        <w:t>).</w:t>
      </w:r>
      <w:bookmarkStart w:id="4715" w:name="_Toc70414978"/>
      <w:bookmarkStart w:id="4716" w:name="_Toc70844303"/>
      <w:bookmarkStart w:id="4717" w:name="_Toc70859033"/>
      <w:bookmarkStart w:id="4718" w:name="_Toc70861134"/>
      <w:bookmarkStart w:id="4719" w:name="_Toc70876619"/>
      <w:bookmarkStart w:id="4720" w:name="_Toc72615246"/>
      <w:bookmarkStart w:id="4721" w:name="_Toc73129970"/>
      <w:bookmarkStart w:id="4722" w:name="_Toc73301843"/>
      <w:bookmarkStart w:id="4723" w:name="_Toc73302349"/>
      <w:bookmarkStart w:id="4724" w:name="_Toc73303482"/>
      <w:bookmarkStart w:id="4725" w:name="_Toc73303691"/>
    </w:p>
    <w:p w14:paraId="4DFDA6E8" w14:textId="23CF67ED" w:rsidR="006C6EBA" w:rsidRPr="006720E4" w:rsidRDefault="006C6EBA" w:rsidP="00EA22AE">
      <w:pPr>
        <w:pStyle w:val="Heading2"/>
        <w:spacing w:after="120"/>
      </w:pPr>
      <w:bookmarkStart w:id="4726" w:name="_Ethical_considerations_in_1"/>
      <w:bookmarkStart w:id="4727" w:name="_Toc74080809"/>
      <w:bookmarkStart w:id="4728" w:name="_Toc74081117"/>
      <w:bookmarkStart w:id="4729" w:name="_Toc74081347"/>
      <w:bookmarkStart w:id="4730" w:name="_Toc74081628"/>
      <w:bookmarkStart w:id="4731" w:name="_Toc74171178"/>
      <w:bookmarkStart w:id="4732" w:name="_Toc74172405"/>
      <w:bookmarkStart w:id="4733" w:name="_Toc74172939"/>
      <w:bookmarkStart w:id="4734" w:name="_Toc74238852"/>
      <w:bookmarkStart w:id="4735" w:name="_Toc78304808"/>
      <w:bookmarkStart w:id="4736" w:name="_Toc79330908"/>
      <w:bookmarkStart w:id="4737" w:name="_Toc79331288"/>
      <w:bookmarkStart w:id="4738" w:name="_Toc79406492"/>
      <w:bookmarkStart w:id="4739" w:name="_Toc82773729"/>
      <w:bookmarkStart w:id="4740" w:name="_Toc82774082"/>
      <w:bookmarkStart w:id="4741" w:name="_Toc128314241"/>
      <w:bookmarkStart w:id="4742" w:name="_Toc135131486"/>
      <w:bookmarkEnd w:id="4726"/>
      <w:r w:rsidRPr="006720E4">
        <w:t>Ethical considerations in the determination of death</w:t>
      </w:r>
      <w:bookmarkEnd w:id="4715"/>
      <w:bookmarkEnd w:id="4716"/>
      <w:bookmarkEnd w:id="4717"/>
      <w:bookmarkEnd w:id="4718"/>
      <w:bookmarkEnd w:id="4719"/>
      <w:bookmarkEnd w:id="4720"/>
      <w:bookmarkEnd w:id="4721"/>
      <w:bookmarkEnd w:id="4722"/>
      <w:bookmarkEnd w:id="4723"/>
      <w:bookmarkEnd w:id="4724"/>
      <w:bookmarkEnd w:id="4725"/>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p>
    <w:p w14:paraId="16F8E6F4" w14:textId="0E52860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clinical interventions aimed at prolonging life are discontinued and a person dies, the person’s family or friends may commence the social and cultural processes that take place following the death of a loved one, such as transferring a person’s body from a hospital to a funeral home in preparation for burial or cremation. If a decision has been made in favour of donation of organs or tissues after death, the determination of death is also critical as it means that donation procedures can now commence, in accordance with the dead donor rule (see </w:t>
      </w:r>
      <w:hyperlink r:id="rId126" w:anchor="_Understanding_the_"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.1</w:t>
        </w:r>
      </w:hyperlink>
      <w:r w:rsidRPr="006720E4">
        <w:rPr>
          <w:rFonts w:ascii="Calibri" w:hAnsi="Calibri" w:cs="Calibri"/>
          <w:sz w:val="22"/>
          <w:szCs w:val="22"/>
        </w:rPr>
        <w:t>).</w:t>
      </w:r>
    </w:p>
    <w:p w14:paraId="65C0DBDB" w14:textId="18136E6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determination of death is a clinical process in which a qualified medical practitioner assesses a person in order to make a </w:t>
      </w:r>
      <w:r w:rsidRPr="005525CE">
        <w:rPr>
          <w:rFonts w:ascii="Calibri" w:hAnsi="Calibri" w:cs="Calibri"/>
          <w:sz w:val="22"/>
          <w:szCs w:val="22"/>
        </w:rPr>
        <w:t>diagnosis of death. This clinical determination of death is consistent with the legal definitions of death and legal r</w:t>
      </w:r>
      <w:r w:rsidR="005525CE">
        <w:rPr>
          <w:rFonts w:ascii="Calibri" w:hAnsi="Calibri" w:cs="Calibri"/>
          <w:sz w:val="22"/>
          <w:szCs w:val="22"/>
        </w:rPr>
        <w:t>e</w:t>
      </w:r>
      <w:r w:rsidRPr="005525CE">
        <w:rPr>
          <w:rFonts w:ascii="Calibri" w:hAnsi="Calibri" w:cs="Calibri"/>
          <w:sz w:val="22"/>
          <w:szCs w:val="22"/>
        </w:rPr>
        <w:t xml:space="preserve">quirements for determination of death (see </w:t>
      </w:r>
      <w:hyperlink w:anchor="_Determination_of_death_1" w:history="1">
        <w:r w:rsidRPr="005525CE">
          <w:rPr>
            <w:rStyle w:val="Hyperlink"/>
            <w:rFonts w:ascii="Calibri" w:hAnsi="Calibri" w:cs="Calibri"/>
            <w:sz w:val="22"/>
            <w:szCs w:val="22"/>
          </w:rPr>
          <w:t xml:space="preserve">Chapter </w:t>
        </w:r>
        <w:r w:rsidR="00506E4C" w:rsidRPr="005525CE">
          <w:rPr>
            <w:rStyle w:val="Hyperlink"/>
            <w:rFonts w:ascii="Calibri" w:hAnsi="Calibri" w:cs="Calibri"/>
            <w:sz w:val="22"/>
            <w:szCs w:val="22"/>
          </w:rPr>
          <w:t>3</w:t>
        </w:r>
        <w:r w:rsidRPr="005525CE">
          <w:rPr>
            <w:rStyle w:val="Hyperlink"/>
            <w:rFonts w:ascii="Calibri" w:hAnsi="Calibri" w:cs="Calibri"/>
            <w:sz w:val="22"/>
            <w:szCs w:val="22"/>
          </w:rPr>
          <w:t>.</w:t>
        </w:r>
        <w:r w:rsidR="005525CE" w:rsidRPr="005525CE">
          <w:rPr>
            <w:rStyle w:val="Hyperlink"/>
            <w:rFonts w:ascii="Calibri" w:hAnsi="Calibri" w:cs="Calibri"/>
            <w:sz w:val="22"/>
            <w:szCs w:val="22"/>
          </w:rPr>
          <w:t>5</w:t>
        </w:r>
        <w:r w:rsidRPr="005525CE">
          <w:rPr>
            <w:rStyle w:val="Hyperlink"/>
            <w:rFonts w:ascii="Calibri" w:hAnsi="Calibri" w:cs="Calibri"/>
            <w:sz w:val="22"/>
            <w:szCs w:val="22"/>
          </w:rPr>
          <w:t>.1.1</w:t>
        </w:r>
      </w:hyperlink>
      <w:r w:rsidR="009760C2" w:rsidRPr="005525CE">
        <w:rPr>
          <w:rFonts w:ascii="Calibri" w:hAnsi="Calibri" w:cs="Calibri"/>
          <w:sz w:val="22"/>
          <w:szCs w:val="22"/>
        </w:rPr>
        <w:t xml:space="preserve"> </w:t>
      </w:r>
      <w:r w:rsidRPr="005525CE">
        <w:rPr>
          <w:rFonts w:ascii="Calibri" w:hAnsi="Calibri" w:cs="Calibri"/>
          <w:sz w:val="22"/>
          <w:szCs w:val="22"/>
        </w:rPr>
        <w:t>Death may be determined using neurological or circulatory criteria</w:t>
      </w:r>
      <w:r w:rsidR="005525CE">
        <w:rPr>
          <w:rFonts w:ascii="Calibri" w:hAnsi="Calibri" w:cs="Calibri"/>
          <w:sz w:val="22"/>
          <w:szCs w:val="22"/>
        </w:rPr>
        <w:t xml:space="preserve"> (see </w:t>
      </w:r>
      <w:hyperlink w:anchor="_Determination_of_Death_2" w:history="1">
        <w:r w:rsidR="005525CE" w:rsidRPr="005525CE">
          <w:rPr>
            <w:rStyle w:val="Hyperlink"/>
            <w:rFonts w:ascii="Calibri" w:hAnsi="Calibri" w:cs="Calibri"/>
            <w:sz w:val="22"/>
            <w:szCs w:val="22"/>
          </w:rPr>
          <w:t>Chapter 2.4.1</w:t>
        </w:r>
      </w:hyperlink>
      <w:r w:rsidR="005525CE" w:rsidRPr="005525CE">
        <w:rPr>
          <w:rFonts w:ascii="Calibri" w:hAnsi="Calibri" w:cs="Calibri"/>
          <w:sz w:val="22"/>
          <w:szCs w:val="22"/>
        </w:rPr>
        <w:t>).</w:t>
      </w:r>
      <w:r w:rsidRPr="005525CE">
        <w:rPr>
          <w:rFonts w:ascii="Calibri" w:hAnsi="Calibri" w:cs="Calibri"/>
          <w:sz w:val="22"/>
          <w:szCs w:val="22"/>
        </w:rPr>
        <w:t xml:space="preserve"> The colloquial terms “brain death” and</w:t>
      </w:r>
      <w:r w:rsidRPr="006720E4">
        <w:rPr>
          <w:rFonts w:ascii="Calibri" w:hAnsi="Calibri" w:cs="Calibri"/>
          <w:sz w:val="22"/>
          <w:szCs w:val="22"/>
        </w:rPr>
        <w:t xml:space="preserve"> “cardiac death” are sometimes used to refer to diagnoses of death using these respective criteria. However, use of these terms should be avoided as they may create confusion or give the impression that a person is not genuinely dead in some circumstances despite being dead according to legal and clinical criteria. It is vital that people have confidence in the ability of health professionals to accurately diagnose death. </w:t>
      </w:r>
    </w:p>
    <w:p w14:paraId="32BF49C2" w14:textId="54E9A8D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ANZICS statement on death and organ donation provides detailed clinical guidance on the determination of death, including in circumstances where organ and tissue donation are considered.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{"citationItems":[{"id":"ITEM-1","itemData":{"DOI":"10.1093/jmp/jhq019","ISSN":"03605310","PMID":"20439355","abstract":"Transplantation of vital organs has been premised ethically and legally on \"the dead donor rule\" (DDR) - the requirement that donors are determined to be dead before these organs are procured. Nevertheless, scholars have argued cogently that donors of vital organs, including those diagnosed as \"brain dead\" and those declared dead according to cardiopulmonary criteria, are not in fact dead at the time that vital organs are being procured. In this article, we challenge the normative rationale for the DDR by rejecting the underlying premise that it is necessarily wrong for physicians to cause the death of patients and the claim that abandoning this rule would exploit vulnerable patients. We contend that it is ethical to procure vital organs from living patients sustained on life support prior to treatment withdrawal, provided that there is valid consent for both withdrawing treatment and organ donation. However, the conservatism of medical ethics and practical concerns make it doubtful that the DDR will be abandoned in the near future. This leaves the current practice of organ transplantation based on the \"moral fiction\" that donors are dead when vital organs are procured. © The Author 2010. Published by Oxford University Press, on behalf of the Journal of Medicine and Philosophy Inc. All rights reserved.","author":[{"dropping-particle":"","family":"Miller","given":"Franklin G.","non-dropping-particle":"","parse-names":false,"suffix":""},{"dropping-particle":"","family":"Truog","given":"Robert D.","non-dropping-particle":"","parse-names":false,"suffix":""},{"dropping-particle":"","family":"Brock","given":"Dan W.","non-dropping-particle":"","parse-names":false,"suffix":""}],"container-title":"Journal of Medicine and Philosophy","id":"ITEM-1","issue":"3","issued":{"date-parts":[["2010"]]},"page":"299-312","title":"The dead donor rule: Can it withstand critical scrutiny?","type":"article-journal","volume":"35"},"uris":["http://www.mendeley.com/documents/?uuid=5d8c4c57-a6ff-4b39-b55c-d768c96ce4a3"]}],"mendeley":{"formattedCitation":"(168)","plainTextFormattedCitation":"(168)","previouslyFormattedCitation":"(168)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(168)</w:t>
      </w:r>
      <w:r w:rsidRPr="006720E4">
        <w:rPr>
          <w:rFonts w:ascii="Calibri" w:hAnsi="Calibri" w:cs="Calibri"/>
          <w:sz w:val="22"/>
          <w:szCs w:val="22"/>
        </w:rPr>
        <w:fldChar w:fldCharType="end"/>
      </w:r>
      <w:r w:rsidRPr="006720E4">
        <w:rPr>
          <w:rFonts w:ascii="Calibri" w:hAnsi="Calibri" w:cs="Calibri"/>
          <w:sz w:val="22"/>
          <w:szCs w:val="22"/>
        </w:rPr>
        <w:t xml:space="preserve"> The various procedures and protocols that may be used to determine death in particular circumstances are generally aimed at ensuring that a diagnosis of death occurs when a person has permanently lost “the capacity for consciousness and all brainstem functions, as a consequence of permanent cessation of circulation or catastrophic brain injury”.</w:t>
      </w:r>
      <w:r w:rsidRPr="006720E4">
        <w:rPr>
          <w:rFonts w:ascii="Calibri" w:hAnsi="Calibri" w:cs="Calibri"/>
          <w:sz w:val="22"/>
          <w:szCs w:val="22"/>
        </w:rPr>
        <w:fldChar w:fldCharType="begin" w:fldLock="1"/>
      </w:r>
      <w:r w:rsidR="00C12F71">
        <w:rPr>
          <w:rFonts w:ascii="Calibri" w:hAnsi="Calibri" w:cs="Calibri"/>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Pr="006720E4">
        <w:rPr>
          <w:rFonts w:ascii="Calibri" w:hAnsi="Calibri" w:cs="Calibri"/>
          <w:sz w:val="22"/>
          <w:szCs w:val="22"/>
        </w:rPr>
        <w:fldChar w:fldCharType="separate"/>
      </w:r>
      <w:r w:rsidR="000B7242" w:rsidRPr="000B7242">
        <w:rPr>
          <w:rFonts w:ascii="Calibri" w:hAnsi="Calibri" w:cs="Calibri"/>
          <w:noProof/>
          <w:sz w:val="22"/>
          <w:szCs w:val="22"/>
        </w:rPr>
        <w:t>(20)</w:t>
      </w:r>
      <w:r w:rsidRPr="006720E4">
        <w:rPr>
          <w:rFonts w:ascii="Calibri" w:hAnsi="Calibri" w:cs="Calibri"/>
          <w:sz w:val="22"/>
          <w:szCs w:val="22"/>
        </w:rPr>
        <w:fldChar w:fldCharType="end"/>
      </w:r>
      <w:r w:rsidRPr="006720E4">
        <w:rPr>
          <w:rFonts w:ascii="Calibri" w:hAnsi="Calibri" w:cs="Calibri"/>
          <w:sz w:val="22"/>
          <w:szCs w:val="22"/>
        </w:rPr>
        <w:t xml:space="preserve"> </w:t>
      </w:r>
    </w:p>
    <w:p w14:paraId="6F7D7236" w14:textId="402C922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A number of ethical considerations may arise with regards to the determination of death. In the context of deceased donation, the main ethical concern is to ensure that potential conflicts of interest with regards to donation opportunities do not undermine the integrity of the determination of death (see </w:t>
      </w:r>
      <w:hyperlink w:anchor="_Conflicts_of_interest_3"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.2.2</w:t>
        </w:r>
      </w:hyperlink>
      <w:r w:rsidRPr="006720E4">
        <w:rPr>
          <w:rFonts w:ascii="Calibri" w:hAnsi="Calibri" w:cs="Calibri"/>
          <w:sz w:val="22"/>
          <w:szCs w:val="22"/>
        </w:rPr>
        <w:t xml:space="preserve">). When people hold different beliefs regarding the determination of death, this can also result in ethical concerns (see </w:t>
      </w:r>
      <w:hyperlink w:anchor="_Different_perspectives_regarding"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.2.1</w:t>
        </w:r>
      </w:hyperlink>
      <w:r w:rsidRPr="006720E4">
        <w:rPr>
          <w:rFonts w:ascii="Calibri" w:hAnsi="Calibri" w:cs="Calibri"/>
          <w:sz w:val="22"/>
          <w:szCs w:val="22"/>
        </w:rPr>
        <w:t>).</w:t>
      </w:r>
    </w:p>
    <w:p w14:paraId="3A93808C" w14:textId="08EEB337" w:rsidR="006C6EBA" w:rsidRPr="006720E4" w:rsidRDefault="006C6EBA" w:rsidP="00EA22AE">
      <w:pPr>
        <w:pStyle w:val="Heading3"/>
        <w:spacing w:after="120"/>
      </w:pPr>
      <w:bookmarkStart w:id="4743" w:name="_Conflicts_of_interest_2"/>
      <w:bookmarkStart w:id="4744" w:name="_Different_perspectives_regarding"/>
      <w:bookmarkStart w:id="4745" w:name="_Toc74080811"/>
      <w:bookmarkStart w:id="4746" w:name="_Toc74081119"/>
      <w:bookmarkStart w:id="4747" w:name="_Toc74081349"/>
      <w:bookmarkStart w:id="4748" w:name="_Toc74081630"/>
      <w:bookmarkStart w:id="4749" w:name="_Toc74171180"/>
      <w:bookmarkStart w:id="4750" w:name="_Toc74172407"/>
      <w:bookmarkStart w:id="4751" w:name="_Toc74172941"/>
      <w:bookmarkStart w:id="4752" w:name="_Toc74238854"/>
      <w:bookmarkStart w:id="4753" w:name="_Toc79406493"/>
      <w:bookmarkStart w:id="4754" w:name="_Toc82773730"/>
      <w:bookmarkStart w:id="4755" w:name="_Toc82774083"/>
      <w:bookmarkStart w:id="4756" w:name="_Toc63683507"/>
      <w:bookmarkStart w:id="4757" w:name="_Toc70241856"/>
      <w:bookmarkStart w:id="4758" w:name="_Toc70243491"/>
      <w:bookmarkStart w:id="4759" w:name="_Toc70414981"/>
      <w:bookmarkStart w:id="4760" w:name="_Toc70844304"/>
      <w:bookmarkStart w:id="4761" w:name="_Toc72615247"/>
      <w:bookmarkStart w:id="4762" w:name="_Toc73129971"/>
      <w:bookmarkStart w:id="4763" w:name="_Toc73301844"/>
      <w:bookmarkStart w:id="4764" w:name="_Toc73302350"/>
      <w:bookmarkStart w:id="4765" w:name="_Toc73303483"/>
      <w:bookmarkStart w:id="4766" w:name="_Toc73303692"/>
      <w:bookmarkEnd w:id="4743"/>
      <w:bookmarkEnd w:id="4744"/>
      <w:r w:rsidRPr="006720E4">
        <w:t>Different perspectives regarding the diagnosis of death</w:t>
      </w:r>
      <w:bookmarkEnd w:id="4745"/>
      <w:bookmarkEnd w:id="4746"/>
      <w:bookmarkEnd w:id="4747"/>
      <w:bookmarkEnd w:id="4748"/>
      <w:bookmarkEnd w:id="4749"/>
      <w:bookmarkEnd w:id="4750"/>
      <w:bookmarkEnd w:id="4751"/>
      <w:bookmarkEnd w:id="4752"/>
      <w:bookmarkEnd w:id="4753"/>
      <w:bookmarkEnd w:id="4754"/>
      <w:bookmarkEnd w:id="4755"/>
      <w:r w:rsidRPr="006720E4">
        <w:t xml:space="preserve"> </w:t>
      </w:r>
    </w:p>
    <w:p w14:paraId="47B7494F" w14:textId="53E84B1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Individuals may hold different beliefs regarding the concept of death, and some individuals may thus have different perspectives regarding the clinical determination or diagnosis of death. For example, some people may believe that a person is only deceased when their heart is no longer beating, and therefore may not recognise death when this is determined by neurological criteria. In some cases, such perspectives may influence decision-making about end-of-life care and about opportunities for deceased donation. It is important that health professionals provide culturally safe care when supporting patients and families, and engage respectfully with different perspectives regarding death in the context of end-of-life decision-making. </w:t>
      </w:r>
    </w:p>
    <w:p w14:paraId="5D843C5B" w14:textId="6819380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Where a health professional holds personal beliefs regarding the determination of death that may influence their attitudes towards deceased donation, they should take steps to ensure that these do not inappropriately influence opportunities for individuals and families to make informed and voluntary decisions about donation (see the discussion regarding conscientious objection in </w:t>
      </w:r>
      <w:hyperlink w:anchor="_Conscientious_objection_and" w:history="1">
        <w:r w:rsidR="009760C2">
          <w:rPr>
            <w:rStyle w:val="Hyperlink"/>
            <w:rFonts w:ascii="Calibri" w:hAnsi="Calibri" w:cs="Calibri"/>
            <w:sz w:val="22"/>
            <w:szCs w:val="22"/>
          </w:rPr>
          <w:t>Chapter</w:t>
        </w:r>
      </w:hyperlink>
      <w:r w:rsidR="009760C2">
        <w:rPr>
          <w:rStyle w:val="Hyperlink"/>
          <w:rFonts w:ascii="Calibri" w:hAnsi="Calibri" w:cs="Calibri"/>
          <w:sz w:val="22"/>
          <w:szCs w:val="22"/>
        </w:rPr>
        <w:t xml:space="preserve"> 3.7</w:t>
      </w:r>
      <w:r w:rsidRPr="006720E4">
        <w:rPr>
          <w:rFonts w:ascii="Calibri" w:hAnsi="Calibri" w:cs="Calibri"/>
          <w:sz w:val="22"/>
          <w:szCs w:val="22"/>
        </w:rPr>
        <w:t>).</w:t>
      </w:r>
    </w:p>
    <w:p w14:paraId="350C5509" w14:textId="00936298" w:rsidR="006C6EBA" w:rsidRPr="006720E4" w:rsidRDefault="006C6EBA" w:rsidP="00EA22AE">
      <w:pPr>
        <w:pStyle w:val="Heading3"/>
        <w:spacing w:after="120"/>
      </w:pPr>
      <w:bookmarkStart w:id="4767" w:name="_Conflicts_of_interest_3"/>
      <w:bookmarkStart w:id="4768" w:name="_Toc74080812"/>
      <w:bookmarkStart w:id="4769" w:name="_Toc74081120"/>
      <w:bookmarkStart w:id="4770" w:name="_Toc74081350"/>
      <w:bookmarkStart w:id="4771" w:name="_Toc74081631"/>
      <w:bookmarkStart w:id="4772" w:name="_Toc74171181"/>
      <w:bookmarkStart w:id="4773" w:name="_Toc74172408"/>
      <w:bookmarkStart w:id="4774" w:name="_Toc74172942"/>
      <w:bookmarkStart w:id="4775" w:name="_Toc74238855"/>
      <w:bookmarkStart w:id="4776" w:name="_Toc79406494"/>
      <w:bookmarkStart w:id="4777" w:name="_Toc82773731"/>
      <w:bookmarkStart w:id="4778" w:name="_Toc82774084"/>
      <w:bookmarkEnd w:id="4767"/>
      <w:r w:rsidRPr="006720E4">
        <w:t>Conflicts of interest in the determination of death in potential deceased organ donors</w:t>
      </w:r>
      <w:bookmarkEnd w:id="4756"/>
      <w:bookmarkEnd w:id="4757"/>
      <w:bookmarkEnd w:id="4758"/>
      <w:bookmarkEnd w:id="4759"/>
      <w:bookmarkEnd w:id="4760"/>
      <w:bookmarkEnd w:id="4761"/>
      <w:bookmarkEnd w:id="4762"/>
      <w:bookmarkEnd w:id="4763"/>
      <w:bookmarkEnd w:id="4764"/>
      <w:bookmarkEnd w:id="4765"/>
      <w:bookmarkEnd w:id="4766"/>
      <w:bookmarkEnd w:id="4768"/>
      <w:bookmarkEnd w:id="4769"/>
      <w:bookmarkEnd w:id="4770"/>
      <w:bookmarkEnd w:id="4771"/>
      <w:bookmarkEnd w:id="4772"/>
      <w:bookmarkEnd w:id="4773"/>
      <w:bookmarkEnd w:id="4774"/>
      <w:bookmarkEnd w:id="4775"/>
      <w:bookmarkEnd w:id="4776"/>
      <w:bookmarkEnd w:id="4777"/>
      <w:bookmarkEnd w:id="4778"/>
      <w:r w:rsidRPr="006720E4">
        <w:t xml:space="preserve"> </w:t>
      </w:r>
    </w:p>
    <w:p w14:paraId="35271C47" w14:textId="007FD61B" w:rsidR="006C6EBA" w:rsidRPr="006720E4" w:rsidRDefault="006C6EBA" w:rsidP="00EA22AE">
      <w:pPr>
        <w:spacing w:after="120"/>
        <w:rPr>
          <w:rFonts w:ascii="Calibri" w:hAnsi="Calibri" w:cs="Calibri"/>
          <w:sz w:val="22"/>
          <w:szCs w:val="22"/>
        </w:rPr>
      </w:pPr>
      <w:bookmarkStart w:id="4779" w:name="_Pre-mortem_interventions_for"/>
      <w:bookmarkStart w:id="4780" w:name="_Toc70414982"/>
      <w:bookmarkStart w:id="4781" w:name="_Toc70844307"/>
      <w:bookmarkStart w:id="4782" w:name="_Toc70859034"/>
      <w:bookmarkStart w:id="4783" w:name="_Toc70861135"/>
      <w:bookmarkStart w:id="4784" w:name="_Toc70876620"/>
      <w:bookmarkStart w:id="4785" w:name="_Toc72615248"/>
      <w:bookmarkStart w:id="4786" w:name="_Toc73129972"/>
      <w:bookmarkStart w:id="4787" w:name="_Toc73301845"/>
      <w:bookmarkStart w:id="4788" w:name="_Toc73302351"/>
      <w:bookmarkStart w:id="4789" w:name="_Toc73303484"/>
      <w:bookmarkStart w:id="4790" w:name="_Toc73303693"/>
      <w:bookmarkEnd w:id="4779"/>
      <w:r w:rsidRPr="006720E4">
        <w:rPr>
          <w:rFonts w:ascii="Calibri" w:hAnsi="Calibri" w:cs="Calibri"/>
          <w:sz w:val="22"/>
          <w:szCs w:val="22"/>
        </w:rPr>
        <w:t xml:space="preserve">Due to the significance of the “dead donor rule”, it is essential that potential conflicts of interest in the determination of death in potential organ donors are carefully managed (see </w:t>
      </w:r>
      <w:hyperlink w:anchor="_Management_of_potential"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.3</w:t>
        </w:r>
      </w:hyperlink>
      <w:r w:rsidRPr="006720E4">
        <w:rPr>
          <w:rFonts w:ascii="Calibri" w:hAnsi="Calibri" w:cs="Calibri"/>
          <w:sz w:val="22"/>
          <w:szCs w:val="22"/>
        </w:rPr>
        <w:t xml:space="preserve">). This also includes perceived conflicts of interest. If there is a perception that health professionals involved in the determination of death have an interest in declaring death prematurely (i.e., before a person has actually died), for example in order to successfully obtain organs that may be used in transplantation, this may greatly undermine trust in deceased donation. </w:t>
      </w:r>
    </w:p>
    <w:p w14:paraId="387499BF" w14:textId="137EA01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Use of standardised procedures and criteria for determination of death, and separation of the roles of individuals who may be involved in determination of death from those of individuals who may be involved in removal of organs or tissues after death helps to ensure integrity in the determination of death in potential donors (see </w:t>
      </w:r>
      <w:hyperlink w:anchor="_Management_of_potential"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.3</w:t>
        </w:r>
      </w:hyperlink>
      <w:r w:rsidRPr="006720E4">
        <w:rPr>
          <w:rFonts w:ascii="Calibri" w:hAnsi="Calibri" w:cs="Calibri"/>
          <w:sz w:val="22"/>
          <w:szCs w:val="22"/>
        </w:rPr>
        <w:t xml:space="preserve">). </w:t>
      </w:r>
      <w:r w:rsidRPr="00CB5556">
        <w:rPr>
          <w:rFonts w:ascii="Calibri" w:hAnsi="Calibri" w:cs="Calibri"/>
          <w:sz w:val="22"/>
          <w:szCs w:val="22"/>
        </w:rPr>
        <w:t>As discussed in</w:t>
      </w:r>
      <w:r w:rsidR="00CB5556" w:rsidRPr="00CB5556">
        <w:rPr>
          <w:rFonts w:ascii="Calibri" w:hAnsi="Calibri" w:cs="Calibri"/>
          <w:sz w:val="22"/>
          <w:szCs w:val="22"/>
        </w:rPr>
        <w:t xml:space="preserve"> </w:t>
      </w:r>
      <w:hyperlink w:anchor="_Legislation" w:history="1">
        <w:r w:rsidR="00CB5556" w:rsidRPr="00CB5556">
          <w:rPr>
            <w:rStyle w:val="Hyperlink"/>
            <w:rFonts w:ascii="Calibri" w:hAnsi="Calibri" w:cs="Calibri"/>
            <w:sz w:val="22"/>
            <w:szCs w:val="22"/>
          </w:rPr>
          <w:t>Chapter</w:t>
        </w:r>
      </w:hyperlink>
      <w:r w:rsidR="00CB5556" w:rsidRPr="00CB5556">
        <w:rPr>
          <w:rStyle w:val="Hyperlink"/>
          <w:rFonts w:ascii="Calibri" w:hAnsi="Calibri" w:cs="Calibri"/>
          <w:sz w:val="22"/>
          <w:szCs w:val="22"/>
        </w:rPr>
        <w:t xml:space="preserve"> 3.8</w:t>
      </w:r>
      <w:r w:rsidRPr="00CB5556">
        <w:rPr>
          <w:rFonts w:ascii="Calibri" w:hAnsi="Calibri" w:cs="Calibri"/>
          <w:sz w:val="22"/>
          <w:szCs w:val="22"/>
        </w:rPr>
        <w:t>, such</w:t>
      </w:r>
      <w:r w:rsidRPr="006720E4">
        <w:rPr>
          <w:rFonts w:ascii="Calibri" w:hAnsi="Calibri" w:cs="Calibri"/>
          <w:sz w:val="22"/>
          <w:szCs w:val="22"/>
        </w:rPr>
        <w:t xml:space="preserve"> strategies are aimed at reducing the potential influence of competing interests on decision-making and the fulfilment of primary duties. </w:t>
      </w:r>
    </w:p>
    <w:p w14:paraId="6C3B18F0" w14:textId="26047AE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Specific procedures and standards are in place for the determination of death by neurological criteria, which include a requirement for two medical practitioners to confirm the diagnosis of death. These measures ensure there are clear standards for the determination of death by neurological criteria irrespective of whether donation is a possibility. The requirement for two medical practitioners to independently confirm the diagnosis also acts as safeguard to ensure the clinical diagnosis is appropriate.</w:t>
      </w:r>
    </w:p>
    <w:p w14:paraId="3238A640" w14:textId="2222FA1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Diagnosis of death using circulatory criteria is less clinically complex than that using neurological criteria and is the most commonly used method for determination of death. However, additional safeguards are needed to ensure that potential or perceived conflicts of interest relating to donation after circulatory determination of death are managed. This is especially the case when organ donation following circulatory determination of death is considered, because the duration of time that is used to make a diagnosis of death following the cessation of circulation may negatively impact the chance of organs being successfully retrieved for use in transplantation. </w:t>
      </w:r>
    </w:p>
    <w:p w14:paraId="424EB0DA" w14:textId="43C8866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ANZICS provides clear guidance regarding the clinical standards for the determination of death following cessation of circulation when organ donation is considered. These include the requirement for a period of observation following cessation of circulation before death is declared and organ donation can proceed, in circumstances where a decision has been made to cease or not to initiate interventions that may restore or sustain cardiorespiratory functions.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{"citationItems":[{"id":"ITEM-1","itemData":{"DOI":"10.1007/s00134-014-3242-7","ISBN":"0013401432","ISSN":"14321238","PMID":"24664151","abstract":"Introduction and Methods: This report summarizes the results of the first phase in the development of international guidelines for death determination, focusing on the biology of death and the dying process, developed by an invitational forum of international content experts and representatives of a number of professional societies. Results and Conclusions: Precise terminology was developed in order to improve clarity in death discussion and debate. Critical events in the physiological sequences leading to cessation of neurological and/or circulatory function were constructed. It was agreed that death determination is primarily clinical and recommendations for preconditions, confounding factors, minimum clinical standards and additional testing were made. A single operational definition of human death was developed: 'the permanent loss of capacity for consciousness and all brainstem functions, as a consequence of permanent cessation of circulation or catastrophic brain injury'. In order to complete the project, in the next phase, a broader group of international stakeholders will develop clinical practice guidelines, based on comprehensive reviews and grading of the existing evidence. © 2014 Springer-Verlag Berlin Heidelberg and ESICM.","author":[{"dropping-particle":"","family":"Shemie","given":"Sam D.","non-dropping-particle":"","parse-names":false,"suffix":""},{"dropping-particle":"","family":"Hornby","given":"Laura","non-dropping-particle":"","parse-names":false,"suffix":""},{"dropping-particle":"","family":"Baker","given":"Andrew","non-dropping-particle":"","parse-names":false,"suffix":""},{"dropping-particle":"","family":"Teitelbaum","given":"Jeanne","non-dropping-particle":"","parse-names":false,"suffix":""},{"dropping-particle":"","family":"Torrance","given":"Sylvia","non-dropping-particle":"","parse-names":false,"suffix":""},{"dropping-particle":"","family":"Young","given":"Kimberly","non-dropping-particle":"","parse-names":false,"suffix":""},{"dropping-particle":"","family":"Capron","given":"Alexander M.","non-dropping-particle":"","parse-names":false,"suffix":""},{"dropping-particle":"","family":"Bernat","given":"James L.","non-dropping-particle":"","parse-names":false,"suffix":""},{"dropping-particle":"","family":"Noel","given":"Luc","non-dropping-particle":"","parse-names":false,"suffix":""}],"container-title":"Intensive Care Medicine","id":"ITEM-1","issue":"6","issued":{"date-parts":[["2014"]]},"page":"788-797","title":"International guideline development for the determination of death","type":"article-journal","volume":"40"},"uris":["http://www.mendeley.com/documents/?uuid=c146106d-7177-4996-9fc3-114b20c3d641"]}],"mendeley":{"formattedCitation":"(169)","plainTextFormattedCitation":"(169)","previouslyFormattedCitation":"(169)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(169)</w:t>
      </w:r>
      <w:r w:rsidRPr="006720E4">
        <w:rPr>
          <w:rFonts w:ascii="Calibri" w:hAnsi="Calibri" w:cs="Calibri"/>
          <w:sz w:val="22"/>
          <w:szCs w:val="22"/>
        </w:rPr>
        <w:fldChar w:fldCharType="end"/>
      </w:r>
      <w:r w:rsidRPr="006720E4">
        <w:rPr>
          <w:rFonts w:ascii="Calibri" w:hAnsi="Calibri" w:cs="Calibri"/>
          <w:sz w:val="22"/>
          <w:szCs w:val="22"/>
        </w:rPr>
        <w:t xml:space="preserve"> Other guidelines of relevance are noted in the further resources for this chapter in </w:t>
      </w:r>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p>
    <w:p w14:paraId="5FE37F99" w14:textId="6FDC5423" w:rsidR="006C6EBA" w:rsidRPr="006720E4" w:rsidRDefault="006C6EBA" w:rsidP="00EA22AE">
      <w:pPr>
        <w:pStyle w:val="Heading2"/>
        <w:spacing w:after="120"/>
      </w:pPr>
      <w:bookmarkStart w:id="4791" w:name="_Management_of_potential"/>
      <w:bookmarkStart w:id="4792" w:name="_Toc79330909"/>
      <w:bookmarkStart w:id="4793" w:name="_Toc79331289"/>
      <w:bookmarkStart w:id="4794" w:name="_Toc79406495"/>
      <w:bookmarkStart w:id="4795" w:name="_Toc82773732"/>
      <w:bookmarkStart w:id="4796" w:name="_Toc82774085"/>
      <w:bookmarkStart w:id="4797" w:name="_Toc128314242"/>
      <w:bookmarkStart w:id="4798" w:name="_Toc135131487"/>
      <w:bookmarkEnd w:id="4791"/>
      <w:r w:rsidRPr="006720E4">
        <w:t>Management of potential conflicts of interest in deceased donation and end-of-life care</w:t>
      </w:r>
      <w:bookmarkEnd w:id="4792"/>
      <w:bookmarkEnd w:id="4793"/>
      <w:bookmarkEnd w:id="4794"/>
      <w:bookmarkEnd w:id="4795"/>
      <w:bookmarkEnd w:id="4796"/>
      <w:bookmarkEnd w:id="4797"/>
      <w:bookmarkEnd w:id="4798"/>
      <w:r w:rsidRPr="006720E4">
        <w:t xml:space="preserve"> </w:t>
      </w:r>
    </w:p>
    <w:p w14:paraId="35A2F9B5" w14:textId="4DD02602"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Separation of clinical roles and responsibilities</w:t>
      </w:r>
      <w:r w:rsidRPr="006720E4">
        <w:rPr>
          <w:rFonts w:ascii="Calibri" w:hAnsi="Calibri" w:cs="Calibri"/>
          <w:sz w:val="22"/>
          <w:szCs w:val="22"/>
        </w:rPr>
        <w:t xml:space="preserve"> with regards to end-of-life care, donation decision-making, determination of death in a potential donor and any subsequent donation or transplantation procedures is an important strategy in managing actual, potential and perceived conflicts of interest. The person or persons with clinical responsibility for the determination of death in a potential donor should not be involved in subsequent donation procedures in that individual.</w:t>
      </w:r>
    </w:p>
    <w:p w14:paraId="48526886" w14:textId="0487045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w:t>
      </w:r>
      <w:r w:rsidRPr="009760C2">
        <w:rPr>
          <w:rFonts w:ascii="Calibri" w:hAnsi="Calibri" w:cs="Calibri"/>
          <w:sz w:val="22"/>
          <w:szCs w:val="22"/>
        </w:rPr>
        <w:t xml:space="preserve">discussed in </w:t>
      </w:r>
      <w:hyperlink w:anchor="_Legislation" w:history="1">
        <w:r w:rsidR="009760C2" w:rsidRPr="009760C2">
          <w:rPr>
            <w:rStyle w:val="Hyperlink"/>
            <w:rFonts w:ascii="Calibri" w:hAnsi="Calibri" w:cs="Calibri"/>
            <w:sz w:val="22"/>
            <w:szCs w:val="22"/>
          </w:rPr>
          <w:t>Chapter 3.8</w:t>
        </w:r>
      </w:hyperlink>
      <w:r w:rsidR="009760C2" w:rsidRPr="009760C2">
        <w:rPr>
          <w:rFonts w:ascii="Calibri" w:hAnsi="Calibri" w:cs="Calibri"/>
          <w:sz w:val="22"/>
          <w:szCs w:val="22"/>
        </w:rPr>
        <w:t xml:space="preserve"> </w:t>
      </w:r>
      <w:r w:rsidRPr="009760C2">
        <w:rPr>
          <w:rFonts w:ascii="Calibri" w:hAnsi="Calibri" w:cs="Calibri"/>
          <w:sz w:val="22"/>
          <w:szCs w:val="22"/>
        </w:rPr>
        <w:t>role separation</w:t>
      </w:r>
      <w:r w:rsidRPr="006720E4">
        <w:rPr>
          <w:rFonts w:ascii="Calibri" w:hAnsi="Calibri" w:cs="Calibri"/>
          <w:sz w:val="22"/>
          <w:szCs w:val="22"/>
        </w:rPr>
        <w:t xml:space="preserve"> can help to avoid conflicts of interest, for example by ensuring that those with duties to provide optimal end-of-life care to a potential donor do not also have obligations to obtain organs for transplantation in other patients that might inappropriately influence their actions when providing end-of-life care to the potential donor. </w:t>
      </w:r>
    </w:p>
    <w:p w14:paraId="1C80B95E" w14:textId="5E83862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Role separation is particularly important where there may be a direct conflict of interest; for example, if a donation specialist who is providing care to a potential donor is also the primary physician caring for a transplant candidate who may benefit if the donation proceeds. </w:t>
      </w:r>
    </w:p>
    <w:p w14:paraId="1154191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Clear separation, definition, and disclosure of roles in particular contexts help to promote transparency and trust, and ensure that patients and their families are provided with support and advice from suitably qualified health professionals with regards to different aspects of care.</w:t>
      </w:r>
    </w:p>
    <w:p w14:paraId="6252C425" w14:textId="37E45C7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Separation of roles should not preclude a collaborative approach to care of potential donors nor continuity of care throughout the end-of-life period.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{"citationItems":[{"id":"ITEM-1","itemData":{"DOI":"10.1016/j.jcrc.2020.06.016","ISSN":"15578615","PMID":"32674003","abstract":"End-of-life (EOL) care has become an integral part of intensive care medicine and includes the exploration of possibilities for deceased organ and tissue donation. Donation physicians are specialist doctors with expertise in EOL processes encompassing organ and tissue donation, who contribute significantly to improvements in organ and tissue donation services in many countries around the world. Donation physicians are usually also intensive care physicians, and thus they may be faced with the dual obligation of caring for dying patients and their families in the intensive care unit (ICU), whilst at the same time ensuring organ and tissue donation is considered according to best practice. This dual obligation poses specific ethical challenges that need to be carefully understood by clinicians, institutions and health care networks. These obligations are complementary and provide a unique skillset to care for dying patients and their families in the ICU. In this paper we review current controversies around EOL care in the ICU, including the use of palliative analgesia and sedation specifically with regards to withdrawal of cardiorespiratory support, the usefulness of the so-called doctrine of double effect to guide ethical decision-making, and the management of potential or perceived conflicts of interest in the context of dual professional roles.","author":[{"dropping-particle":"","family":"Haren","given":"Frank M.P.","non-dropping-particle":"van","parse-names":false,"suffix":""},{"dropping-particle":"","family":"Carter","given":"Angus","non-dropping-particle":"","parse-names":false,"suffix":""},{"dropping-particle":"","family":"Cavazzoni","given":"Elena","non-dropping-particle":"","parse-names":false,"suffix":""},{"dropping-particle":"","family":"Chapman","given":"Michael","non-dropping-particle":"","parse-names":false,"suffix":""},{"dropping-particle":"","family":"D'Costa","given":"Rohit L.","non-dropping-particle":"","parse-names":false,"suffix":""},{"dropping-particle":"","family":"Jones","given":"Sarah L.","non-dropping-particle":"","parse-names":false,"suffix":""},{"dropping-particle":"","family":"McGee","given":"Andrew","non-dropping-particle":"","parse-names":false,"suffix":""},{"dropping-particle":"","family":"Moodie","given":"Stewart","non-dropping-particle":"","parse-names":false,"suffix":""},{"dropping-particle":"","family":"Nunnink","given":"Leo","non-dropping-particle":"","parse-names":false,"suffix":""},{"dropping-particle":"","family":"O'Leary","given":"Michael","non-dropping-particle":"","parse-names":false,"suffix":""},{"dropping-particle":"","family":"Opdam","given":"Helen","non-dropping-particle":"","parse-names":false,"suffix":""},{"dropping-particle":"","family":"Radford","given":"Sam","non-dropping-particle":"","parse-names":false,"suffix":""},{"dropping-particle":"","family":"Turner","given":"Andrew J.","non-dropping-particle":"","parse-names":false,"suffix":""},{"dropping-particle":"","family":"Martin","given":"Dominique","non-dropping-particle":"","parse-names":false,"suffix":""}],"container-title":"Journal of Critical Care","id":"ITEM-1","issued":{"date-parts":[["2020"]]},"page":"166-171","publisher":"Elsevier Inc.","title":"Conflicts of interest in the context of end of life care for potential organ donors in Australia","type":"article-journal","volume":"59"},"uris":["http://www.mendeley.com/documents/?uuid=2ba41984-ed5e-483a-8619-5f5df4f50388"]}],"mendeley":{"formattedCitation":"(170)","plainTextFormattedCitation":"(170)","previouslyFormattedCitation":"(170)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(170)</w:t>
      </w:r>
      <w:r w:rsidRPr="006720E4">
        <w:rPr>
          <w:rFonts w:ascii="Calibri" w:hAnsi="Calibri" w:cs="Calibri"/>
          <w:sz w:val="22"/>
          <w:szCs w:val="22"/>
        </w:rPr>
        <w:fldChar w:fldCharType="end"/>
      </w:r>
      <w:r w:rsidRPr="006720E4">
        <w:rPr>
          <w:rFonts w:ascii="Calibri" w:hAnsi="Calibri" w:cs="Calibri"/>
          <w:sz w:val="22"/>
          <w:szCs w:val="22"/>
        </w:rPr>
        <w:t xml:space="preserve"> Regardless of roles, the wellbeing of a potential donor prior to their death should always be a clinical priority in accordance with the duty of care (see </w:t>
      </w:r>
      <w:hyperlink w:anchor="_Duty_of_care" w:history="1">
        <w:r w:rsidR="009760C2" w:rsidRPr="006720E4">
          <w:rPr>
            <w:rStyle w:val="Hyperlink"/>
            <w:rFonts w:ascii="Calibri" w:hAnsi="Calibri" w:cs="Calibri"/>
            <w:sz w:val="22"/>
            <w:szCs w:val="22"/>
          </w:rPr>
          <w:t>Chapter 3.3.4.1</w:t>
        </w:r>
      </w:hyperlink>
      <w:r w:rsidR="009760C2">
        <w:rPr>
          <w:rStyle w:val="Hyperlink"/>
          <w:rFonts w:ascii="Calibri" w:hAnsi="Calibri" w:cs="Calibri"/>
          <w:sz w:val="22"/>
          <w:szCs w:val="22"/>
        </w:rPr>
        <w:t>).</w:t>
      </w:r>
    </w:p>
    <w:p w14:paraId="1C3B9BE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Of note, health professionals may play multiple different roles in different contexts. For example, a health professional who has part time duties as a donation specialist may not always be acting in a donation specialist role. Regardless of the role that a health professional is performing when providing care, they should be mindful of professional and personal interests and attitudes that may influence their approach to care.</w:t>
      </w:r>
    </w:p>
    <w:p w14:paraId="35D8CC4D" w14:textId="06E64006"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 xml:space="preserve">Separation of decision-making </w:t>
      </w:r>
      <w:r w:rsidRPr="006720E4">
        <w:rPr>
          <w:rFonts w:ascii="Calibri" w:hAnsi="Calibri" w:cs="Calibri"/>
          <w:sz w:val="22"/>
          <w:szCs w:val="22"/>
        </w:rPr>
        <w:t xml:space="preserve">is also an important element of managing potential conflicts of interest in end-of-life care of potential donors. In particular, decisions about the cessation of life sustaining interventions should be separated from decisions about deceased donation. </w:t>
      </w:r>
    </w:p>
    <w:p w14:paraId="59228894" w14:textId="4A32E2C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Although it is possible that individuals or their families may wish to discuss the potential for deceased donation when discussing a patient’s prognosis or end-of-life care, they should be encouraged to focus first on making relevant decisions about end-of-life care. Only when a decision has been made to cease or not to initiate life sustaining treatment should decision-making about deceased donation opportunities occur.</w:t>
      </w:r>
    </w:p>
    <w:p w14:paraId="1CDE711B" w14:textId="2F1172E8" w:rsidR="006C6EBA" w:rsidRPr="006720E4" w:rsidRDefault="006C6EBA" w:rsidP="00EA22AE">
      <w:pPr>
        <w:spacing w:after="120"/>
        <w:rPr>
          <w:rFonts w:ascii="Calibri" w:hAnsi="Calibri" w:cs="Calibri"/>
          <w:b/>
          <w:bCs/>
          <w:sz w:val="22"/>
          <w:szCs w:val="22"/>
        </w:rPr>
      </w:pPr>
      <w:r w:rsidRPr="006720E4">
        <w:rPr>
          <w:rFonts w:ascii="Calibri" w:hAnsi="Calibri" w:cs="Calibri"/>
          <w:sz w:val="22"/>
          <w:szCs w:val="22"/>
        </w:rPr>
        <w:t xml:space="preserve">If a decision has been made to proceed with deceased donation following a decision to cease or not to initiate life sustaining interventions, further decisions may be required about end-of-life care that may include consideration of pre-mortem interventions aimed at facilitating successful donation (see </w:t>
      </w:r>
      <w:hyperlink w:anchor="_Pre-mortem_interventions_for_1" w:history="1">
        <w:r w:rsidRPr="006720E4">
          <w:rPr>
            <w:rStyle w:val="Hyperlink"/>
            <w:rFonts w:ascii="Calibri" w:hAnsi="Calibri" w:cs="Calibri"/>
            <w:sz w:val="22"/>
            <w:szCs w:val="22"/>
          </w:rPr>
          <w:t>Chapter 1</w:t>
        </w:r>
        <w:r w:rsidR="009760C2">
          <w:rPr>
            <w:rStyle w:val="Hyperlink"/>
            <w:rFonts w:ascii="Calibri" w:hAnsi="Calibri" w:cs="Calibri"/>
            <w:sz w:val="22"/>
            <w:szCs w:val="22"/>
          </w:rPr>
          <w:t>1</w:t>
        </w:r>
        <w:r w:rsidRPr="006720E4">
          <w:rPr>
            <w:rStyle w:val="Hyperlink"/>
            <w:rFonts w:ascii="Calibri" w:hAnsi="Calibri" w:cs="Calibri"/>
            <w:sz w:val="22"/>
            <w:szCs w:val="22"/>
          </w:rPr>
          <w:t>.4</w:t>
        </w:r>
      </w:hyperlink>
      <w:r w:rsidRPr="006720E4">
        <w:rPr>
          <w:rFonts w:ascii="Calibri" w:hAnsi="Calibri" w:cs="Calibri"/>
          <w:sz w:val="22"/>
          <w:szCs w:val="22"/>
        </w:rPr>
        <w:t xml:space="preserve">). In such cases, it may not be possible or appropriate to separate decision-making about donation from general decisions about end-of-life care. </w:t>
      </w:r>
      <w:r w:rsidRPr="006720E4">
        <w:rPr>
          <w:rFonts w:ascii="Calibri" w:hAnsi="Calibri" w:cs="Calibri"/>
          <w:b/>
          <w:bCs/>
          <w:sz w:val="22"/>
          <w:szCs w:val="22"/>
        </w:rPr>
        <w:t xml:space="preserve">In all such decisions, the interests and wellbeing of the potential donor should be prioritised. </w:t>
      </w:r>
    </w:p>
    <w:p w14:paraId="5E1DBD1D" w14:textId="59CEA572" w:rsidR="0039113C"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Additional strategies to assist in managing potential conflicts of interest in end-of-life decision-making may be needed (see </w:t>
      </w:r>
      <w:hyperlink w:anchor="_Legislation" w:history="1">
        <w:r w:rsidR="009760C2" w:rsidRPr="009760C2">
          <w:rPr>
            <w:rStyle w:val="Hyperlink"/>
            <w:rFonts w:ascii="Calibri" w:hAnsi="Calibri" w:cs="Calibri"/>
            <w:sz w:val="22"/>
            <w:szCs w:val="22"/>
          </w:rPr>
          <w:t>Chapter 3.8</w:t>
        </w:r>
      </w:hyperlink>
      <w:r w:rsidR="009760C2">
        <w:rPr>
          <w:rFonts w:ascii="Calibri" w:hAnsi="Calibri" w:cs="Calibri"/>
          <w:sz w:val="22"/>
          <w:szCs w:val="22"/>
        </w:rPr>
        <w:t>).</w:t>
      </w:r>
    </w:p>
    <w:p w14:paraId="2204E263" w14:textId="77777777" w:rsidR="006C6EBA" w:rsidRPr="006720E4" w:rsidRDefault="006C6EBA" w:rsidP="00EA22AE">
      <w:pPr>
        <w:pStyle w:val="Heading2"/>
        <w:spacing w:after="120"/>
      </w:pPr>
      <w:bookmarkStart w:id="4799" w:name="_Pre-mortem_interventions_for_1"/>
      <w:bookmarkStart w:id="4800" w:name="_Toc74080813"/>
      <w:bookmarkStart w:id="4801" w:name="_Toc74081121"/>
      <w:bookmarkStart w:id="4802" w:name="_Toc74081351"/>
      <w:bookmarkStart w:id="4803" w:name="_Toc74081632"/>
      <w:bookmarkStart w:id="4804" w:name="_Toc74171182"/>
      <w:bookmarkStart w:id="4805" w:name="_Toc74172409"/>
      <w:bookmarkStart w:id="4806" w:name="_Toc74172943"/>
      <w:bookmarkStart w:id="4807" w:name="_Toc74238856"/>
      <w:bookmarkStart w:id="4808" w:name="_Toc78304809"/>
      <w:bookmarkStart w:id="4809" w:name="_Toc79330910"/>
      <w:bookmarkStart w:id="4810" w:name="_Toc79331290"/>
      <w:bookmarkStart w:id="4811" w:name="_Toc79406496"/>
      <w:bookmarkStart w:id="4812" w:name="_Toc82773733"/>
      <w:bookmarkStart w:id="4813" w:name="_Toc82774086"/>
      <w:bookmarkStart w:id="4814" w:name="_Toc128314243"/>
      <w:bookmarkStart w:id="4815" w:name="_Toc135131488"/>
      <w:bookmarkEnd w:id="4799"/>
      <w:r w:rsidRPr="006720E4">
        <w:t>Pre-mortem interventions for deceased donation</w:t>
      </w:r>
      <w:bookmarkEnd w:id="4696"/>
      <w:bookmarkEnd w:id="4697"/>
      <w:bookmarkEnd w:id="4780"/>
      <w:bookmarkEnd w:id="4781"/>
      <w:bookmarkEnd w:id="4782"/>
      <w:bookmarkEnd w:id="4783"/>
      <w:bookmarkEnd w:id="4784"/>
      <w:bookmarkEnd w:id="4785"/>
      <w:bookmarkEnd w:id="4786"/>
      <w:bookmarkEnd w:id="4787"/>
      <w:bookmarkEnd w:id="4788"/>
      <w:bookmarkEnd w:id="4789"/>
      <w:bookmarkEnd w:id="4790"/>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p>
    <w:p w14:paraId="306DC5AF" w14:textId="2D24E40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 range of interventions may occur prior to a person’s death that may help to preserve or provide opportunities for them to become a donor, or to increase the probability of donation leading to successful </w:t>
      </w:r>
      <w:r w:rsidRPr="00A87539">
        <w:rPr>
          <w:rFonts w:ascii="Calibri" w:hAnsi="Calibri" w:cs="Calibri"/>
          <w:sz w:val="22"/>
          <w:szCs w:val="22"/>
        </w:rPr>
        <w:t>transplantation (</w:t>
      </w:r>
      <w:r w:rsidR="009760C2" w:rsidRPr="00A87539">
        <w:rPr>
          <w:rFonts w:ascii="Calibri" w:hAnsi="Calibri" w:cs="Calibri"/>
          <w:sz w:val="22"/>
          <w:szCs w:val="22"/>
        </w:rPr>
        <w:t xml:space="preserve">see </w:t>
      </w:r>
      <w:hyperlink w:anchor="_Donor_Management_and" w:history="1">
        <w:r w:rsidR="009760C2" w:rsidRPr="00A87539">
          <w:rPr>
            <w:rStyle w:val="Hyperlink"/>
            <w:rFonts w:ascii="Calibri" w:hAnsi="Calibri" w:cs="Calibri"/>
            <w:sz w:val="22"/>
            <w:szCs w:val="22"/>
          </w:rPr>
          <w:t>Chapter 2.</w:t>
        </w:r>
        <w:r w:rsidR="00A87539" w:rsidRPr="00A87539">
          <w:rPr>
            <w:rStyle w:val="Hyperlink"/>
            <w:rFonts w:ascii="Calibri" w:hAnsi="Calibri" w:cs="Calibri"/>
            <w:sz w:val="22"/>
            <w:szCs w:val="22"/>
          </w:rPr>
          <w:t>4.5</w:t>
        </w:r>
      </w:hyperlink>
      <w:r w:rsidRPr="00A87539">
        <w:rPr>
          <w:rFonts w:ascii="Calibri" w:hAnsi="Calibri" w:cs="Calibri"/>
          <w:sz w:val="22"/>
          <w:szCs w:val="22"/>
        </w:rPr>
        <w:t>). These are particularly</w:t>
      </w:r>
      <w:r w:rsidRPr="006720E4">
        <w:rPr>
          <w:rFonts w:ascii="Calibri" w:hAnsi="Calibri" w:cs="Calibri"/>
          <w:sz w:val="22"/>
          <w:szCs w:val="22"/>
        </w:rPr>
        <w:t xml:space="preserve"> important in the context of organ donation after circulatory determination of death but may also be relevant in other donation contexts.</w:t>
      </w:r>
    </w:p>
    <w:p w14:paraId="7E459C9E" w14:textId="1F6C379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Pre-mortem interventions for donation are considered non-therapeutic interventions, meaning that their primary purpose is to facilitate donation, not to restore or enhance the health of the potential donor. These interventions may cause uncertainty or ethical concern regarding consent, privacy (see notification of potential deceased donors in </w:t>
      </w:r>
      <w:hyperlink w:anchor="_Deceased_donation_"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.5</w:t>
        </w:r>
      </w:hyperlink>
      <w:r w:rsidRPr="006720E4">
        <w:rPr>
          <w:rFonts w:ascii="Calibri" w:hAnsi="Calibri" w:cs="Calibri"/>
          <w:sz w:val="22"/>
          <w:szCs w:val="22"/>
        </w:rPr>
        <w:t xml:space="preserve">), conflicts of interest in decision-making (see </w:t>
      </w:r>
      <w:hyperlink w:anchor="_Conflicts_of_interest_3"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.2.2</w:t>
        </w:r>
      </w:hyperlink>
      <w:r w:rsidRPr="006720E4">
        <w:rPr>
          <w:rFonts w:ascii="Calibri" w:hAnsi="Calibri" w:cs="Calibri"/>
          <w:sz w:val="22"/>
          <w:szCs w:val="22"/>
        </w:rPr>
        <w:t xml:space="preserve"> and </w:t>
      </w:r>
      <w:hyperlink w:anchor="_Management_of_potential"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.3</w:t>
        </w:r>
      </w:hyperlink>
      <w:r w:rsidRPr="006720E4">
        <w:rPr>
          <w:rFonts w:ascii="Calibri" w:hAnsi="Calibri" w:cs="Calibri"/>
          <w:sz w:val="22"/>
          <w:szCs w:val="22"/>
        </w:rPr>
        <w:t xml:space="preserve">), proportionality of risks and potential benefits, and equity of opportunity for donation. There may also be legal uncertainty regarding some interventions in some jurisdictions (see </w:t>
      </w:r>
      <w:hyperlink w:anchor="_Legal_aspects_of_2"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.4.1</w:t>
        </w:r>
      </w:hyperlink>
      <w:r w:rsidRPr="006720E4">
        <w:rPr>
          <w:rFonts w:ascii="Calibri" w:hAnsi="Calibri" w:cs="Calibri"/>
          <w:sz w:val="22"/>
          <w:szCs w:val="22"/>
        </w:rPr>
        <w:t xml:space="preserve">). </w:t>
      </w:r>
    </w:p>
    <w:p w14:paraId="4F9655A1" w14:textId="7807D1D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Some pre-mortem interventions may involve minimal burdens or risks to the potential donor. For example, blood tests may be taken to determine eligibility for deceased donation (e.g., screening for infectious disease and tissue typing)</w:t>
      </w:r>
      <w:r w:rsidR="00BF3C95">
        <w:rPr>
          <w:rFonts w:ascii="Calibri" w:hAnsi="Calibri" w:cs="Calibri"/>
          <w:sz w:val="22"/>
          <w:szCs w:val="22"/>
        </w:rPr>
        <w:t>, or physiotherapy may be used to preserve the quality of lungs in an intended donor</w:t>
      </w:r>
      <w:r w:rsidRPr="006720E4">
        <w:rPr>
          <w:rFonts w:ascii="Calibri" w:hAnsi="Calibri" w:cs="Calibri"/>
          <w:sz w:val="22"/>
          <w:szCs w:val="22"/>
        </w:rPr>
        <w:t>. The more invasive and potentially burdensome the intervention, the more concern there may be to ensure that decisions are being made in the interests of the potential donor. Regardless of which type of intervention is concerned, decision-making about pre-mortem interventions for the purpose of donation, like all end-of-life care decisions, should prioritise the interests of the individual as the patient to whom is owed a primary duty of care.</w:t>
      </w:r>
      <w:bookmarkStart w:id="4816" w:name="_Toc70414983"/>
      <w:bookmarkStart w:id="4817" w:name="_Toc70844308"/>
      <w:bookmarkStart w:id="4818" w:name="_Toc72615249"/>
      <w:bookmarkStart w:id="4819" w:name="_Toc73129973"/>
      <w:bookmarkStart w:id="4820" w:name="_Toc73301846"/>
      <w:bookmarkStart w:id="4821" w:name="_Toc73302352"/>
      <w:bookmarkStart w:id="4822" w:name="_Toc73303485"/>
      <w:bookmarkStart w:id="4823" w:name="_Toc73303694"/>
    </w:p>
    <w:p w14:paraId="555FE19F" w14:textId="093BBB29" w:rsidR="006C6EBA" w:rsidRPr="006720E4" w:rsidRDefault="006C6EBA" w:rsidP="00EA22AE">
      <w:pPr>
        <w:pStyle w:val="Heading3"/>
        <w:spacing w:after="120"/>
      </w:pPr>
      <w:bookmarkStart w:id="4824" w:name="_Legal_aspects_of_2"/>
      <w:bookmarkStart w:id="4825" w:name="_Toc74080814"/>
      <w:bookmarkStart w:id="4826" w:name="_Toc74081122"/>
      <w:bookmarkStart w:id="4827" w:name="_Toc74081352"/>
      <w:bookmarkStart w:id="4828" w:name="_Toc74081633"/>
      <w:bookmarkStart w:id="4829" w:name="_Toc74171183"/>
      <w:bookmarkStart w:id="4830" w:name="_Toc74172410"/>
      <w:bookmarkStart w:id="4831" w:name="_Toc74172944"/>
      <w:bookmarkStart w:id="4832" w:name="_Toc74238857"/>
      <w:bookmarkStart w:id="4833" w:name="_Toc79406497"/>
      <w:bookmarkStart w:id="4834" w:name="_Toc82773734"/>
      <w:bookmarkStart w:id="4835" w:name="_Toc82774087"/>
      <w:bookmarkEnd w:id="4824"/>
      <w:r w:rsidRPr="006720E4">
        <w:t>Legal aspects of pre-mortem interventions for deceased donation</w:t>
      </w:r>
      <w:bookmarkEnd w:id="4816"/>
      <w:bookmarkEnd w:id="4817"/>
      <w:bookmarkEnd w:id="4818"/>
      <w:bookmarkEnd w:id="4819"/>
      <w:bookmarkEnd w:id="4820"/>
      <w:bookmarkEnd w:id="4821"/>
      <w:bookmarkEnd w:id="4822"/>
      <w:bookmarkEnd w:id="4823"/>
      <w:bookmarkEnd w:id="4825"/>
      <w:bookmarkEnd w:id="4826"/>
      <w:bookmarkEnd w:id="4827"/>
      <w:bookmarkEnd w:id="4828"/>
      <w:bookmarkEnd w:id="4829"/>
      <w:bookmarkEnd w:id="4830"/>
      <w:bookmarkEnd w:id="4831"/>
      <w:bookmarkEnd w:id="4832"/>
      <w:bookmarkEnd w:id="4833"/>
      <w:bookmarkEnd w:id="4834"/>
      <w:bookmarkEnd w:id="4835"/>
    </w:p>
    <w:p w14:paraId="5A5F6C53" w14:textId="4C7FB91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a person is competent, they may directly consent to pre-mortem interventions (see </w:t>
      </w:r>
      <w:hyperlink w:anchor="_Deceased_donation_by"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.6</w:t>
        </w:r>
      </w:hyperlink>
      <w:r w:rsidRPr="006720E4">
        <w:rPr>
          <w:rFonts w:ascii="Calibri" w:hAnsi="Calibri" w:cs="Calibri"/>
          <w:sz w:val="22"/>
          <w:szCs w:val="22"/>
        </w:rPr>
        <w:t xml:space="preserve">). However most decision-making about pre-mortem interventions for deceased donation involves </w:t>
      </w:r>
      <w:hyperlink w:anchor="_Glossary_2" w:history="1">
        <w:r w:rsidRPr="006720E4">
          <w:rPr>
            <w:rStyle w:val="Hyperlink"/>
            <w:rFonts w:ascii="Calibri" w:hAnsi="Calibri" w:cs="Calibri"/>
            <w:sz w:val="22"/>
            <w:szCs w:val="22"/>
          </w:rPr>
          <w:t>substitute decision-makers</w:t>
        </w:r>
      </w:hyperlink>
      <w:r w:rsidRPr="006720E4">
        <w:rPr>
          <w:rFonts w:ascii="Calibri" w:hAnsi="Calibri" w:cs="Calibri"/>
          <w:sz w:val="22"/>
          <w:szCs w:val="22"/>
        </w:rPr>
        <w:t>, at a time when the potential donor is critically ill and unable to make decisions on their own behalf. The law in most of Australia</w:t>
      </w:r>
      <w:r w:rsidR="00FE7CF8">
        <w:rPr>
          <w:rFonts w:ascii="Calibri" w:hAnsi="Calibri" w:cs="Calibri"/>
          <w:sz w:val="22"/>
          <w:szCs w:val="22"/>
        </w:rPr>
        <w:t xml:space="preserve"> (with the exception of Victoria)</w:t>
      </w:r>
      <w:r w:rsidRPr="006720E4">
        <w:rPr>
          <w:rFonts w:ascii="Calibri" w:hAnsi="Calibri" w:cs="Calibri"/>
          <w:sz w:val="22"/>
          <w:szCs w:val="22"/>
        </w:rPr>
        <w:t xml:space="preserve"> is unclear regarding whether substitute decision-makers are able to lawfully consent to </w:t>
      </w:r>
      <w:hyperlink w:anchor="_Glossary_2" w:history="1">
        <w:r w:rsidRPr="006720E4">
          <w:rPr>
            <w:rStyle w:val="Hyperlink"/>
            <w:rFonts w:ascii="Calibri" w:hAnsi="Calibri" w:cs="Calibri"/>
            <w:sz w:val="22"/>
            <w:szCs w:val="22"/>
          </w:rPr>
          <w:t>pre-mortem interventions</w:t>
        </w:r>
      </w:hyperlink>
      <w:r w:rsidRPr="006720E4">
        <w:rPr>
          <w:rFonts w:ascii="Calibri" w:hAnsi="Calibri" w:cs="Calibri"/>
          <w:sz w:val="22"/>
          <w:szCs w:val="22"/>
        </w:rPr>
        <w:t xml:space="preserve"> which are non-therapeutic in nature and predominantly aimed at improving the chances of a person successfully donating organs after their death. </w:t>
      </w:r>
    </w:p>
    <w:p w14:paraId="19CB84A5" w14:textId="5A60B73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means that in some circumstances there may no specific legal directives regarding the requirements for obtaining legally valid consent to specific interventions. In New South Wales substitute decision-making legislation has been interpreted as preventing a substitute decision-maker from lawfully consenting in these circumstances. </w:t>
      </w:r>
    </w:p>
    <w:p w14:paraId="2FAC7546" w14:textId="6DE9EAA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contrast Victoria recently amended their human tissue legislation to clarify pre-mortem interventions (called ‘Ante-mortem procedures’ in the legislation) are lawful. The legislation allows a  designated </w:t>
      </w:r>
      <w:r w:rsidRPr="009760C2">
        <w:rPr>
          <w:rFonts w:ascii="Calibri" w:hAnsi="Calibri" w:cs="Calibri"/>
          <w:sz w:val="22"/>
          <w:szCs w:val="22"/>
        </w:rPr>
        <w:t xml:space="preserve">officer (see </w:t>
      </w:r>
      <w:hyperlink w:anchor="_Consent_for_deceased_2" w:history="1">
        <w:r w:rsidRPr="009760C2">
          <w:rPr>
            <w:rStyle w:val="Hyperlink"/>
            <w:rFonts w:ascii="Calibri" w:hAnsi="Calibri" w:cs="Calibri"/>
            <w:sz w:val="22"/>
            <w:szCs w:val="22"/>
          </w:rPr>
          <w:t xml:space="preserve">Chapter </w:t>
        </w:r>
        <w:r w:rsidR="009760C2" w:rsidRPr="009760C2">
          <w:rPr>
            <w:rStyle w:val="Hyperlink"/>
            <w:rFonts w:ascii="Calibri" w:hAnsi="Calibri" w:cs="Calibri"/>
            <w:sz w:val="22"/>
            <w:szCs w:val="22"/>
          </w:rPr>
          <w:t>4</w:t>
        </w:r>
        <w:r w:rsidRPr="009760C2">
          <w:rPr>
            <w:rStyle w:val="Hyperlink"/>
            <w:rFonts w:ascii="Calibri" w:hAnsi="Calibri" w:cs="Calibri"/>
            <w:sz w:val="22"/>
            <w:szCs w:val="22"/>
          </w:rPr>
          <w:t>.4.1</w:t>
        </w:r>
      </w:hyperlink>
      <w:r w:rsidRPr="009760C2">
        <w:rPr>
          <w:rFonts w:ascii="Calibri" w:hAnsi="Calibri" w:cs="Calibri"/>
          <w:sz w:val="22"/>
          <w:szCs w:val="22"/>
        </w:rPr>
        <w:t>) to authorise</w:t>
      </w:r>
      <w:r w:rsidRPr="006720E4">
        <w:rPr>
          <w:rFonts w:ascii="Calibri" w:hAnsi="Calibri" w:cs="Calibri"/>
          <w:sz w:val="22"/>
          <w:szCs w:val="22"/>
        </w:rPr>
        <w:t xml:space="preserve"> these interventions including where a substitute decision-maker has consented to those interventions. </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{"citationItems":[{"id":"ITEM-1","itemData":{"author":[{"dropping-particle":"","family":"Victoria","given":"State of","non-dropping-particle":"","parse-names":false,"suffix":""}],"id":"ITEM-1","issued":{"date-parts":[["2021"]]},"title":"Human Tissue Act1982 - Amendments","type":"report"},"uris":["http://www.mendeley.com/documents/?uuid=0c2593c8-78bf-410f-a46c-b7664f28a7d9"]}],"mendeley":{"formattedCitation":"(171)","plainTextFormattedCitation":"(171)","previouslyFormattedCitation":"(171)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(171)</w:t>
      </w:r>
      <w:r w:rsidRPr="006720E4">
        <w:rPr>
          <w:rFonts w:ascii="Calibri" w:hAnsi="Calibri" w:cs="Calibri"/>
          <w:sz w:val="22"/>
          <w:szCs w:val="22"/>
        </w:rPr>
        <w:fldChar w:fldCharType="end"/>
      </w:r>
    </w:p>
    <w:p w14:paraId="6CD8F719" w14:textId="4F9A63A8" w:rsidR="00A15F8A" w:rsidRDefault="006C6EBA" w:rsidP="00EA22AE">
      <w:pPr>
        <w:spacing w:after="120"/>
        <w:rPr>
          <w:rFonts w:ascii="Calibri" w:hAnsi="Calibri" w:cs="Calibri"/>
          <w:sz w:val="22"/>
          <w:szCs w:val="22"/>
        </w:rPr>
      </w:pPr>
      <w:r w:rsidRPr="006720E4">
        <w:rPr>
          <w:rFonts w:ascii="Calibri" w:hAnsi="Calibri" w:cs="Calibri"/>
          <w:sz w:val="22"/>
          <w:szCs w:val="22"/>
        </w:rPr>
        <w:t>Legislative amendments to provide clarity regarding consent for pre-mortem interventions for deceased donation in every jurisdiction are strongly recommended.</w:t>
      </w:r>
      <w:r w:rsidR="00A15F8A">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0000000000004591","ISBN":"0000000000","author":[{"dropping-particle":"","family":"Then","given":"Shih-ning","non-dropping-particle":"","parse-names":false,"suffix":""},{"dropping-particle":"","family":"Martin","given":"Dominique E","non-dropping-particle":"","parse-names":false,"suffix":""},{"dropping-particle":"","family":"Mcgee","given":"Andrew","non-dropping-particle":"","parse-names":false,"suffix":""},{"dropping-particle":"","family":"Gardiner","given":"Dale","non-dropping-particle":"","parse-names":false,"suffix":""},{"dropping-particle":"El","family":"Moslemani","given":"Nadia","non-dropping-particle":"","parse-names":false,"suffix":""}],"id":"ITEM-1","issue":"00","issued":{"date-parts":[["2023"]]},"page":"1-9","title":"Decision-making About Premortem Interventions for Donation : Navigating Legal and Ethical Complexities","type":"article-journal","volume":"00"},"uris":["http://www.mendeley.com/documents/?uuid=979bc462-5797-4d22-8cf2-a8cb68b22806"]}],"mendeley":{"formattedCitation":"(172)","plainTextFormattedCitation":"(172)","previouslyFormattedCitation":"(172)"},"properties":{"noteIndex":0},"schema":"https://github.com/citation-style-language/schema/raw/master/csl-citation.json"}</w:instrText>
      </w:r>
      <w:r w:rsidR="00A15F8A">
        <w:rPr>
          <w:rFonts w:ascii="Calibri" w:hAnsi="Calibri" w:cs="Calibri"/>
          <w:sz w:val="22"/>
          <w:szCs w:val="22"/>
        </w:rPr>
        <w:fldChar w:fldCharType="separate"/>
      </w:r>
      <w:r w:rsidR="00BA3D76" w:rsidRPr="00BA3D76">
        <w:rPr>
          <w:rFonts w:ascii="Calibri" w:hAnsi="Calibri" w:cs="Calibri"/>
          <w:noProof/>
          <w:sz w:val="22"/>
          <w:szCs w:val="22"/>
        </w:rPr>
        <w:t>(172)</w:t>
      </w:r>
      <w:r w:rsidR="00A15F8A">
        <w:rPr>
          <w:rFonts w:ascii="Calibri" w:hAnsi="Calibri" w:cs="Calibri"/>
          <w:sz w:val="22"/>
          <w:szCs w:val="22"/>
        </w:rPr>
        <w:fldChar w:fldCharType="end"/>
      </w:r>
      <w:r w:rsidRPr="006720E4">
        <w:rPr>
          <w:rFonts w:ascii="Calibri" w:hAnsi="Calibri" w:cs="Calibri"/>
          <w:sz w:val="22"/>
          <w:szCs w:val="22"/>
        </w:rPr>
        <w:t xml:space="preserve"> Where legal uncertainty is present, health professionals and organi</w:t>
      </w:r>
      <w:r w:rsidR="00B40543">
        <w:rPr>
          <w:rFonts w:ascii="Calibri" w:hAnsi="Calibri" w:cs="Calibri"/>
          <w:sz w:val="22"/>
          <w:szCs w:val="22"/>
        </w:rPr>
        <w:t>s</w:t>
      </w:r>
      <w:r w:rsidRPr="006720E4">
        <w:rPr>
          <w:rFonts w:ascii="Calibri" w:hAnsi="Calibri" w:cs="Calibri"/>
          <w:sz w:val="22"/>
          <w:szCs w:val="22"/>
        </w:rPr>
        <w:t>ations should seek legal advice when establishing policies or protocols regarding use of pre-mortem interventions. At a minimum, when making a decision about potential pre-mortem interventions, health professionals should always obtain consent from the potential donor’s substitute decision-maker.</w:t>
      </w:r>
    </w:p>
    <w:p w14:paraId="061BD547" w14:textId="5A8C743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Substitute decision-makers should apply the approach </w:t>
      </w:r>
      <w:r w:rsidRPr="009760C2">
        <w:rPr>
          <w:rFonts w:ascii="Calibri" w:hAnsi="Calibri" w:cs="Calibri"/>
          <w:sz w:val="22"/>
          <w:szCs w:val="22"/>
        </w:rPr>
        <w:t xml:space="preserve">outlined in </w:t>
      </w:r>
      <w:hyperlink w:anchor="_Approach_to_substitute" w:history="1">
        <w:r w:rsidRPr="009760C2">
          <w:rPr>
            <w:rStyle w:val="Hyperlink"/>
            <w:rFonts w:ascii="Calibri" w:hAnsi="Calibri" w:cs="Calibri"/>
            <w:sz w:val="22"/>
            <w:szCs w:val="22"/>
          </w:rPr>
          <w:t xml:space="preserve">Chapter </w:t>
        </w:r>
        <w:r w:rsidR="009760C2" w:rsidRPr="009760C2">
          <w:rPr>
            <w:rStyle w:val="Hyperlink"/>
            <w:rFonts w:ascii="Calibri" w:hAnsi="Calibri" w:cs="Calibri"/>
            <w:sz w:val="22"/>
            <w:szCs w:val="22"/>
          </w:rPr>
          <w:t>4</w:t>
        </w:r>
        <w:r w:rsidRPr="009760C2">
          <w:rPr>
            <w:rStyle w:val="Hyperlink"/>
            <w:rFonts w:ascii="Calibri" w:hAnsi="Calibri" w:cs="Calibri"/>
            <w:sz w:val="22"/>
            <w:szCs w:val="22"/>
          </w:rPr>
          <w:t>.4.2.2</w:t>
        </w:r>
      </w:hyperlink>
      <w:r w:rsidRPr="009760C2">
        <w:rPr>
          <w:rFonts w:ascii="Calibri" w:hAnsi="Calibri" w:cs="Calibri"/>
          <w:sz w:val="22"/>
          <w:szCs w:val="22"/>
        </w:rPr>
        <w:t xml:space="preserve"> and </w:t>
      </w:r>
      <w:hyperlink w:anchor="_Adults_lacking_decision-making" w:history="1">
        <w:r w:rsidRPr="009760C2">
          <w:rPr>
            <w:rStyle w:val="Hyperlink"/>
            <w:rFonts w:ascii="Calibri" w:hAnsi="Calibri" w:cs="Calibri"/>
            <w:sz w:val="22"/>
            <w:szCs w:val="22"/>
          </w:rPr>
          <w:t xml:space="preserve">Chapter </w:t>
        </w:r>
        <w:r w:rsidR="009760C2" w:rsidRPr="009760C2">
          <w:rPr>
            <w:rStyle w:val="Hyperlink"/>
            <w:rFonts w:ascii="Calibri" w:hAnsi="Calibri" w:cs="Calibri"/>
            <w:sz w:val="22"/>
            <w:szCs w:val="22"/>
          </w:rPr>
          <w:t>5</w:t>
        </w:r>
        <w:r w:rsidRPr="009760C2">
          <w:rPr>
            <w:rStyle w:val="Hyperlink"/>
            <w:rFonts w:ascii="Calibri" w:hAnsi="Calibri" w:cs="Calibri"/>
            <w:sz w:val="22"/>
            <w:szCs w:val="22"/>
          </w:rPr>
          <w:t>.3.2</w:t>
        </w:r>
      </w:hyperlink>
      <w:r w:rsidRPr="009760C2">
        <w:rPr>
          <w:rFonts w:ascii="Calibri" w:hAnsi="Calibri" w:cs="Calibri"/>
          <w:sz w:val="22"/>
          <w:szCs w:val="22"/>
        </w:rPr>
        <w:t xml:space="preserve"> with regards to use</w:t>
      </w:r>
      <w:r w:rsidRPr="006720E4">
        <w:rPr>
          <w:rFonts w:ascii="Calibri" w:hAnsi="Calibri" w:cs="Calibri"/>
          <w:sz w:val="22"/>
          <w:szCs w:val="22"/>
        </w:rPr>
        <w:t xml:space="preserve"> of substituted judgement to make decisions on behalf of individuals who are unable to make their own decisions. Where it is not possible to determine the likely preferences of the individual with regards to use of pre-mortem interventions, substitute decision-makers should generally use a best interests approach to decision-making. </w:t>
      </w:r>
      <w:bookmarkStart w:id="4836" w:name="_Preserving_opportunities_for"/>
      <w:bookmarkStart w:id="4837" w:name="_Toc70414984"/>
      <w:bookmarkStart w:id="4838" w:name="_Toc70844309"/>
      <w:bookmarkStart w:id="4839" w:name="_Toc72615250"/>
      <w:bookmarkStart w:id="4840" w:name="_Toc73129974"/>
      <w:bookmarkStart w:id="4841" w:name="_Toc73301847"/>
      <w:bookmarkStart w:id="4842" w:name="_Toc73302353"/>
      <w:bookmarkStart w:id="4843" w:name="_Toc73303486"/>
      <w:bookmarkStart w:id="4844" w:name="_Toc73303695"/>
      <w:bookmarkStart w:id="4845" w:name="_Toc74080815"/>
      <w:bookmarkStart w:id="4846" w:name="_Toc74081123"/>
      <w:bookmarkStart w:id="4847" w:name="_Toc74081353"/>
      <w:bookmarkStart w:id="4848" w:name="_Toc74081634"/>
      <w:bookmarkStart w:id="4849" w:name="_Toc74171184"/>
      <w:bookmarkStart w:id="4850" w:name="_Toc74172411"/>
      <w:bookmarkStart w:id="4851" w:name="_Toc74172945"/>
      <w:bookmarkStart w:id="4852" w:name="_Toc74238858"/>
      <w:bookmarkEnd w:id="4836"/>
    </w:p>
    <w:p w14:paraId="74D1A5E9" w14:textId="77777777" w:rsidR="006C6EBA" w:rsidRPr="006720E4" w:rsidRDefault="006C6EBA" w:rsidP="00EA22AE">
      <w:pPr>
        <w:pStyle w:val="Heading3"/>
        <w:spacing w:after="120"/>
      </w:pPr>
      <w:bookmarkStart w:id="4853" w:name="_Preserving_opportunities_for_1"/>
      <w:bookmarkStart w:id="4854" w:name="_Toc79406498"/>
      <w:bookmarkStart w:id="4855" w:name="_Toc82773735"/>
      <w:bookmarkStart w:id="4856" w:name="_Toc82774088"/>
      <w:bookmarkEnd w:id="4853"/>
      <w:r w:rsidRPr="006720E4">
        <w:t>Preserving opportunities for deceased donation and facilitating successful donation</w:t>
      </w:r>
      <w:bookmarkEnd w:id="4854"/>
      <w:bookmarkEnd w:id="4855"/>
      <w:bookmarkEnd w:id="4856"/>
    </w:p>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p w14:paraId="29D6C06D" w14:textId="347F159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pre-mortem interventions may be aimed at preserving opportunities for deceased donation, including interventions that may simply provide time for appropriate individuals to make a decision about donation. </w:t>
      </w:r>
    </w:p>
    <w:p w14:paraId="2EA0D4E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example, in some cases when a person has suffered a critical illness or injury and it is expected that they will not survive, temporary provision of life sustaining treatment may preserve the individual’s organ functions for long enough for a decision to be made about deceased organ donation if this is a possibility. If a decision is made in favour of donation, then continuation of treatment may be necessary for donation to take place successfully.</w:t>
      </w:r>
    </w:p>
    <w:p w14:paraId="6B14DB2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key example of such interventions is that of “elective ventilation” which refers to initiation of intubation and mechanical ventilation of a person for the purpose of facilitating organ donation, rather than for the purpose of providing a therapeutic benefit to that person.</w:t>
      </w:r>
    </w:p>
    <w:p w14:paraId="1A27CE85" w14:textId="0A6C9EA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a highly invasive procedure, such non-therapeutic mechanical ventilation may be deemed unduly burdensome when it is not clinically beneficial for the person who is ventilated. Given the potential for conflicts of interest to influence decision-making (see </w:t>
      </w:r>
      <w:hyperlink w:anchor="_Management_of_potential"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.3</w:t>
        </w:r>
      </w:hyperlink>
      <w:r w:rsidRPr="006720E4">
        <w:rPr>
          <w:rFonts w:ascii="Calibri" w:hAnsi="Calibri" w:cs="Calibri"/>
          <w:sz w:val="22"/>
          <w:szCs w:val="22"/>
        </w:rPr>
        <w:t xml:space="preserve">), there may be substantial concerns about substitute decision-makers approving burdensome non-therapeutic interventions that are solely aimed at supporting deceased donation. The potential donor in such cases may be regarded as vulnerable to harmful exploitation, and at risk of having their dignity violated; that is, at risk of being treated merely as a means to achieving the goals of others. However, without elective ventilation, a person with a strong wish to donate may never have the chance to realise this important goal. </w:t>
      </w:r>
    </w:p>
    <w:p w14:paraId="042A8116" w14:textId="040FEB4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Several interventions may be considered in potential deceased donors that aim to increase the probability of successfully retrieving organs and tissues for transplantation after death. The potential burdens, risks, and benefits of these interventions must be carefully considered in the context of the individual. Some interventions may also impact the family of a potential donor, for example, when the donation protocol influences the location in which death occurs or limits the ability of the family to be present with the potential donor throughout the dying process.</w:t>
      </w:r>
    </w:p>
    <w:p w14:paraId="6DA6E861" w14:textId="7DCCB99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noted in </w:t>
      </w:r>
      <w:hyperlink w:anchor="_Legal_aspects_of_2"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.4.1</w:t>
        </w:r>
      </w:hyperlink>
      <w:r w:rsidRPr="006720E4">
        <w:rPr>
          <w:rFonts w:ascii="Calibri" w:hAnsi="Calibri" w:cs="Calibri"/>
          <w:sz w:val="22"/>
          <w:szCs w:val="22"/>
        </w:rPr>
        <w:t xml:space="preserve">, persons who are responsible for making decisions about any interventions during the end-of-life period on behalf of a potential donor should </w:t>
      </w:r>
      <w:r w:rsidR="00FE7CF8">
        <w:rPr>
          <w:rFonts w:ascii="Calibri" w:hAnsi="Calibri" w:cs="Calibri"/>
          <w:sz w:val="22"/>
          <w:szCs w:val="22"/>
        </w:rPr>
        <w:t xml:space="preserve">generally </w:t>
      </w:r>
      <w:r w:rsidRPr="006720E4">
        <w:rPr>
          <w:rFonts w:ascii="Calibri" w:hAnsi="Calibri" w:cs="Calibri"/>
          <w:sz w:val="22"/>
          <w:szCs w:val="22"/>
        </w:rPr>
        <w:t xml:space="preserve">consider what the person concerned would want, if they were able to make the decision on their own behalf. This decision should be informed by consideration of the risks and potential benefits of treatment options including interventions aimed at facilitating successful organ donation. </w:t>
      </w:r>
    </w:p>
    <w:p w14:paraId="372DC4B4" w14:textId="2BBBEC7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the potential donor is known or considered likely to have had a strong interest in becoming a donor, and the potential burdens of an intervention can be alleviated – for example through appropriate palliation of symptoms (see </w:t>
      </w:r>
      <w:hyperlink w:anchor="_Quality_of_end-of-life" w:history="1">
        <w:r w:rsidRPr="006720E4">
          <w:rPr>
            <w:rStyle w:val="Hyperlink"/>
            <w:rFonts w:ascii="Calibri" w:hAnsi="Calibri" w:cs="Calibri"/>
            <w:sz w:val="22"/>
            <w:szCs w:val="22"/>
          </w:rPr>
          <w:t>Chapter 1</w:t>
        </w:r>
        <w:r w:rsidR="00506E4C" w:rsidRPr="006720E4">
          <w:rPr>
            <w:rStyle w:val="Hyperlink"/>
            <w:rFonts w:ascii="Calibri" w:hAnsi="Calibri" w:cs="Calibri"/>
            <w:sz w:val="22"/>
            <w:szCs w:val="22"/>
          </w:rPr>
          <w:t>1</w:t>
        </w:r>
        <w:r w:rsidRPr="006720E4">
          <w:rPr>
            <w:rStyle w:val="Hyperlink"/>
            <w:rFonts w:ascii="Calibri" w:hAnsi="Calibri" w:cs="Calibri"/>
            <w:sz w:val="22"/>
            <w:szCs w:val="22"/>
          </w:rPr>
          <w:t>.4.3</w:t>
        </w:r>
      </w:hyperlink>
      <w:r w:rsidRPr="006720E4">
        <w:rPr>
          <w:rFonts w:ascii="Calibri" w:hAnsi="Calibri" w:cs="Calibri"/>
          <w:sz w:val="22"/>
          <w:szCs w:val="22"/>
        </w:rPr>
        <w:t>)</w:t>
      </w:r>
      <w:r w:rsidR="00506E4C" w:rsidRPr="006720E4">
        <w:rPr>
          <w:rFonts w:ascii="Calibri" w:hAnsi="Calibri" w:cs="Calibri"/>
          <w:sz w:val="22"/>
          <w:szCs w:val="22"/>
        </w:rPr>
        <w:t xml:space="preserve"> </w:t>
      </w:r>
      <w:r w:rsidRPr="006720E4">
        <w:rPr>
          <w:rFonts w:ascii="Calibri" w:hAnsi="Calibri" w:cs="Calibri"/>
          <w:sz w:val="22"/>
          <w:szCs w:val="22"/>
        </w:rPr>
        <w:t xml:space="preserve">– then the potential benefits of a non-therapeutic intervention such as elective ventilation may justify proceeding. It is important that all potential risks are carefully considered. These may include the serious risk that an intervention might result in the person surviving in a state that is inconsistent with their expressed wishes. </w:t>
      </w:r>
    </w:p>
    <w:p w14:paraId="71E003C8"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risk of missing an opportunity for donation by an individual who would have been willing to assume the potential burdens of premortem interventions in order to realise their wish to donate must also be carefully considered.</w:t>
      </w:r>
    </w:p>
    <w:p w14:paraId="39FDFA0E" w14:textId="71C1BE82" w:rsidR="006C6EBA" w:rsidRPr="006720E4" w:rsidRDefault="006C6EBA" w:rsidP="00EA22AE">
      <w:pPr>
        <w:pStyle w:val="Heading3"/>
        <w:spacing w:after="120"/>
      </w:pPr>
      <w:bookmarkStart w:id="4857" w:name="_Conflicts_of_interest_1"/>
      <w:bookmarkStart w:id="4858" w:name="_Perimortem_interventions_for"/>
      <w:bookmarkStart w:id="4859" w:name="_Quality_of_end-of-life"/>
      <w:bookmarkStart w:id="4860" w:name="_Toc74080817"/>
      <w:bookmarkStart w:id="4861" w:name="_Toc74081125"/>
      <w:bookmarkStart w:id="4862" w:name="_Toc74081355"/>
      <w:bookmarkStart w:id="4863" w:name="_Toc74081636"/>
      <w:bookmarkStart w:id="4864" w:name="_Toc74171186"/>
      <w:bookmarkStart w:id="4865" w:name="_Toc74172413"/>
      <w:bookmarkStart w:id="4866" w:name="_Toc74172947"/>
      <w:bookmarkStart w:id="4867" w:name="_Toc74238860"/>
      <w:bookmarkStart w:id="4868" w:name="_Toc79406499"/>
      <w:bookmarkStart w:id="4869" w:name="_Toc82773736"/>
      <w:bookmarkStart w:id="4870" w:name="_Toc82774089"/>
      <w:bookmarkEnd w:id="4857"/>
      <w:bookmarkEnd w:id="4858"/>
      <w:bookmarkEnd w:id="4859"/>
      <w:r w:rsidRPr="006720E4">
        <w:lastRenderedPageBreak/>
        <w:t>Quality of end-of-life care for potential deceased donors</w:t>
      </w:r>
      <w:bookmarkEnd w:id="4860"/>
      <w:bookmarkEnd w:id="4861"/>
      <w:bookmarkEnd w:id="4862"/>
      <w:bookmarkEnd w:id="4863"/>
      <w:bookmarkEnd w:id="4864"/>
      <w:bookmarkEnd w:id="4865"/>
      <w:bookmarkEnd w:id="4866"/>
      <w:bookmarkEnd w:id="4867"/>
      <w:bookmarkEnd w:id="4868"/>
      <w:bookmarkEnd w:id="4869"/>
      <w:bookmarkEnd w:id="4870"/>
    </w:p>
    <w:p w14:paraId="5F6EC23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wellbeing of the potential deceased donor should remain the priority throughout the pre-mortem period. This means that the treating team – rather than donation specialists – continue to lead the care of the potential donor and ensure that usual standards of care are met with regards to palliation of any symptoms.</w:t>
      </w:r>
    </w:p>
    <w:p w14:paraId="371E0E6D" w14:textId="30B6788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Analgesia or sedation is routinely provided to people during the end-of-life period with the primary goal of relieving suffering. In some cases, such medications may have the secondary effect of hastening - or may be perceived to hasten - the onset of death. </w:t>
      </w:r>
    </w:p>
    <w:p w14:paraId="171C3FE5" w14:textId="45FEA05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Concerns may be raised about provision of analgesia or sedation to potential donors if it is feared that this is provided with the aim of hastening death in order to facilitate organ donation, rather than to provide appropriate care for the potential donor. Anxiety regarding this potential conflict of interest in decision-making about end-of-life care may lead some health professionals to avoid adequate provision of analgesia or sedation with the result that patients who are potential donors </w:t>
      </w:r>
      <w:r w:rsidR="00635C7D">
        <w:rPr>
          <w:rFonts w:ascii="Calibri" w:hAnsi="Calibri" w:cs="Calibri"/>
          <w:sz w:val="22"/>
          <w:szCs w:val="22"/>
        </w:rPr>
        <w:t xml:space="preserve">could </w:t>
      </w:r>
      <w:r w:rsidRPr="006720E4">
        <w:rPr>
          <w:rFonts w:ascii="Calibri" w:hAnsi="Calibri" w:cs="Calibri"/>
          <w:sz w:val="22"/>
          <w:szCs w:val="22"/>
        </w:rPr>
        <w:t>experience poorer quality of end-of-</w:t>
      </w:r>
      <w:r w:rsidRPr="00635C7D">
        <w:rPr>
          <w:rFonts w:ascii="Calibri" w:hAnsi="Calibri" w:cs="Calibri"/>
          <w:sz w:val="22"/>
          <w:szCs w:val="22"/>
        </w:rPr>
        <w:t>life care.</w:t>
      </w:r>
      <w:r w:rsidRPr="00635C7D">
        <w:rPr>
          <w:rFonts w:ascii="Calibri" w:hAnsi="Calibri" w:cs="Calibri"/>
          <w:sz w:val="22"/>
          <w:szCs w:val="22"/>
        </w:rPr>
        <w:fldChar w:fldCharType="begin" w:fldLock="1"/>
      </w:r>
      <w:r w:rsidR="00C12F71">
        <w:rPr>
          <w:rFonts w:ascii="Calibri" w:hAnsi="Calibri" w:cs="Calibri"/>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Pr="00635C7D">
        <w:rPr>
          <w:rFonts w:ascii="Calibri" w:hAnsi="Calibri" w:cs="Calibri"/>
          <w:sz w:val="22"/>
          <w:szCs w:val="22"/>
        </w:rPr>
        <w:fldChar w:fldCharType="separate"/>
      </w:r>
      <w:r w:rsidR="000B7242" w:rsidRPr="000B7242">
        <w:rPr>
          <w:rFonts w:ascii="Calibri" w:hAnsi="Calibri" w:cs="Calibri"/>
          <w:noProof/>
          <w:sz w:val="22"/>
          <w:szCs w:val="22"/>
        </w:rPr>
        <w:t>(20)</w:t>
      </w:r>
      <w:r w:rsidRPr="00635C7D">
        <w:rPr>
          <w:rFonts w:ascii="Calibri" w:hAnsi="Calibri" w:cs="Calibri"/>
          <w:sz w:val="22"/>
          <w:szCs w:val="22"/>
        </w:rPr>
        <w:fldChar w:fldCharType="end"/>
      </w:r>
      <w:r w:rsidR="00635C7D" w:rsidRPr="00635C7D">
        <w:rPr>
          <w:rFonts w:ascii="Calibri" w:hAnsi="Calibri" w:cs="Calibri"/>
          <w:sz w:val="22"/>
          <w:szCs w:val="22"/>
          <w:u w:color="0000FF"/>
          <w:lang w:val="en-GB"/>
        </w:rPr>
        <w:t xml:space="preserve"> Australian guidelines make clear that donation is compatible with effective end-of-life care.</w:t>
      </w:r>
      <w:r w:rsidR="00635C7D" w:rsidRPr="00635C7D">
        <w:rPr>
          <w:rFonts w:ascii="Calibri" w:hAnsi="Calibri" w:cs="Calibri"/>
          <w:sz w:val="22"/>
          <w:szCs w:val="22"/>
          <w:u w:color="0000FF"/>
          <w:lang w:val="en-GB"/>
        </w:rPr>
        <w:fldChar w:fldCharType="begin" w:fldLock="1"/>
      </w:r>
      <w:r w:rsidR="00C12F71">
        <w:rPr>
          <w:rFonts w:ascii="Calibri" w:hAnsi="Calibri" w:cs="Calibri"/>
          <w:sz w:val="22"/>
          <w:szCs w:val="22"/>
          <w:u w:color="0000FF"/>
          <w:lang w:val="en-GB"/>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00635C7D" w:rsidRPr="00635C7D">
        <w:rPr>
          <w:rFonts w:ascii="Calibri" w:hAnsi="Calibri" w:cs="Calibri"/>
          <w:sz w:val="22"/>
          <w:szCs w:val="22"/>
          <w:u w:color="0000FF"/>
          <w:lang w:val="en-GB"/>
        </w:rPr>
        <w:fldChar w:fldCharType="separate"/>
      </w:r>
      <w:r w:rsidR="000B7242" w:rsidRPr="000B7242">
        <w:rPr>
          <w:rFonts w:ascii="Calibri" w:hAnsi="Calibri" w:cs="Calibri"/>
          <w:noProof/>
          <w:sz w:val="22"/>
          <w:szCs w:val="22"/>
          <w:u w:color="0000FF"/>
          <w:lang w:val="en-GB"/>
        </w:rPr>
        <w:t>(20)</w:t>
      </w:r>
      <w:r w:rsidR="00635C7D" w:rsidRPr="00635C7D">
        <w:rPr>
          <w:rFonts w:ascii="Calibri" w:hAnsi="Calibri" w:cs="Calibri"/>
          <w:sz w:val="22"/>
          <w:szCs w:val="22"/>
          <w:u w:color="0000FF"/>
          <w:lang w:val="en-GB"/>
        </w:rPr>
        <w:fldChar w:fldCharType="end"/>
      </w:r>
      <w:r w:rsidR="00635C7D" w:rsidRPr="007E1B57">
        <w:rPr>
          <w:rFonts w:ascii="Calibri" w:hAnsi="Calibri" w:cs="Calibri"/>
          <w:szCs w:val="22"/>
          <w:u w:color="0000FF"/>
          <w:lang w:val="en-GB"/>
        </w:rPr>
        <w:t xml:space="preserve"> </w:t>
      </w:r>
      <w:r w:rsidR="00635C7D" w:rsidRPr="006720E4">
        <w:rPr>
          <w:rFonts w:ascii="Calibri" w:hAnsi="Calibri" w:cs="Calibri"/>
          <w:sz w:val="22"/>
          <w:szCs w:val="22"/>
        </w:rPr>
        <w:t xml:space="preserve"> </w:t>
      </w:r>
    </w:p>
    <w:p w14:paraId="31CBF4EE" w14:textId="5189DB5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While management of potential or perceived conflicts of interest in end-of-life care is important (see </w:t>
      </w:r>
      <w:hyperlink w:anchor="_Management_of_potential" w:history="1">
        <w:r w:rsidRPr="00BC449E">
          <w:rPr>
            <w:rStyle w:val="Hyperlink"/>
            <w:rFonts w:ascii="Calibri" w:hAnsi="Calibri" w:cs="Calibri"/>
            <w:sz w:val="22"/>
            <w:szCs w:val="22"/>
          </w:rPr>
          <w:t>Chapter 1</w:t>
        </w:r>
        <w:r w:rsidR="00BC449E" w:rsidRPr="00BC449E">
          <w:rPr>
            <w:rStyle w:val="Hyperlink"/>
            <w:rFonts w:ascii="Calibri" w:hAnsi="Calibri" w:cs="Calibri"/>
            <w:sz w:val="22"/>
            <w:szCs w:val="22"/>
          </w:rPr>
          <w:t>1</w:t>
        </w:r>
        <w:r w:rsidRPr="00BC449E">
          <w:rPr>
            <w:rStyle w:val="Hyperlink"/>
            <w:rFonts w:ascii="Calibri" w:hAnsi="Calibri" w:cs="Calibri"/>
            <w:sz w:val="22"/>
            <w:szCs w:val="22"/>
          </w:rPr>
          <w:t>.3</w:t>
        </w:r>
      </w:hyperlink>
      <w:r w:rsidRPr="00BC449E">
        <w:rPr>
          <w:rFonts w:ascii="Calibri" w:hAnsi="Calibri" w:cs="Calibri"/>
          <w:sz w:val="22"/>
          <w:szCs w:val="22"/>
        </w:rPr>
        <w:t xml:space="preserve"> above</w:t>
      </w:r>
      <w:r w:rsidRPr="006720E4">
        <w:rPr>
          <w:rFonts w:ascii="Calibri" w:hAnsi="Calibri" w:cs="Calibri"/>
          <w:sz w:val="22"/>
          <w:szCs w:val="22"/>
        </w:rPr>
        <w:t xml:space="preserve">), it is vital that potential donors receive appropriate care, including necessary analgesia or sedation. ANZICS provides explicit advice on this as follows: </w:t>
      </w:r>
    </w:p>
    <w:p w14:paraId="788025E6" w14:textId="2AE82B6B" w:rsidR="006C6EBA" w:rsidRPr="006720E4" w:rsidRDefault="006C6EBA" w:rsidP="00EA22AE">
      <w:pPr>
        <w:spacing w:after="120"/>
        <w:ind w:left="720"/>
        <w:rPr>
          <w:rFonts w:ascii="Calibri" w:hAnsi="Calibri" w:cs="Calibri"/>
          <w:i/>
          <w:iCs/>
          <w:sz w:val="22"/>
          <w:szCs w:val="22"/>
        </w:rPr>
      </w:pPr>
      <w:r w:rsidRPr="006720E4">
        <w:rPr>
          <w:rStyle w:val="markedcontent"/>
          <w:rFonts w:ascii="Calibri" w:hAnsi="Calibri" w:cs="Calibri"/>
          <w:i/>
          <w:iCs/>
          <w:sz w:val="22"/>
          <w:szCs w:val="22"/>
        </w:rPr>
        <w:t>It is the responsibility of the treating team, and no-one else, to ensure that sedatives and opioids are administered in the same way (“no more and no less”) that they would be used for a patient in a similar end-of-life situation who was not donating organs.</w:t>
      </w:r>
      <w:r w:rsidRPr="006720E4">
        <w:rPr>
          <w:rStyle w:val="markedcontent"/>
          <w:rFonts w:ascii="Calibri" w:hAnsi="Calibri" w:cs="Calibri"/>
          <w:i/>
          <w:iCs/>
          <w:sz w:val="22"/>
          <w:szCs w:val="22"/>
        </w:rPr>
        <w:fldChar w:fldCharType="begin" w:fldLock="1"/>
      </w:r>
      <w:r w:rsidR="00EB088B">
        <w:rPr>
          <w:rStyle w:val="markedcontent"/>
          <w:rFonts w:ascii="Calibri" w:hAnsi="Calibri" w:cs="Calibri"/>
          <w:i/>
          <w:iCs/>
          <w:sz w:val="22"/>
          <w:szCs w:val="22"/>
        </w:rPr>
        <w:instrText>ADDIN CSL_CITATION {"citationItems":[{"id":"ITEM-1","itemData":{"DOI":"10.1016/j.jcrc.2020.06.016","ISSN":"15578615","PMID":"32674003","abstract":"End-of-life (EOL) care has become an integral part of intensive care medicine and includes the exploration of possibilities for deceased organ and tissue donation. Donation physicians are specialist doctors with expertise in EOL processes encompassing organ and tissue donation, who contribute significantly to improvements in organ and tissue donation services in many countries around the world. Donation physicians are usually also intensive care physicians, and thus they may be faced with the dual obligation of caring for dying patients and their families in the intensive care unit (ICU), whilst at the same time ensuring organ and tissue donation is considered according to best practice. This dual obligation poses specific ethical challenges that need to be carefully understood by clinicians, institutions and health care networks. These obligations are complementary and provide a unique skillset to care for dying patients and their families in the ICU. In this paper we review current controversies around EOL care in the ICU, including the use of palliative analgesia and sedation specifically with regards to withdrawal of cardiorespiratory support, the usefulness of the so-called doctrine of double effect to guide ethical decision-making, and the management of potential or perceived conflicts of interest in the context of dual professional roles.","author":[{"dropping-particle":"","family":"Haren","given":"Frank M.P.","non-dropping-particle":"van","parse-names":false,"suffix":""},{"dropping-particle":"","family":"Carter","given":"Angus","non-dropping-particle":"","parse-names":false,"suffix":""},{"dropping-particle":"","family":"Cavazzoni","given":"Elena","non-dropping-particle":"","parse-names":false,"suffix":""},{"dropping-particle":"","family":"Chapman","given":"Michael","non-dropping-particle":"","parse-names":false,"suffix":""},{"dropping-particle":"","family":"D'Costa","given":"Rohit L.","non-dropping-particle":"","parse-names":false,"suffix":""},{"dropping-particle":"","family":"Jones","given":"Sarah L.","non-dropping-particle":"","parse-names":false,"suffix":""},{"dropping-particle":"","family":"McGee","given":"Andrew","non-dropping-particle":"","parse-names":false,"suffix":""},{"dropping-particle":"","family":"Moodie","given":"Stewart","non-dropping-particle":"","parse-names":false,"suffix":""},{"dropping-particle":"","family":"Nunnink","given":"Leo","non-dropping-particle":"","parse-names":false,"suffix":""},{"dropping-particle":"","family":"O'Leary","given":"Michael","non-dropping-particle":"","parse-names":false,"suffix":""},{"dropping-particle":"","family":"Opdam","given":"Helen","non-dropping-particle":"","parse-names":false,"suffix":""},{"dropping-particle":"","family":"Radford","given":"Sam","non-dropping-particle":"","parse-names":false,"suffix":""},{"dropping-particle":"","family":"Turner","given":"Andrew J.","non-dropping-particle":"","parse-names":false,"suffix":""},{"dropping-particle":"","family":"Martin","given":"Dominique","non-dropping-particle":"","parse-names":false,"suffix":""}],"container-title":"Journal of Critical Care","id":"ITEM-1","issued":{"date-parts":[["2020"]]},"page":"166-171","publisher":"Elsevier Inc.","title":"Conflicts of interest in the context of end of life care for potential organ donors in Australia","type":"article-journal","volume":"59"},"uris":["http://www.mendeley.com/documents/?uuid=2ba41984-ed5e-483a-8619-5f5df4f50388"]}],"mendeley":{"formattedCitation":"(170)","plainTextFormattedCitation":"(170)","previouslyFormattedCitation":"(170)"},"properties":{"noteIndex":0},"schema":"https://github.com/citation-style-language/schema/raw/master/csl-citation.json"}</w:instrText>
      </w:r>
      <w:r w:rsidRPr="006720E4">
        <w:rPr>
          <w:rStyle w:val="markedcontent"/>
          <w:rFonts w:ascii="Calibri" w:hAnsi="Calibri" w:cs="Calibri"/>
          <w:i/>
          <w:iCs/>
          <w:sz w:val="22"/>
          <w:szCs w:val="22"/>
        </w:rPr>
        <w:fldChar w:fldCharType="separate"/>
      </w:r>
      <w:r w:rsidR="00BA3D76" w:rsidRPr="00BA3D76">
        <w:rPr>
          <w:rStyle w:val="markedcontent"/>
          <w:rFonts w:ascii="Calibri" w:hAnsi="Calibri" w:cs="Calibri"/>
          <w:iCs/>
          <w:noProof/>
          <w:sz w:val="22"/>
          <w:szCs w:val="22"/>
        </w:rPr>
        <w:t>(170)</w:t>
      </w:r>
      <w:r w:rsidRPr="006720E4">
        <w:rPr>
          <w:rStyle w:val="markedcontent"/>
          <w:rFonts w:ascii="Calibri" w:hAnsi="Calibri" w:cs="Calibri"/>
          <w:i/>
          <w:iCs/>
          <w:sz w:val="22"/>
          <w:szCs w:val="22"/>
        </w:rPr>
        <w:fldChar w:fldCharType="end"/>
      </w:r>
    </w:p>
    <w:p w14:paraId="673AE7C8" w14:textId="77777777" w:rsidR="006C6EBA" w:rsidRPr="006720E4" w:rsidRDefault="006C6EBA" w:rsidP="00EA22AE">
      <w:pPr>
        <w:pStyle w:val="Heading2"/>
        <w:spacing w:after="120"/>
      </w:pPr>
      <w:bookmarkStart w:id="4871" w:name="_Deceased_donation_"/>
      <w:bookmarkStart w:id="4872" w:name="_Referral_of_potential"/>
      <w:bookmarkStart w:id="4873" w:name="_Toc70876621"/>
      <w:bookmarkStart w:id="4874" w:name="_Toc72615252"/>
      <w:bookmarkStart w:id="4875" w:name="_Toc73129976"/>
      <w:bookmarkStart w:id="4876" w:name="_Toc73301849"/>
      <w:bookmarkStart w:id="4877" w:name="_Toc73302355"/>
      <w:bookmarkStart w:id="4878" w:name="_Toc73303488"/>
      <w:bookmarkStart w:id="4879" w:name="_Toc73303697"/>
      <w:bookmarkStart w:id="4880" w:name="_Toc74080818"/>
      <w:bookmarkStart w:id="4881" w:name="_Toc74081126"/>
      <w:bookmarkStart w:id="4882" w:name="_Toc74081356"/>
      <w:bookmarkStart w:id="4883" w:name="_Toc74081637"/>
      <w:bookmarkStart w:id="4884" w:name="_Toc74171187"/>
      <w:bookmarkStart w:id="4885" w:name="_Toc74172414"/>
      <w:bookmarkStart w:id="4886" w:name="_Toc74172948"/>
      <w:bookmarkStart w:id="4887" w:name="_Toc74238861"/>
      <w:bookmarkStart w:id="4888" w:name="_Toc78304810"/>
      <w:bookmarkStart w:id="4889" w:name="_Toc79330911"/>
      <w:bookmarkStart w:id="4890" w:name="_Toc79331291"/>
      <w:bookmarkStart w:id="4891" w:name="_Toc79406500"/>
      <w:bookmarkStart w:id="4892" w:name="_Toc82773737"/>
      <w:bookmarkStart w:id="4893" w:name="_Toc82774090"/>
      <w:bookmarkStart w:id="4894" w:name="_Toc128314244"/>
      <w:bookmarkStart w:id="4895" w:name="_Toc135131489"/>
      <w:bookmarkStart w:id="4896" w:name="_Toc70328783"/>
      <w:bookmarkStart w:id="4897" w:name="_Toc70334013"/>
      <w:bookmarkStart w:id="4898" w:name="_Toc70414990"/>
      <w:bookmarkStart w:id="4899" w:name="_Toc70844311"/>
      <w:bookmarkStart w:id="4900" w:name="_Toc70859035"/>
      <w:bookmarkStart w:id="4901" w:name="_Toc70861136"/>
      <w:bookmarkEnd w:id="4871"/>
      <w:bookmarkEnd w:id="4872"/>
      <w:r w:rsidRPr="006720E4">
        <w:t>Routine consideration of opportunities for deceased don</w:t>
      </w:r>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r w:rsidRPr="006720E4">
        <w:t>ation</w:t>
      </w:r>
      <w:bookmarkEnd w:id="4892"/>
      <w:bookmarkEnd w:id="4893"/>
      <w:bookmarkEnd w:id="4894"/>
      <w:bookmarkEnd w:id="4895"/>
    </w:p>
    <w:p w14:paraId="59DACDFA" w14:textId="751746D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Providing people with the opportunity to become donors after death depends on consideration of feasibility of deceased donation in all end of life circumstances, and </w:t>
      </w:r>
      <w:hyperlink w:anchor="_Glossary_2" w:history="1">
        <w:r w:rsidRPr="006720E4">
          <w:rPr>
            <w:rStyle w:val="Hyperlink"/>
            <w:rFonts w:ascii="Calibri" w:hAnsi="Calibri" w:cs="Calibri"/>
            <w:sz w:val="22"/>
            <w:szCs w:val="22"/>
          </w:rPr>
          <w:t>notification</w:t>
        </w:r>
      </w:hyperlink>
      <w:r w:rsidRPr="006720E4">
        <w:rPr>
          <w:rFonts w:ascii="Calibri" w:hAnsi="Calibri" w:cs="Calibri"/>
          <w:sz w:val="22"/>
          <w:szCs w:val="22"/>
        </w:rPr>
        <w:t xml:space="preserve"> of potential donors to individuals or organi</w:t>
      </w:r>
      <w:r w:rsidR="00B40543">
        <w:rPr>
          <w:rFonts w:ascii="Calibri" w:hAnsi="Calibri" w:cs="Calibri"/>
          <w:sz w:val="22"/>
          <w:szCs w:val="22"/>
        </w:rPr>
        <w:t>s</w:t>
      </w:r>
      <w:r w:rsidRPr="006720E4">
        <w:rPr>
          <w:rFonts w:ascii="Calibri" w:hAnsi="Calibri" w:cs="Calibri"/>
          <w:sz w:val="22"/>
          <w:szCs w:val="22"/>
        </w:rPr>
        <w:t xml:space="preserve">ations responsible for deceased donation. Donation services may assist in determining whether potential donors are clinically eligible to donate and whether the person’s donation wishes are known, and in organizing donation. </w:t>
      </w:r>
    </w:p>
    <w:p w14:paraId="3A1CE65C" w14:textId="77777777" w:rsidR="006C6EBA" w:rsidRPr="006720E4" w:rsidRDefault="006C6EBA" w:rsidP="00EA22AE">
      <w:pPr>
        <w:pStyle w:val="Heading3"/>
        <w:spacing w:after="120"/>
      </w:pPr>
      <w:bookmarkStart w:id="4902" w:name="_Routine_referral_of"/>
      <w:bookmarkStart w:id="4903" w:name="_Toc74080819"/>
      <w:bookmarkStart w:id="4904" w:name="_Toc74081127"/>
      <w:bookmarkStart w:id="4905" w:name="_Toc74081357"/>
      <w:bookmarkStart w:id="4906" w:name="_Toc74081638"/>
      <w:bookmarkStart w:id="4907" w:name="_Toc74171188"/>
      <w:bookmarkStart w:id="4908" w:name="_Toc74172415"/>
      <w:bookmarkStart w:id="4909" w:name="_Toc74172949"/>
      <w:bookmarkStart w:id="4910" w:name="_Toc74238862"/>
      <w:bookmarkStart w:id="4911" w:name="_Toc79406501"/>
      <w:bookmarkStart w:id="4912" w:name="_Toc82773738"/>
      <w:bookmarkStart w:id="4913" w:name="_Toc82774091"/>
      <w:bookmarkEnd w:id="4902"/>
      <w:r w:rsidRPr="006720E4">
        <w:t>Routine notification of potential donors</w:t>
      </w:r>
      <w:bookmarkEnd w:id="4903"/>
      <w:bookmarkEnd w:id="4904"/>
      <w:bookmarkEnd w:id="4905"/>
      <w:bookmarkEnd w:id="4906"/>
      <w:bookmarkEnd w:id="4907"/>
      <w:bookmarkEnd w:id="4908"/>
      <w:bookmarkEnd w:id="4909"/>
      <w:bookmarkEnd w:id="4910"/>
      <w:bookmarkEnd w:id="4911"/>
      <w:bookmarkEnd w:id="4912"/>
      <w:bookmarkEnd w:id="4913"/>
    </w:p>
    <w:p w14:paraId="01BE188A" w14:textId="2A144C4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Routine consideration of donation opportunities for all individuals at the end-of-life and routine notification of those who meet appropriate clinical criteria helps to promote equity of opportunity for </w:t>
      </w:r>
      <w:r w:rsidRPr="00BC449E">
        <w:rPr>
          <w:rFonts w:ascii="Calibri" w:hAnsi="Calibri" w:cs="Calibri"/>
          <w:sz w:val="22"/>
          <w:szCs w:val="22"/>
        </w:rPr>
        <w:t xml:space="preserve">donation (see </w:t>
      </w:r>
      <w:hyperlink w:anchor="_The_concept_of_1" w:history="1">
        <w:r w:rsidRPr="00BC449E">
          <w:rPr>
            <w:rStyle w:val="Hyperlink"/>
            <w:rFonts w:ascii="Calibri" w:hAnsi="Calibri" w:cs="Calibri"/>
            <w:sz w:val="22"/>
            <w:szCs w:val="22"/>
          </w:rPr>
          <w:t xml:space="preserve">Chapter </w:t>
        </w:r>
        <w:r w:rsidR="00BC449E" w:rsidRPr="00BC449E">
          <w:rPr>
            <w:rStyle w:val="Hyperlink"/>
            <w:rFonts w:ascii="Calibri" w:hAnsi="Calibri" w:cs="Calibri"/>
            <w:sz w:val="22"/>
            <w:szCs w:val="22"/>
          </w:rPr>
          <w:t>8</w:t>
        </w:r>
        <w:r w:rsidRPr="00BC449E">
          <w:rPr>
            <w:rStyle w:val="Hyperlink"/>
            <w:rFonts w:ascii="Calibri" w:hAnsi="Calibri" w:cs="Calibri"/>
            <w:sz w:val="22"/>
            <w:szCs w:val="22"/>
          </w:rPr>
          <w:t>.1</w:t>
        </w:r>
      </w:hyperlink>
      <w:r w:rsidRPr="00BC449E">
        <w:rPr>
          <w:rFonts w:ascii="Calibri" w:hAnsi="Calibri" w:cs="Calibri"/>
          <w:sz w:val="22"/>
          <w:szCs w:val="22"/>
        </w:rPr>
        <w:t>). In avoiding</w:t>
      </w:r>
      <w:r w:rsidRPr="006720E4">
        <w:rPr>
          <w:rFonts w:ascii="Calibri" w:hAnsi="Calibri" w:cs="Calibri"/>
          <w:sz w:val="22"/>
          <w:szCs w:val="22"/>
        </w:rPr>
        <w:t xml:space="preserve"> missed opportunities for donation, routine consideration also helps to maximise the potential of donation and hence transplantation of organs and tissues. Routine consideration and use of decision-making aids or expert consultation to evaluate donation opportunities in individual cases helps in reducing the effect of potential health professionals’ bias or lack of knowledge regarding various types of deceased donation opportunities (</w:t>
      </w:r>
      <w:r w:rsidRPr="009C2EF0">
        <w:rPr>
          <w:rFonts w:ascii="Calibri" w:hAnsi="Calibri" w:cs="Calibri"/>
          <w:sz w:val="22"/>
          <w:szCs w:val="22"/>
        </w:rPr>
        <w:t xml:space="preserve">see </w:t>
      </w:r>
      <w:hyperlink w:anchor="_Appendix_3_–" w:history="1">
        <w:r w:rsidR="009C2EF0" w:rsidRPr="009C2EF0">
          <w:rPr>
            <w:rStyle w:val="Hyperlink"/>
            <w:rFonts w:ascii="Calibri" w:hAnsi="Calibri" w:cs="Calibri"/>
            <w:sz w:val="22"/>
            <w:szCs w:val="22"/>
          </w:rPr>
          <w:t>Appendix 1</w:t>
        </w:r>
      </w:hyperlink>
      <w:r w:rsidRPr="009C2EF0">
        <w:rPr>
          <w:rFonts w:ascii="Calibri" w:hAnsi="Calibri" w:cs="Calibri"/>
          <w:sz w:val="22"/>
          <w:szCs w:val="22"/>
        </w:rPr>
        <w:t>).</w:t>
      </w:r>
    </w:p>
    <w:p w14:paraId="74C013B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Routine consideration or notification of potential donors should be aimed at ensuring all potential donors have the opportunity to have their donation wishes considered, or for their families to make a decision about donation on their behalf, not at ensuring all potential donors actually donate. </w:t>
      </w:r>
    </w:p>
    <w:p w14:paraId="07C03191" w14:textId="77777777" w:rsidR="006C6EBA" w:rsidRPr="006720E4" w:rsidRDefault="006C6EBA" w:rsidP="00EA22AE">
      <w:pPr>
        <w:pStyle w:val="Heading3"/>
        <w:spacing w:after="120"/>
      </w:pPr>
      <w:bookmarkStart w:id="4914" w:name="_Toc74080820"/>
      <w:bookmarkStart w:id="4915" w:name="_Toc74081128"/>
      <w:bookmarkStart w:id="4916" w:name="_Toc74081358"/>
      <w:bookmarkStart w:id="4917" w:name="_Toc74081639"/>
      <w:bookmarkStart w:id="4918" w:name="_Toc74171189"/>
      <w:bookmarkStart w:id="4919" w:name="_Toc74172416"/>
      <w:bookmarkStart w:id="4920" w:name="_Toc74172950"/>
      <w:bookmarkStart w:id="4921" w:name="_Toc74238863"/>
      <w:bookmarkStart w:id="4922" w:name="_Toc79406502"/>
      <w:bookmarkStart w:id="4923" w:name="_Toc82773739"/>
      <w:bookmarkStart w:id="4924" w:name="_Toc82774092"/>
      <w:r w:rsidRPr="006720E4">
        <w:t>Consultation of the AODR and donation decision-making</w:t>
      </w:r>
      <w:bookmarkEnd w:id="4914"/>
      <w:bookmarkEnd w:id="4915"/>
      <w:bookmarkEnd w:id="4916"/>
      <w:bookmarkEnd w:id="4917"/>
      <w:bookmarkEnd w:id="4918"/>
      <w:bookmarkEnd w:id="4919"/>
      <w:bookmarkEnd w:id="4920"/>
      <w:bookmarkEnd w:id="4921"/>
      <w:bookmarkEnd w:id="4922"/>
      <w:bookmarkEnd w:id="4923"/>
      <w:bookmarkEnd w:id="4924"/>
    </w:p>
    <w:p w14:paraId="704D9F1A" w14:textId="51AC6B99" w:rsidR="008006E5" w:rsidRPr="006720E4" w:rsidRDefault="008006E5" w:rsidP="00EA22AE">
      <w:pPr>
        <w:spacing w:after="120"/>
        <w:rPr>
          <w:rFonts w:ascii="Calibri" w:hAnsi="Calibri" w:cs="Calibri"/>
          <w:sz w:val="22"/>
          <w:szCs w:val="22"/>
        </w:rPr>
      </w:pPr>
      <w:r w:rsidRPr="006720E4">
        <w:rPr>
          <w:rFonts w:ascii="Calibri" w:hAnsi="Calibri" w:cs="Calibri"/>
          <w:sz w:val="22"/>
          <w:szCs w:val="22"/>
        </w:rPr>
        <w:t xml:space="preserve">Consultation of the AODR enables those supporting donation </w:t>
      </w:r>
      <w:r w:rsidRPr="00BF3C95">
        <w:rPr>
          <w:rFonts w:ascii="Calibri" w:hAnsi="Calibri" w:cs="Calibri"/>
          <w:sz w:val="22"/>
          <w:szCs w:val="22"/>
        </w:rPr>
        <w:t xml:space="preserve">decision-makers to ensure that decision-making is informed by the wishes of the potential donor if these are known (see </w:t>
      </w:r>
      <w:hyperlink w:anchor="_Ethical_considerations_in_5" w:history="1">
        <w:r w:rsidRPr="00BF3C95">
          <w:rPr>
            <w:rStyle w:val="Hyperlink"/>
            <w:rFonts w:ascii="Calibri" w:hAnsi="Calibri" w:cs="Calibri"/>
            <w:sz w:val="22"/>
            <w:szCs w:val="22"/>
          </w:rPr>
          <w:t xml:space="preserve">Chapter </w:t>
        </w:r>
        <w:r w:rsidR="00BF3C95" w:rsidRPr="00BF3C95">
          <w:rPr>
            <w:rStyle w:val="Hyperlink"/>
            <w:rFonts w:ascii="Calibri" w:hAnsi="Calibri" w:cs="Calibri"/>
            <w:sz w:val="22"/>
            <w:szCs w:val="22"/>
          </w:rPr>
          <w:t>4</w:t>
        </w:r>
        <w:r w:rsidRPr="00BF3C95">
          <w:rPr>
            <w:rStyle w:val="Hyperlink"/>
            <w:rFonts w:ascii="Calibri" w:hAnsi="Calibri" w:cs="Calibri"/>
            <w:sz w:val="22"/>
            <w:szCs w:val="22"/>
          </w:rPr>
          <w:t>.4.2</w:t>
        </w:r>
      </w:hyperlink>
      <w:r w:rsidRPr="00BF3C95">
        <w:rPr>
          <w:rFonts w:ascii="Calibri" w:hAnsi="Calibri" w:cs="Calibri"/>
          <w:sz w:val="22"/>
          <w:szCs w:val="22"/>
        </w:rPr>
        <w:t>)</w:t>
      </w:r>
    </w:p>
    <w:p w14:paraId="733A3DFF" w14:textId="010A886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As outlined in the ANZICS Statement</w:t>
      </w:r>
      <w:r w:rsidR="00BF3C95">
        <w:rPr>
          <w:rFonts w:ascii="Calibri" w:hAnsi="Calibri" w:cs="Calibri"/>
          <w:sz w:val="22"/>
          <w:szCs w:val="22"/>
        </w:rPr>
        <w:t xml:space="preserve"> and recommended in national guidelines for offering donation</w:t>
      </w:r>
      <w:r w:rsidRPr="006720E4">
        <w:rPr>
          <w:rFonts w:ascii="Calibri" w:hAnsi="Calibri" w:cs="Calibri"/>
          <w:sz w:val="22"/>
          <w:szCs w:val="22"/>
        </w:rPr>
        <w:t xml:space="preserve">, the AODR is routinely consulted to determine if a person’s donation preferences are registered prior </w:t>
      </w:r>
      <w:r w:rsidRPr="006720E4">
        <w:rPr>
          <w:rFonts w:ascii="Calibri" w:hAnsi="Calibri" w:cs="Calibri"/>
          <w:sz w:val="22"/>
          <w:szCs w:val="22"/>
        </w:rPr>
        <w:lastRenderedPageBreak/>
        <w:t>to staff raising the possibility of deceased donation with a person’s family.</w:t>
      </w:r>
      <w:r w:rsidRPr="006720E4">
        <w:rPr>
          <w:rFonts w:ascii="Calibri" w:hAnsi="Calibri" w:cs="Calibri"/>
          <w:sz w:val="22"/>
          <w:szCs w:val="22"/>
        </w:rPr>
        <w:fldChar w:fldCharType="begin" w:fldLock="1"/>
      </w:r>
      <w:r w:rsidR="00C12F71">
        <w:rPr>
          <w:rFonts w:ascii="Calibri" w:hAnsi="Calibri" w:cs="Calibri"/>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4.1)","type":"report"},"uris":["http://www.mendeley.com/documents/?uuid=c6159c18-146c-48e5-8076-9bb105df6f84"]},{"id":"ITEM-2","itemData":{"abstract":"The opportunity for organ donation is an infrequent event. It comes at an intensely emotional time for families and can be challenging for all involved. Specific knowledge is required to support families and their decision-making at this time, and it is critical that information is provided in a clear and sensitive manner that is appropriate to the needs of individuals.","author":[{"dropping-particle":"","family":"Organ and Tissue Authority","given":"","non-dropping-particle":"","parse-names":false,"suffix":""}],"id":"ITEM-2","issue":"April","issued":{"date-parts":[["2021"]]},"number-of-pages":"1-19","title":"Best Practice Guideline for Offering Organ and Tissue Donation in Australia (Edition 2)","type":"report"},"uris":["http://www.mendeley.com/documents/?uuid=aac43fb0-f65f-48ef-965c-530575934b2d"]}],"mendeley":{"formattedCitation":"(20,22)","plainTextFormattedCitation":"(20,22)","previouslyFormattedCitation":"(20,22)"},"properties":{"noteIndex":0},"schema":"https://github.com/citation-style-language/schema/raw/master/csl-citation.json"}</w:instrText>
      </w:r>
      <w:r w:rsidRPr="006720E4">
        <w:rPr>
          <w:rFonts w:ascii="Calibri" w:hAnsi="Calibri" w:cs="Calibri"/>
          <w:sz w:val="22"/>
          <w:szCs w:val="22"/>
        </w:rPr>
        <w:fldChar w:fldCharType="separate"/>
      </w:r>
      <w:r w:rsidR="000B7242" w:rsidRPr="000B7242">
        <w:rPr>
          <w:rFonts w:ascii="Calibri" w:hAnsi="Calibri" w:cs="Calibri"/>
          <w:noProof/>
          <w:sz w:val="22"/>
          <w:szCs w:val="22"/>
        </w:rPr>
        <w:t>(20,22)</w:t>
      </w:r>
      <w:r w:rsidRPr="006720E4">
        <w:rPr>
          <w:rFonts w:ascii="Calibri" w:hAnsi="Calibri" w:cs="Calibri"/>
          <w:sz w:val="22"/>
          <w:szCs w:val="22"/>
        </w:rPr>
        <w:fldChar w:fldCharType="end"/>
      </w:r>
      <w:r w:rsidRPr="006720E4">
        <w:rPr>
          <w:rFonts w:ascii="Calibri" w:hAnsi="Calibri" w:cs="Calibri"/>
          <w:sz w:val="22"/>
          <w:szCs w:val="22"/>
        </w:rPr>
        <w:t xml:space="preserve"> </w:t>
      </w:r>
      <w:bookmarkStart w:id="4925" w:name="_Hlk131839207"/>
      <w:r w:rsidRPr="006720E4">
        <w:rPr>
          <w:rFonts w:ascii="Calibri" w:hAnsi="Calibri" w:cs="Calibri"/>
          <w:sz w:val="22"/>
          <w:szCs w:val="22"/>
        </w:rPr>
        <w:t>This step should only be taken after the person has died, or after there is medical consensus that continuing active treatment will not be of benefit to the patien</w:t>
      </w:r>
      <w:bookmarkEnd w:id="4925"/>
      <w:r w:rsidR="008006E5" w:rsidRPr="006720E4">
        <w:rPr>
          <w:rFonts w:ascii="Calibri" w:hAnsi="Calibri" w:cs="Calibri"/>
          <w:sz w:val="22"/>
          <w:szCs w:val="22"/>
        </w:rPr>
        <w:t>t.</w:t>
      </w:r>
    </w:p>
    <w:p w14:paraId="26FFC312" w14:textId="77777777" w:rsidR="006C6EBA" w:rsidRPr="006720E4" w:rsidRDefault="006C6EBA" w:rsidP="00EA22AE">
      <w:pPr>
        <w:pStyle w:val="Heading3"/>
        <w:spacing w:after="120"/>
      </w:pPr>
      <w:bookmarkStart w:id="4926" w:name="_Screening_of_potential"/>
      <w:bookmarkStart w:id="4927" w:name="_Toc74080821"/>
      <w:bookmarkStart w:id="4928" w:name="_Toc74081129"/>
      <w:bookmarkStart w:id="4929" w:name="_Toc74081359"/>
      <w:bookmarkStart w:id="4930" w:name="_Toc74081640"/>
      <w:bookmarkStart w:id="4931" w:name="_Toc74171190"/>
      <w:bookmarkStart w:id="4932" w:name="_Toc74172417"/>
      <w:bookmarkStart w:id="4933" w:name="_Toc74172951"/>
      <w:bookmarkStart w:id="4934" w:name="_Toc74238864"/>
      <w:bookmarkStart w:id="4935" w:name="_Toc79406503"/>
      <w:bookmarkStart w:id="4936" w:name="_Toc82773740"/>
      <w:bookmarkStart w:id="4937" w:name="_Toc82774093"/>
      <w:bookmarkEnd w:id="4926"/>
      <w:r w:rsidRPr="006720E4">
        <w:t>Screening of potential deceased donors and donation decision-making</w:t>
      </w:r>
      <w:bookmarkEnd w:id="4927"/>
      <w:bookmarkEnd w:id="4928"/>
      <w:bookmarkEnd w:id="4929"/>
      <w:bookmarkEnd w:id="4930"/>
      <w:bookmarkEnd w:id="4931"/>
      <w:bookmarkEnd w:id="4932"/>
      <w:bookmarkEnd w:id="4933"/>
      <w:bookmarkEnd w:id="4934"/>
      <w:bookmarkEnd w:id="4935"/>
      <w:bookmarkEnd w:id="4936"/>
      <w:bookmarkEnd w:id="4937"/>
    </w:p>
    <w:p w14:paraId="3CEB428F" w14:textId="618161F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When a person is considered as a potential deceased organ donor, preliminary determination of the individual’s clinical suitability for donation may occur contemporaneously with donation decision-</w:t>
      </w:r>
      <w:r w:rsidRPr="005525CE">
        <w:rPr>
          <w:rFonts w:ascii="Calibri" w:hAnsi="Calibri" w:cs="Calibri"/>
          <w:sz w:val="22"/>
          <w:szCs w:val="22"/>
        </w:rPr>
        <w:t>making</w:t>
      </w:r>
      <w:r w:rsidR="005525CE" w:rsidRPr="005525CE">
        <w:rPr>
          <w:rFonts w:ascii="Calibri" w:hAnsi="Calibri" w:cs="Calibri"/>
          <w:sz w:val="22"/>
          <w:szCs w:val="22"/>
        </w:rPr>
        <w:t xml:space="preserve"> (see </w:t>
      </w:r>
      <w:hyperlink w:anchor="_Assessment_of_medical" w:history="1">
        <w:r w:rsidR="005525CE" w:rsidRPr="005525CE">
          <w:rPr>
            <w:rStyle w:val="Hyperlink"/>
            <w:rFonts w:ascii="Calibri" w:hAnsi="Calibri" w:cs="Calibri"/>
            <w:sz w:val="22"/>
            <w:szCs w:val="22"/>
          </w:rPr>
          <w:t>Chapter 2.5.3)</w:t>
        </w:r>
      </w:hyperlink>
      <w:r w:rsidRPr="005525CE">
        <w:rPr>
          <w:rFonts w:ascii="Calibri" w:hAnsi="Calibri" w:cs="Calibri"/>
          <w:sz w:val="22"/>
          <w:szCs w:val="22"/>
        </w:rPr>
        <w:t>.</w:t>
      </w:r>
      <w:r w:rsidRPr="005525CE">
        <w:rPr>
          <w:rFonts w:ascii="Calibri" w:hAnsi="Calibri" w:cs="Calibri"/>
          <w:sz w:val="22"/>
          <w:szCs w:val="22"/>
        </w:rPr>
        <w:fldChar w:fldCharType="begin" w:fldLock="1"/>
      </w:r>
      <w:r w:rsidR="00C12F71" w:rsidRPr="005525CE">
        <w:rPr>
          <w:rFonts w:ascii="Calibri" w:hAnsi="Calibri" w:cs="Calibri"/>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Pr="005525CE">
        <w:rPr>
          <w:rFonts w:ascii="Calibri" w:hAnsi="Calibri" w:cs="Calibri"/>
          <w:sz w:val="22"/>
          <w:szCs w:val="22"/>
        </w:rPr>
        <w:fldChar w:fldCharType="separate"/>
      </w:r>
      <w:r w:rsidR="000B7242" w:rsidRPr="005525CE">
        <w:rPr>
          <w:rFonts w:ascii="Calibri" w:hAnsi="Calibri" w:cs="Calibri"/>
          <w:noProof/>
          <w:sz w:val="22"/>
          <w:szCs w:val="22"/>
        </w:rPr>
        <w:t>(20)</w:t>
      </w:r>
      <w:r w:rsidRPr="005525CE">
        <w:rPr>
          <w:rFonts w:ascii="Calibri" w:hAnsi="Calibri" w:cs="Calibri"/>
          <w:sz w:val="22"/>
          <w:szCs w:val="22"/>
        </w:rPr>
        <w:fldChar w:fldCharType="end"/>
      </w:r>
      <w:r w:rsidRPr="005525CE">
        <w:rPr>
          <w:rFonts w:ascii="Calibri" w:hAnsi="Calibri" w:cs="Calibri"/>
          <w:sz w:val="22"/>
          <w:szCs w:val="22"/>
        </w:rPr>
        <w:t xml:space="preserve"> In the</w:t>
      </w:r>
      <w:r w:rsidRPr="006720E4">
        <w:rPr>
          <w:rFonts w:ascii="Calibri" w:hAnsi="Calibri" w:cs="Calibri"/>
          <w:sz w:val="22"/>
          <w:szCs w:val="22"/>
        </w:rPr>
        <w:t xml:space="preserve"> case of those who die outside the intensive care setting but who may become deceased tissue donors, determination of clinical eligibility for donation and donation decision-making may take place more remotely, with health professional staff involved in care of the potential donor playing a less integral role in these processes. </w:t>
      </w:r>
    </w:p>
    <w:p w14:paraId="2237CA3F" w14:textId="4C6F1B04" w:rsidR="0067400C" w:rsidRPr="006720E4" w:rsidRDefault="0067400C" w:rsidP="00EA22AE">
      <w:pPr>
        <w:spacing w:after="120"/>
        <w:rPr>
          <w:rFonts w:ascii="Calibri" w:hAnsi="Calibri" w:cs="Calibri"/>
          <w:sz w:val="22"/>
          <w:szCs w:val="22"/>
        </w:rPr>
      </w:pPr>
      <w:r w:rsidRPr="006720E4">
        <w:rPr>
          <w:rFonts w:ascii="Calibri" w:hAnsi="Calibri" w:cs="Calibri"/>
          <w:sz w:val="22"/>
          <w:szCs w:val="22"/>
        </w:rPr>
        <w:t xml:space="preserve">Notification of potential donors often takes place before donation has been discussed. For example, when a person dies in hospital or another care facility, staff may consult donation agencies or the local eye or tissue bank to seek advice regarding whether the person may be clinically eligible to become a deceased organ or tissue donor. Staff may seek advice in this way from donation agencies before consulting the person’s family about their donation wishes, to avoid wasting the family’s time and energy, or to avoid causing disappointment or distress if a donation decision were made by the family only to later discover that the person is not eligible to donate. </w:t>
      </w:r>
    </w:p>
    <w:p w14:paraId="28654A8E" w14:textId="0E4A771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w:t>
      </w:r>
      <w:r w:rsidR="0067400C" w:rsidRPr="006720E4">
        <w:rPr>
          <w:rFonts w:ascii="Calibri" w:hAnsi="Calibri" w:cs="Calibri"/>
          <w:sz w:val="22"/>
          <w:szCs w:val="22"/>
        </w:rPr>
        <w:t>some</w:t>
      </w:r>
      <w:r w:rsidRPr="006720E4">
        <w:rPr>
          <w:rFonts w:ascii="Calibri" w:hAnsi="Calibri" w:cs="Calibri"/>
          <w:sz w:val="22"/>
          <w:szCs w:val="22"/>
        </w:rPr>
        <w:t xml:space="preserve"> cases, notification of potential donors to staff or organi</w:t>
      </w:r>
      <w:r w:rsidR="00B40543">
        <w:rPr>
          <w:rFonts w:ascii="Calibri" w:hAnsi="Calibri" w:cs="Calibri"/>
          <w:sz w:val="22"/>
          <w:szCs w:val="22"/>
        </w:rPr>
        <w:t>s</w:t>
      </w:r>
      <w:r w:rsidRPr="006720E4">
        <w:rPr>
          <w:rFonts w:ascii="Calibri" w:hAnsi="Calibri" w:cs="Calibri"/>
          <w:sz w:val="22"/>
          <w:szCs w:val="22"/>
        </w:rPr>
        <w:t xml:space="preserve">ations that may assist in screening of eligibility for donation follow a decision by the potential donor’s family to approve or at least consider donation, and hence the notification is made with the consent of the relevant donation decision-maker(s). </w:t>
      </w:r>
    </w:p>
    <w:p w14:paraId="07C67739" w14:textId="1FEBC020" w:rsidR="003B769D" w:rsidRPr="006720E4" w:rsidRDefault="0067400C" w:rsidP="00EA22AE">
      <w:pPr>
        <w:spacing w:after="120"/>
        <w:rPr>
          <w:rFonts w:ascii="Calibri" w:hAnsi="Calibri" w:cs="Calibri"/>
          <w:sz w:val="22"/>
          <w:szCs w:val="22"/>
        </w:rPr>
      </w:pPr>
      <w:r w:rsidRPr="006720E4">
        <w:rPr>
          <w:rFonts w:ascii="Calibri" w:hAnsi="Calibri" w:cs="Calibri"/>
          <w:sz w:val="22"/>
          <w:szCs w:val="22"/>
        </w:rPr>
        <w:t>Detailed information gathering and processing of any tests for assessment of donor suitability only occur after consent for donation has received.</w:t>
      </w:r>
    </w:p>
    <w:p w14:paraId="156D3C2F" w14:textId="6FD0DF5B" w:rsidR="003B769D" w:rsidRPr="006720E4" w:rsidRDefault="003B769D" w:rsidP="00EA22AE">
      <w:pPr>
        <w:spacing w:after="120"/>
        <w:rPr>
          <w:rFonts w:ascii="Calibri" w:hAnsi="Calibri" w:cs="Calibri"/>
          <w:sz w:val="22"/>
          <w:szCs w:val="22"/>
        </w:rPr>
      </w:pPr>
      <w:r w:rsidRPr="006720E4">
        <w:rPr>
          <w:rFonts w:ascii="Calibri" w:hAnsi="Calibri" w:cs="Calibri"/>
          <w:sz w:val="22"/>
          <w:szCs w:val="22"/>
        </w:rPr>
        <w:t>Regardless of the timing of family discussions about donation</w:t>
      </w:r>
      <w:r w:rsidR="005525CE">
        <w:rPr>
          <w:rFonts w:ascii="Calibri" w:hAnsi="Calibri" w:cs="Calibri"/>
          <w:sz w:val="22"/>
          <w:szCs w:val="22"/>
        </w:rPr>
        <w:t xml:space="preserve"> (see </w:t>
      </w:r>
      <w:hyperlink w:anchor="_Obtaining_formal_consent" w:history="1">
        <w:r w:rsidR="005525CE" w:rsidRPr="005525CE">
          <w:rPr>
            <w:rStyle w:val="Hyperlink"/>
            <w:rFonts w:ascii="Calibri" w:hAnsi="Calibri" w:cs="Calibri"/>
            <w:sz w:val="22"/>
            <w:szCs w:val="22"/>
          </w:rPr>
          <w:t>Chapter 2.5.2</w:t>
        </w:r>
      </w:hyperlink>
      <w:r w:rsidR="005525CE">
        <w:rPr>
          <w:rFonts w:ascii="Calibri" w:hAnsi="Calibri" w:cs="Calibri"/>
          <w:sz w:val="22"/>
          <w:szCs w:val="22"/>
        </w:rPr>
        <w:t>)</w:t>
      </w:r>
      <w:r w:rsidRPr="006720E4">
        <w:rPr>
          <w:rFonts w:ascii="Calibri" w:hAnsi="Calibri" w:cs="Calibri"/>
          <w:sz w:val="22"/>
          <w:szCs w:val="22"/>
        </w:rPr>
        <w:t xml:space="preserve">, families should be routinely informed when donation has been considered, especially when the potential donor was registered on the AODR. It is important that families are aware that donation was considered even where a person was deemed unsuitable to donate organs or tissues, so the family knows donation was not overlooked. </w:t>
      </w:r>
    </w:p>
    <w:p w14:paraId="2A6D709A" w14:textId="259ED522" w:rsidR="003B769D" w:rsidRPr="006720E4" w:rsidRDefault="003B769D" w:rsidP="00EA22AE">
      <w:pPr>
        <w:spacing w:after="120"/>
        <w:rPr>
          <w:rFonts w:ascii="Calibri" w:hAnsi="Calibri" w:cs="Calibri"/>
          <w:sz w:val="22"/>
          <w:szCs w:val="22"/>
        </w:rPr>
      </w:pPr>
      <w:r w:rsidRPr="006720E4">
        <w:rPr>
          <w:rFonts w:ascii="Calibri" w:hAnsi="Calibri" w:cs="Calibri"/>
          <w:sz w:val="22"/>
          <w:szCs w:val="22"/>
        </w:rPr>
        <w:t xml:space="preserve">Staff should be provided with appropriate training to ensure that consultation of families is timely and effective, and designed to avoid raising unrealistic expectations of donation where relevant. If there are concerns that consultation with families may lead to extended discussions about donation decision-making in cases where there is no clinical possibility of donation, staff should be provided with training and tools to assist in determination of clinical eligibility for specific donation opportunities. </w:t>
      </w:r>
    </w:p>
    <w:p w14:paraId="74FADC9B" w14:textId="254E0FF3" w:rsidR="003B769D" w:rsidRPr="006720E4" w:rsidRDefault="003B769D" w:rsidP="00EA22AE">
      <w:pPr>
        <w:pStyle w:val="Heading4"/>
        <w:spacing w:after="120"/>
      </w:pPr>
      <w:r w:rsidRPr="006720E4">
        <w:t xml:space="preserve">Privacy concerns about preliminary screening of potential donors after death has occurred </w:t>
      </w:r>
    </w:p>
    <w:p w14:paraId="6EEBFC44" w14:textId="1D43886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some States, there are notification systems for tissue donation with tissue banks automatically notified of deaths in hospitals or other facilities. Tissue bank staff then contact the relevant health professionals, e.g., nurse or physicians in hospitals, to obtain further information about the deceased person to determine their eligibility to donate. If the person is deemed potentially eligible to donate from a clinical perspective, the tissue bank staff then contact the person’s next of kin to discuss the possibility of donation.</w:t>
      </w:r>
    </w:p>
    <w:p w14:paraId="6E39B8C8" w14:textId="42D4A05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Such notification and consultations of tissue banks may involve disclosure of some </w:t>
      </w:r>
      <w:r w:rsidR="003B769D" w:rsidRPr="006720E4">
        <w:rPr>
          <w:rFonts w:ascii="Calibri" w:hAnsi="Calibri" w:cs="Calibri"/>
          <w:sz w:val="22"/>
          <w:szCs w:val="22"/>
        </w:rPr>
        <w:t xml:space="preserve">limited </w:t>
      </w:r>
      <w:r w:rsidRPr="006720E4">
        <w:rPr>
          <w:rFonts w:ascii="Calibri" w:hAnsi="Calibri" w:cs="Calibri"/>
          <w:sz w:val="22"/>
          <w:szCs w:val="22"/>
        </w:rPr>
        <w:t xml:space="preserve">personal health information such as the cause of the person’s death and any conditions they were known to have that might influence their eligibility to donate. </w:t>
      </w:r>
    </w:p>
    <w:p w14:paraId="3772C911" w14:textId="42AC2064" w:rsidR="006C6EBA" w:rsidRPr="006720E4" w:rsidRDefault="006C6EBA" w:rsidP="00EA22AE">
      <w:pPr>
        <w:spacing w:after="120"/>
        <w:rPr>
          <w:rFonts w:ascii="Calibri" w:hAnsi="Calibri" w:cs="Calibri"/>
          <w:sz w:val="22"/>
          <w:szCs w:val="22"/>
        </w:rPr>
      </w:pPr>
      <w:bookmarkStart w:id="4938" w:name="_Deceased_donation_by"/>
      <w:bookmarkStart w:id="4939" w:name="_Toc70876622"/>
      <w:bookmarkStart w:id="4940" w:name="_Toc72615253"/>
      <w:bookmarkStart w:id="4941" w:name="_Toc73129977"/>
      <w:bookmarkStart w:id="4942" w:name="_Toc73301850"/>
      <w:bookmarkStart w:id="4943" w:name="_Toc73302356"/>
      <w:bookmarkStart w:id="4944" w:name="_Toc73303489"/>
      <w:bookmarkStart w:id="4945" w:name="_Toc73303698"/>
      <w:bookmarkStart w:id="4946" w:name="_Toc74080822"/>
      <w:bookmarkStart w:id="4947" w:name="_Toc74081130"/>
      <w:bookmarkStart w:id="4948" w:name="_Toc74081360"/>
      <w:bookmarkStart w:id="4949" w:name="_Toc74081641"/>
      <w:bookmarkStart w:id="4950" w:name="_Toc74171191"/>
      <w:bookmarkStart w:id="4951" w:name="_Toc74172418"/>
      <w:bookmarkStart w:id="4952" w:name="_Toc74172952"/>
      <w:bookmarkStart w:id="4953" w:name="_Toc74238865"/>
      <w:bookmarkStart w:id="4954" w:name="_Toc78304811"/>
      <w:bookmarkStart w:id="4955" w:name="_Toc79330912"/>
      <w:bookmarkStart w:id="4956" w:name="_Toc79331292"/>
      <w:bookmarkStart w:id="4957" w:name="_Toc79406504"/>
      <w:bookmarkStart w:id="4958" w:name="_Toc82773741"/>
      <w:bookmarkStart w:id="4959" w:name="_Toc82774094"/>
      <w:bookmarkStart w:id="4960" w:name="_Toc128314245"/>
      <w:bookmarkEnd w:id="4938"/>
      <w:r w:rsidRPr="006720E4">
        <w:rPr>
          <w:rFonts w:ascii="Calibri" w:hAnsi="Calibri" w:cs="Calibri"/>
          <w:sz w:val="22"/>
          <w:szCs w:val="22"/>
        </w:rPr>
        <w:t xml:space="preserve">Consequently, some practices may raise concerns about violations of privacy </w:t>
      </w:r>
      <w:r w:rsidR="003B769D" w:rsidRPr="006720E4">
        <w:rPr>
          <w:rFonts w:ascii="Calibri" w:hAnsi="Calibri" w:cs="Calibri"/>
          <w:sz w:val="22"/>
          <w:szCs w:val="22"/>
        </w:rPr>
        <w:t xml:space="preserve">laws </w:t>
      </w:r>
      <w:r w:rsidRPr="006720E4">
        <w:rPr>
          <w:rFonts w:ascii="Calibri" w:hAnsi="Calibri" w:cs="Calibri"/>
          <w:sz w:val="22"/>
          <w:szCs w:val="22"/>
        </w:rPr>
        <w:t xml:space="preserve">because disclosure of health information in this way may not be considered to fall within the scope of privacy </w:t>
      </w:r>
      <w:r w:rsidRPr="006720E4">
        <w:rPr>
          <w:rFonts w:ascii="Calibri" w:hAnsi="Calibri" w:cs="Calibri"/>
          <w:sz w:val="22"/>
          <w:szCs w:val="22"/>
        </w:rPr>
        <w:lastRenderedPageBreak/>
        <w:t xml:space="preserve">laws that allow for communication between health professionals under specific circumstances. As </w:t>
      </w:r>
      <w:r w:rsidRPr="009760C2">
        <w:rPr>
          <w:rFonts w:ascii="Calibri" w:hAnsi="Calibri" w:cs="Calibri"/>
          <w:sz w:val="22"/>
          <w:szCs w:val="22"/>
        </w:rPr>
        <w:t xml:space="preserve">noted in </w:t>
      </w:r>
      <w:hyperlink w:anchor="_Disclosure_of_clinically" w:history="1">
        <w:r w:rsidRPr="009760C2">
          <w:rPr>
            <w:rStyle w:val="Hyperlink"/>
            <w:rFonts w:ascii="Calibri" w:hAnsi="Calibri" w:cs="Calibri"/>
            <w:sz w:val="22"/>
            <w:szCs w:val="22"/>
          </w:rPr>
          <w:t xml:space="preserve">Chapter </w:t>
        </w:r>
        <w:r w:rsidR="009760C2" w:rsidRPr="009760C2">
          <w:rPr>
            <w:rStyle w:val="Hyperlink"/>
            <w:rFonts w:ascii="Calibri" w:hAnsi="Calibri" w:cs="Calibri"/>
            <w:sz w:val="22"/>
            <w:szCs w:val="22"/>
          </w:rPr>
          <w:t>7</w:t>
        </w:r>
        <w:r w:rsidRPr="009760C2">
          <w:rPr>
            <w:rStyle w:val="Hyperlink"/>
            <w:rFonts w:ascii="Calibri" w:hAnsi="Calibri" w:cs="Calibri"/>
            <w:sz w:val="22"/>
            <w:szCs w:val="22"/>
          </w:rPr>
          <w:t>.2.1</w:t>
        </w:r>
      </w:hyperlink>
      <w:r w:rsidRPr="009760C2">
        <w:rPr>
          <w:rFonts w:ascii="Calibri" w:hAnsi="Calibri" w:cs="Calibri"/>
          <w:sz w:val="22"/>
          <w:szCs w:val="22"/>
        </w:rPr>
        <w:t>, these circumstances</w:t>
      </w:r>
      <w:r w:rsidRPr="006720E4">
        <w:rPr>
          <w:rFonts w:ascii="Calibri" w:hAnsi="Calibri" w:cs="Calibri"/>
          <w:sz w:val="22"/>
          <w:szCs w:val="22"/>
        </w:rPr>
        <w:t xml:space="preserve"> typically involve disclosure that is necessary for patient care, or which might reasonably be expected, and for which consent to disclosure may therefore reasonably be presumed. However, there may be some legal uncertainty about such disclosures given that the person to whom the information relates is deceased. Exemptions from relevant privacy legislation may be granted to donation organi</w:t>
      </w:r>
      <w:r w:rsidR="00B40543">
        <w:rPr>
          <w:rFonts w:ascii="Calibri" w:hAnsi="Calibri" w:cs="Calibri"/>
          <w:sz w:val="22"/>
          <w:szCs w:val="22"/>
        </w:rPr>
        <w:t>s</w:t>
      </w:r>
      <w:r w:rsidRPr="006720E4">
        <w:rPr>
          <w:rFonts w:ascii="Calibri" w:hAnsi="Calibri" w:cs="Calibri"/>
          <w:sz w:val="22"/>
          <w:szCs w:val="22"/>
        </w:rPr>
        <w:t>ations or tissue banks, e.g., by Health Commissioners, on the grounds that consideration of donation opportunities may be considered an extension of a person’s care, and hence that sharing of information between relevant health professionals involved in that care is permitted when necessary.</w:t>
      </w:r>
    </w:p>
    <w:p w14:paraId="2B3104B4" w14:textId="77777777" w:rsidR="006C6EBA" w:rsidRPr="006720E4" w:rsidRDefault="006C6EBA" w:rsidP="00EA22AE">
      <w:pPr>
        <w:pStyle w:val="Heading2"/>
        <w:spacing w:after="120"/>
      </w:pPr>
      <w:bookmarkStart w:id="4961" w:name="_Toc135131490"/>
      <w:r w:rsidRPr="006720E4">
        <w:t>Deceased donation by competent individuals who choose to cease life sustaining treatment</w:t>
      </w:r>
      <w:bookmarkStart w:id="4962" w:name="_Toc70328784"/>
      <w:bookmarkStart w:id="4963" w:name="_Toc70334014"/>
      <w:bookmarkEnd w:id="4698"/>
      <w:bookmarkEnd w:id="4699"/>
      <w:bookmarkEnd w:id="4700"/>
      <w:bookmarkEnd w:id="4896"/>
      <w:bookmarkEnd w:id="4897"/>
      <w:bookmarkEnd w:id="4898"/>
      <w:bookmarkEnd w:id="4899"/>
      <w:bookmarkEnd w:id="4900"/>
      <w:bookmarkEnd w:id="4901"/>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p>
    <w:p w14:paraId="128E2836" w14:textId="4EF183F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Most decisions about deceased donation in the context of end-of-life care are ultimately made by substitute decision-makers on behalf of people who lack decision-making capacity as a result of catastrophic injury or illness, as </w:t>
      </w:r>
      <w:r w:rsidRPr="009760C2">
        <w:rPr>
          <w:rFonts w:ascii="Calibri" w:hAnsi="Calibri" w:cs="Calibri"/>
          <w:sz w:val="22"/>
          <w:szCs w:val="22"/>
        </w:rPr>
        <w:t xml:space="preserve">discussed in </w:t>
      </w:r>
      <w:hyperlink w:anchor="_Consent_for_deceased" w:history="1">
        <w:r w:rsidRPr="009760C2">
          <w:rPr>
            <w:rStyle w:val="Hyperlink"/>
            <w:rFonts w:ascii="Calibri" w:hAnsi="Calibri" w:cs="Calibri"/>
            <w:sz w:val="22"/>
            <w:szCs w:val="22"/>
          </w:rPr>
          <w:t xml:space="preserve">Chapter </w:t>
        </w:r>
        <w:r w:rsidR="00BF3C95">
          <w:rPr>
            <w:rStyle w:val="Hyperlink"/>
            <w:rFonts w:ascii="Calibri" w:hAnsi="Calibri" w:cs="Calibri"/>
            <w:sz w:val="22"/>
            <w:szCs w:val="22"/>
          </w:rPr>
          <w:t>4</w:t>
        </w:r>
        <w:r w:rsidRPr="009760C2">
          <w:rPr>
            <w:rStyle w:val="Hyperlink"/>
            <w:rFonts w:ascii="Calibri" w:hAnsi="Calibri" w:cs="Calibri"/>
            <w:sz w:val="22"/>
            <w:szCs w:val="22"/>
          </w:rPr>
          <w:t>.4</w:t>
        </w:r>
      </w:hyperlink>
      <w:r w:rsidRPr="009760C2">
        <w:rPr>
          <w:rFonts w:ascii="Calibri" w:hAnsi="Calibri" w:cs="Calibri"/>
          <w:sz w:val="22"/>
          <w:szCs w:val="22"/>
        </w:rPr>
        <w:t>. In rare cases</w:t>
      </w:r>
      <w:r w:rsidRPr="006720E4">
        <w:rPr>
          <w:rFonts w:ascii="Calibri" w:hAnsi="Calibri" w:cs="Calibri"/>
          <w:sz w:val="22"/>
          <w:szCs w:val="22"/>
        </w:rPr>
        <w:t xml:space="preserve"> the person making decisions about end-of-life care and donation may be the potential donor. This is usually in the context of people who are dependent on a life sustaining intervention for survival, and who make a decision to cease life support. For example, people who depend on mechanical ventilation to breathe, or on a cardiac device to maintain circulation. Such individuals, if they have decision-making capacity, have a right to refuse further use of these devices, just as any adult with decision-making capacity has the right to refuse medical treatment even if doing so is likely to result in their death.</w:t>
      </w:r>
    </w:p>
    <w:p w14:paraId="72A969A5" w14:textId="47642D7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Individuals in these circumstances may wish to become a donor after their death if that is possible, and in principle their right to do so should be respected. Care should be taken to support informed and voluntary decision-making in these circumstances, and to manage potential conflicts of interest as </w:t>
      </w:r>
      <w:r w:rsidRPr="009760C2">
        <w:rPr>
          <w:rFonts w:ascii="Calibri" w:hAnsi="Calibri" w:cs="Calibri"/>
          <w:sz w:val="22"/>
          <w:szCs w:val="22"/>
        </w:rPr>
        <w:t xml:space="preserve">discussed in </w:t>
      </w:r>
      <w:hyperlink w:anchor="_Supporting_decision-making_when" w:history="1">
        <w:r w:rsidRPr="009760C2">
          <w:rPr>
            <w:rStyle w:val="Hyperlink"/>
            <w:rFonts w:ascii="Calibri" w:hAnsi="Calibri" w:cs="Calibri"/>
            <w:sz w:val="22"/>
            <w:szCs w:val="22"/>
          </w:rPr>
          <w:t>Chapter 1</w:t>
        </w:r>
        <w:r w:rsidR="009760C2" w:rsidRPr="009760C2">
          <w:rPr>
            <w:rStyle w:val="Hyperlink"/>
            <w:rFonts w:ascii="Calibri" w:hAnsi="Calibri" w:cs="Calibri"/>
            <w:sz w:val="22"/>
            <w:szCs w:val="22"/>
          </w:rPr>
          <w:t>1</w:t>
        </w:r>
        <w:r w:rsidRPr="009760C2">
          <w:rPr>
            <w:rStyle w:val="Hyperlink"/>
            <w:rFonts w:ascii="Calibri" w:hAnsi="Calibri" w:cs="Calibri"/>
            <w:sz w:val="22"/>
            <w:szCs w:val="22"/>
          </w:rPr>
          <w:t>.6.1</w:t>
        </w:r>
      </w:hyperlink>
      <w:r w:rsidRPr="009760C2">
        <w:rPr>
          <w:rFonts w:ascii="Calibri" w:hAnsi="Calibri" w:cs="Calibri"/>
          <w:sz w:val="22"/>
          <w:szCs w:val="22"/>
        </w:rPr>
        <w:t>.</w:t>
      </w:r>
      <w:r w:rsidRPr="006720E4">
        <w:rPr>
          <w:rFonts w:ascii="Calibri" w:hAnsi="Calibri" w:cs="Calibri"/>
          <w:sz w:val="22"/>
          <w:szCs w:val="22"/>
        </w:rPr>
        <w:t xml:space="preserve"> </w:t>
      </w:r>
    </w:p>
    <w:p w14:paraId="6846CA76" w14:textId="77777777" w:rsidR="006C6EBA" w:rsidRPr="006720E4" w:rsidRDefault="006C6EBA" w:rsidP="00EA22AE">
      <w:pPr>
        <w:pStyle w:val="Heading3"/>
        <w:spacing w:after="120"/>
      </w:pPr>
      <w:bookmarkStart w:id="4964" w:name="_Supporting_decision-making_when"/>
      <w:bookmarkStart w:id="4965" w:name="_Toc79406505"/>
      <w:bookmarkStart w:id="4966" w:name="_Toc82773742"/>
      <w:bookmarkStart w:id="4967" w:name="_Toc82774095"/>
      <w:bookmarkEnd w:id="4964"/>
      <w:r w:rsidRPr="006720E4">
        <w:t>Supporting decision-making when a person chooses to cease life sustaining treatment and wishes to become a deceased donor</w:t>
      </w:r>
      <w:bookmarkEnd w:id="4965"/>
      <w:bookmarkEnd w:id="4966"/>
      <w:bookmarkEnd w:id="4967"/>
    </w:p>
    <w:p w14:paraId="7ED203E1" w14:textId="5CFC859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Concerns may arise with regards to potential conflicts of interest in decision-making, in particular the concern that the individual may choose to proceed with cessation of life support in order to achieve their goal of becoming a donor. That is, the possibility of donating may influence their decision to cease life sustaining treatment and cause them to choose death when they might otherwise have chosen to continue receiving treatment. Becoming a deceased donor is not considered an ethically valid motivation to end life-sustaining treatment, as it would undermine respect for the deceased </w:t>
      </w:r>
      <w:r w:rsidRPr="00BF3C95">
        <w:rPr>
          <w:rFonts w:ascii="Calibri" w:hAnsi="Calibri" w:cs="Calibri"/>
          <w:sz w:val="22"/>
          <w:szCs w:val="22"/>
        </w:rPr>
        <w:t xml:space="preserve">donor rule (see </w:t>
      </w:r>
      <w:hyperlink r:id="rId127" w:anchor="_Understanding_the_" w:history="1">
        <w:r w:rsidRPr="00BF3C95">
          <w:rPr>
            <w:rStyle w:val="Hyperlink"/>
            <w:rFonts w:ascii="Calibri" w:hAnsi="Calibri" w:cs="Calibri"/>
            <w:sz w:val="22"/>
            <w:szCs w:val="22"/>
          </w:rPr>
          <w:t>Chapter 1</w:t>
        </w:r>
        <w:r w:rsidR="00BF3C95" w:rsidRPr="00BF3C95">
          <w:rPr>
            <w:rStyle w:val="Hyperlink"/>
            <w:rFonts w:ascii="Calibri" w:hAnsi="Calibri" w:cs="Calibri"/>
            <w:sz w:val="22"/>
            <w:szCs w:val="22"/>
          </w:rPr>
          <w:t>1</w:t>
        </w:r>
        <w:r w:rsidRPr="00BF3C95">
          <w:rPr>
            <w:rStyle w:val="Hyperlink"/>
            <w:rFonts w:ascii="Calibri" w:hAnsi="Calibri" w:cs="Calibri"/>
            <w:sz w:val="22"/>
            <w:szCs w:val="22"/>
          </w:rPr>
          <w:t>.1</w:t>
        </w:r>
      </w:hyperlink>
      <w:r w:rsidRPr="00BF3C95">
        <w:rPr>
          <w:rFonts w:ascii="Calibri" w:hAnsi="Calibri" w:cs="Calibri"/>
          <w:sz w:val="22"/>
          <w:szCs w:val="22"/>
        </w:rPr>
        <w:t>).</w:t>
      </w:r>
      <w:r w:rsidRPr="006720E4">
        <w:rPr>
          <w:rFonts w:ascii="Calibri" w:hAnsi="Calibri" w:cs="Calibri"/>
          <w:sz w:val="22"/>
          <w:szCs w:val="22"/>
        </w:rPr>
        <w:t xml:space="preserve"> </w:t>
      </w:r>
    </w:p>
    <w:p w14:paraId="59EBC7F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As is the case when substitute decision-makers are involved, decisions about the cessation of life-sustaining treatment should be separated from donation decision-making. Once a competent person has made the decision to cease life sustaining treatment, for example on the grounds that they do not wish to continue living due to their experience of poor quality of life and irresolvable suffering, they should be supported to make a decision about deceased donation if this is clinically possible.</w:t>
      </w:r>
    </w:p>
    <w:p w14:paraId="6A8E47E2" w14:textId="77777777" w:rsidR="00A15F8A" w:rsidRDefault="006C6EBA" w:rsidP="00EA22AE">
      <w:pPr>
        <w:spacing w:after="120"/>
        <w:rPr>
          <w:rFonts w:ascii="Calibri" w:hAnsi="Calibri" w:cs="Calibri"/>
          <w:sz w:val="22"/>
          <w:szCs w:val="22"/>
        </w:rPr>
      </w:pPr>
      <w:r w:rsidRPr="006720E4">
        <w:rPr>
          <w:rFonts w:ascii="Calibri" w:hAnsi="Calibri" w:cs="Calibri"/>
          <w:sz w:val="22"/>
          <w:szCs w:val="22"/>
        </w:rPr>
        <w:t xml:space="preserve">If a decision is made to proceed with deceased donation, the individual should be supported to consider the risks and potential benefits of potential pre-mortem interventions for donation in the context of their end-of-life care. Care should be taken to ensure that the individual does not feel compelled to compromise on the quality of their end-of-life care in order to support achievement of their donation goals, and they should be given opportunities to reconsider their decisions about cessation of treatment and donation. </w:t>
      </w:r>
    </w:p>
    <w:p w14:paraId="45637166" w14:textId="0DFB7BD0" w:rsidR="006C6EBA" w:rsidRPr="006720E4" w:rsidRDefault="00A15F8A" w:rsidP="00EA22AE">
      <w:pPr>
        <w:spacing w:after="120"/>
        <w:rPr>
          <w:rFonts w:ascii="Calibri" w:hAnsi="Calibri" w:cs="Calibri"/>
          <w:sz w:val="22"/>
          <w:szCs w:val="22"/>
        </w:rPr>
      </w:pPr>
      <w:r>
        <w:rPr>
          <w:rFonts w:ascii="Calibri" w:hAnsi="Calibri" w:cs="Calibri"/>
          <w:sz w:val="22"/>
          <w:szCs w:val="22"/>
        </w:rPr>
        <w:t xml:space="preserve">See </w:t>
      </w:r>
      <w:r w:rsidRPr="00A15F8A">
        <w:rPr>
          <w:rFonts w:ascii="Calibri" w:hAnsi="Calibri" w:cs="Calibri"/>
          <w:b/>
          <w:bCs/>
          <w:sz w:val="22"/>
          <w:szCs w:val="22"/>
        </w:rPr>
        <w:t xml:space="preserve">Box </w:t>
      </w:r>
      <w:r w:rsidR="005E037B">
        <w:rPr>
          <w:rFonts w:ascii="Calibri" w:hAnsi="Calibri" w:cs="Calibri"/>
          <w:b/>
          <w:bCs/>
          <w:sz w:val="22"/>
          <w:szCs w:val="22"/>
        </w:rPr>
        <w:t>11</w:t>
      </w:r>
      <w:r w:rsidRPr="00A15F8A">
        <w:rPr>
          <w:rFonts w:ascii="Calibri" w:hAnsi="Calibri" w:cs="Calibri"/>
          <w:b/>
          <w:bCs/>
          <w:sz w:val="22"/>
          <w:szCs w:val="22"/>
        </w:rPr>
        <w:t>.1</w:t>
      </w:r>
      <w:r>
        <w:rPr>
          <w:rFonts w:ascii="Calibri" w:hAnsi="Calibri" w:cs="Calibri"/>
          <w:sz w:val="22"/>
          <w:szCs w:val="22"/>
        </w:rPr>
        <w:t xml:space="preserve"> for a summary of ethical recommendations to support donation after discontinuation of life sustaining treatment.</w:t>
      </w:r>
    </w:p>
    <w:p w14:paraId="13023D02" w14:textId="5B53EA1C" w:rsidR="006C6EBA" w:rsidRPr="006720E4" w:rsidRDefault="006C6EBA" w:rsidP="00EA22AE">
      <w:pPr>
        <w:pStyle w:val="Heading2"/>
        <w:spacing w:after="120"/>
      </w:pPr>
      <w:bookmarkStart w:id="4968" w:name="_Donation_after_voluntary"/>
      <w:bookmarkStart w:id="4969" w:name="_Deceased_donation_after"/>
      <w:bookmarkStart w:id="4970" w:name="_Toc70328785"/>
      <w:bookmarkStart w:id="4971" w:name="_Toc70334015"/>
      <w:bookmarkStart w:id="4972" w:name="_Toc70414992"/>
      <w:bookmarkStart w:id="4973" w:name="_Toc70844312"/>
      <w:bookmarkStart w:id="4974" w:name="_Toc70859036"/>
      <w:bookmarkStart w:id="4975" w:name="_Toc70861137"/>
      <w:bookmarkStart w:id="4976" w:name="_Toc70876623"/>
      <w:bookmarkStart w:id="4977" w:name="_Toc72615254"/>
      <w:bookmarkStart w:id="4978" w:name="_Toc73129978"/>
      <w:bookmarkStart w:id="4979" w:name="_Toc73301851"/>
      <w:bookmarkStart w:id="4980" w:name="_Toc73302357"/>
      <w:bookmarkStart w:id="4981" w:name="_Toc73303490"/>
      <w:bookmarkStart w:id="4982" w:name="_Toc73303699"/>
      <w:bookmarkStart w:id="4983" w:name="_Toc74080823"/>
      <w:bookmarkStart w:id="4984" w:name="_Toc74081131"/>
      <w:bookmarkStart w:id="4985" w:name="_Toc74081361"/>
      <w:bookmarkStart w:id="4986" w:name="_Toc74081642"/>
      <w:bookmarkStart w:id="4987" w:name="_Toc74171192"/>
      <w:bookmarkStart w:id="4988" w:name="_Toc74172419"/>
      <w:bookmarkStart w:id="4989" w:name="_Toc74172953"/>
      <w:bookmarkStart w:id="4990" w:name="_Toc74238866"/>
      <w:bookmarkStart w:id="4991" w:name="_Toc78304812"/>
      <w:bookmarkStart w:id="4992" w:name="_Toc79330913"/>
      <w:bookmarkStart w:id="4993" w:name="_Toc79331293"/>
      <w:bookmarkStart w:id="4994" w:name="_Toc79406506"/>
      <w:bookmarkStart w:id="4995" w:name="_Toc82623517"/>
      <w:bookmarkStart w:id="4996" w:name="_Toc82773743"/>
      <w:bookmarkStart w:id="4997" w:name="_Toc82774096"/>
      <w:bookmarkStart w:id="4998" w:name="_Toc135131491"/>
      <w:bookmarkEnd w:id="4701"/>
      <w:bookmarkEnd w:id="4702"/>
      <w:bookmarkEnd w:id="4703"/>
      <w:bookmarkEnd w:id="4968"/>
      <w:bookmarkEnd w:id="4969"/>
      <w:r w:rsidRPr="006720E4">
        <w:lastRenderedPageBreak/>
        <w:t>Deceased donation after voluntary assisted dying (VAD)</w:t>
      </w:r>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p>
    <w:p w14:paraId="76E59B8A" w14:textId="05BE38DF" w:rsidR="006C6EBA" w:rsidRDefault="006C6EBA" w:rsidP="00EA22AE">
      <w:pPr>
        <w:spacing w:after="120"/>
        <w:rPr>
          <w:rFonts w:ascii="Calibri" w:hAnsi="Calibri" w:cs="Calibri"/>
          <w:sz w:val="22"/>
          <w:szCs w:val="22"/>
        </w:rPr>
      </w:pPr>
      <w:r w:rsidRPr="006720E4">
        <w:rPr>
          <w:rFonts w:ascii="Calibri" w:hAnsi="Calibri" w:cs="Calibri"/>
          <w:sz w:val="22"/>
          <w:szCs w:val="22"/>
        </w:rPr>
        <w:t xml:space="preserve">Voluntary </w:t>
      </w:r>
      <w:r w:rsidR="00B278BF">
        <w:rPr>
          <w:rFonts w:ascii="Calibri" w:hAnsi="Calibri" w:cs="Calibri"/>
          <w:sz w:val="22"/>
          <w:szCs w:val="22"/>
        </w:rPr>
        <w:t xml:space="preserve">assisted dying (VAD) </w:t>
      </w:r>
      <w:r w:rsidRPr="006720E4">
        <w:rPr>
          <w:rFonts w:ascii="Calibri" w:hAnsi="Calibri" w:cs="Calibri"/>
          <w:sz w:val="22"/>
          <w:szCs w:val="22"/>
        </w:rPr>
        <w:t xml:space="preserve">occurs when a person who wishes to hasten their own death, usually because they are experiencing unrelieved suffering due to a terminal illness, </w:t>
      </w:r>
      <w:r w:rsidR="008C5B03">
        <w:rPr>
          <w:rFonts w:ascii="Calibri" w:hAnsi="Calibri" w:cs="Calibri"/>
          <w:sz w:val="22"/>
          <w:szCs w:val="22"/>
        </w:rPr>
        <w:t>are</w:t>
      </w:r>
      <w:r w:rsidR="008C5B03" w:rsidRPr="006720E4">
        <w:rPr>
          <w:rFonts w:ascii="Calibri" w:hAnsi="Calibri" w:cs="Calibri"/>
          <w:sz w:val="22"/>
          <w:szCs w:val="22"/>
        </w:rPr>
        <w:t xml:space="preserve"> </w:t>
      </w:r>
      <w:r w:rsidRPr="006720E4">
        <w:rPr>
          <w:rFonts w:ascii="Calibri" w:hAnsi="Calibri" w:cs="Calibri"/>
          <w:sz w:val="22"/>
          <w:szCs w:val="22"/>
        </w:rPr>
        <w:t>given medical assistance</w:t>
      </w:r>
      <w:r w:rsidR="00D828B7">
        <w:rPr>
          <w:rFonts w:ascii="Calibri" w:hAnsi="Calibri" w:cs="Calibri"/>
          <w:sz w:val="22"/>
          <w:szCs w:val="22"/>
        </w:rPr>
        <w:t xml:space="preserve"> in dying</w:t>
      </w:r>
      <w:r w:rsidRPr="006720E4">
        <w:rPr>
          <w:rFonts w:ascii="Calibri" w:hAnsi="Calibri" w:cs="Calibri"/>
          <w:sz w:val="22"/>
          <w:szCs w:val="22"/>
        </w:rPr>
        <w:t xml:space="preserve">. In Victoria and Western Australia, </w:t>
      </w:r>
      <w:r w:rsidR="00BD74BE">
        <w:rPr>
          <w:rFonts w:ascii="Calibri" w:hAnsi="Calibri" w:cs="Calibri"/>
          <w:sz w:val="22"/>
          <w:szCs w:val="22"/>
        </w:rPr>
        <w:t xml:space="preserve">for example, </w:t>
      </w:r>
      <w:r w:rsidRPr="006720E4">
        <w:rPr>
          <w:rFonts w:ascii="Calibri" w:hAnsi="Calibri" w:cs="Calibri"/>
          <w:sz w:val="22"/>
          <w:szCs w:val="22"/>
        </w:rPr>
        <w:t>the Voluntary Assisted Dying Act (2017) and Voluntary Assisting Dying Act 2019 (WA) allows people in specific circumstances to access medical treatment that will hasten their death.</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{"citationItems":[{"id":"ITEM-1","itemData":{"id":"ITEM-1","issued":{"date-parts":[["2017"]]},"title":"Voluntary Assisted Dying Act (Vic)","type":"legislation"},"uris":["http://www.mendeley.com/documents/?uuid=a73375f1-4f5c-43c7-966b-a0197ffedbd9"]},{"id":"ITEM-2","itemData":{"id":"ITEM-2","issued":{"date-parts":[["2019"]]},"title":"Voluntary Assisted Dying Act (WA)","type":"legislation"},"uris":["http://www.mendeley.com/documents/?uuid=9454b92f-4c07-4d16-ab54-af1221ec3636"]}],"mendeley":{"formattedCitation":"(173,174)","plainTextFormattedCitation":"(173,174)","previouslyFormattedCitation":"(173,174)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(173,174)</w:t>
      </w:r>
      <w:r w:rsidRPr="006720E4">
        <w:rPr>
          <w:rFonts w:ascii="Calibri" w:hAnsi="Calibri" w:cs="Calibri"/>
          <w:sz w:val="22"/>
          <w:szCs w:val="22"/>
        </w:rPr>
        <w:fldChar w:fldCharType="end"/>
      </w:r>
      <w:r w:rsidRPr="006720E4">
        <w:rPr>
          <w:rFonts w:ascii="Calibri" w:hAnsi="Calibri" w:cs="Calibri"/>
          <w:sz w:val="22"/>
          <w:szCs w:val="22"/>
        </w:rPr>
        <w:t xml:space="preserve">  </w:t>
      </w:r>
    </w:p>
    <w:p w14:paraId="56220985" w14:textId="2EBC7CC7" w:rsidR="00BD74BE" w:rsidRPr="00BD74BE" w:rsidRDefault="00BD74BE" w:rsidP="00EA22AE">
      <w:pPr>
        <w:spacing w:after="120"/>
        <w:rPr>
          <w:rFonts w:ascii="Calibri" w:hAnsi="Calibri" w:cs="Calibri"/>
          <w:sz w:val="22"/>
          <w:szCs w:val="22"/>
        </w:rPr>
      </w:pPr>
      <w:r w:rsidRPr="006720E4">
        <w:rPr>
          <w:rFonts w:ascii="Calibri" w:hAnsi="Calibri" w:cs="Calibri"/>
          <w:sz w:val="22"/>
          <w:szCs w:val="22"/>
        </w:rPr>
        <w:t xml:space="preserve">Various models of </w:t>
      </w:r>
      <w:r>
        <w:rPr>
          <w:rFonts w:ascii="Calibri" w:hAnsi="Calibri" w:cs="Calibri"/>
          <w:sz w:val="22"/>
          <w:szCs w:val="22"/>
        </w:rPr>
        <w:t>VAD</w:t>
      </w:r>
      <w:r w:rsidRPr="006720E4">
        <w:rPr>
          <w:rFonts w:ascii="Calibri" w:hAnsi="Calibri" w:cs="Calibri"/>
          <w:sz w:val="22"/>
          <w:szCs w:val="22"/>
        </w:rPr>
        <w:t xml:space="preserve"> are now legal in</w:t>
      </w:r>
      <w:r>
        <w:rPr>
          <w:rFonts w:ascii="Calibri" w:hAnsi="Calibri" w:cs="Calibri"/>
          <w:sz w:val="22"/>
          <w:szCs w:val="22"/>
        </w:rPr>
        <w:t xml:space="preserve"> most</w:t>
      </w:r>
      <w:r w:rsidRPr="006720E4">
        <w:rPr>
          <w:rFonts w:ascii="Calibri" w:hAnsi="Calibri" w:cs="Calibri"/>
          <w:sz w:val="22"/>
          <w:szCs w:val="22"/>
        </w:rPr>
        <w:t xml:space="preserve"> Australian </w:t>
      </w:r>
      <w:r>
        <w:rPr>
          <w:rFonts w:ascii="Calibri" w:hAnsi="Calibri" w:cs="Calibri"/>
          <w:sz w:val="22"/>
          <w:szCs w:val="22"/>
        </w:rPr>
        <w:t>jurisdictions.</w:t>
      </w:r>
      <w:r w:rsidRPr="006720E4">
        <w:rPr>
          <w:rFonts w:ascii="Calibri" w:hAnsi="Calibri" w:cs="Calibri"/>
          <w:sz w:val="22"/>
          <w:szCs w:val="22"/>
        </w:rPr>
        <w:t xml:space="preserve"> </w:t>
      </w:r>
      <w:r>
        <w:rPr>
          <w:rFonts w:ascii="Calibri" w:hAnsi="Calibri" w:cs="Calibri"/>
          <w:sz w:val="22"/>
          <w:szCs w:val="22"/>
        </w:rPr>
        <w:t xml:space="preserve">Information about current VAD laws is available here: </w:t>
      </w:r>
      <w:hyperlink r:id="rId128" w:history="1">
        <w:r w:rsidRPr="009B3BAC">
          <w:rPr>
            <w:rStyle w:val="Hyperlink"/>
            <w:rFonts w:ascii="Calibri" w:hAnsi="Calibri" w:cs="Calibri"/>
            <w:sz w:val="22"/>
            <w:szCs w:val="22"/>
          </w:rPr>
          <w:t>https://end-of-life.qut.edu.au/assisteddying</w:t>
        </w:r>
      </w:hyperlink>
      <w:r>
        <w:rPr>
          <w:rFonts w:ascii="Calibri" w:hAnsi="Calibri" w:cs="Calibri"/>
          <w:sz w:val="22"/>
          <w:szCs w:val="22"/>
        </w:rPr>
        <w:t xml:space="preserve"> </w:t>
      </w:r>
    </w:p>
    <w:p w14:paraId="618CE68E" w14:textId="021AEC2E" w:rsidR="006C6EBA" w:rsidRPr="006720E4" w:rsidRDefault="00BD74BE" w:rsidP="00EA22AE">
      <w:pPr>
        <w:spacing w:after="120"/>
        <w:rPr>
          <w:rFonts w:ascii="Calibri" w:hAnsi="Calibri" w:cs="Calibri"/>
          <w:sz w:val="22"/>
          <w:szCs w:val="22"/>
        </w:rPr>
      </w:pPr>
      <w:r>
        <w:rPr>
          <w:rFonts w:ascii="Calibri" w:hAnsi="Calibri" w:cs="Calibri"/>
          <w:sz w:val="22"/>
          <w:szCs w:val="22"/>
        </w:rPr>
        <w:t>S</w:t>
      </w:r>
      <w:r w:rsidR="006C6EBA" w:rsidRPr="006720E4">
        <w:rPr>
          <w:rFonts w:ascii="Calibri" w:hAnsi="Calibri" w:cs="Calibri"/>
          <w:sz w:val="22"/>
          <w:szCs w:val="22"/>
        </w:rPr>
        <w:t>ome people who wish to access VAD may also wish to donate their organs or tissues after they die. It may be clinically possible for some of these people to donate, although many may not be eligible, for example due to the presence of a cancer or because the nature of their death precludes organ donation. In countries such as Belgium, the Netherlands</w:t>
      </w:r>
      <w:r w:rsidR="00F94371" w:rsidRPr="006720E4">
        <w:rPr>
          <w:rFonts w:ascii="Calibri" w:hAnsi="Calibri" w:cs="Calibri"/>
          <w:sz w:val="22"/>
          <w:szCs w:val="22"/>
        </w:rPr>
        <w:t>,</w:t>
      </w:r>
      <w:r w:rsidR="006C6EBA" w:rsidRPr="006720E4">
        <w:rPr>
          <w:rFonts w:ascii="Calibri" w:hAnsi="Calibri" w:cs="Calibri"/>
          <w:sz w:val="22"/>
          <w:szCs w:val="22"/>
        </w:rPr>
        <w:t xml:space="preserve"> Canada</w:t>
      </w:r>
      <w:r w:rsidR="00F94371" w:rsidRPr="006720E4">
        <w:rPr>
          <w:rFonts w:ascii="Calibri" w:hAnsi="Calibri" w:cs="Calibri"/>
          <w:sz w:val="22"/>
          <w:szCs w:val="22"/>
        </w:rPr>
        <w:t xml:space="preserve"> and Spain</w:t>
      </w:r>
      <w:r w:rsidR="006C6EBA" w:rsidRPr="006720E4">
        <w:rPr>
          <w:rFonts w:ascii="Calibri" w:hAnsi="Calibri" w:cs="Calibri"/>
          <w:sz w:val="22"/>
          <w:szCs w:val="22"/>
        </w:rPr>
        <w:t>, many people have donated organs after VAD and even more have donated tissues.</w:t>
      </w:r>
      <w:r w:rsidR="006C6EBA" w:rsidRPr="006720E4">
        <w:rPr>
          <w:rFonts w:ascii="Calibri" w:hAnsi="Calibri" w:cs="Calibri"/>
          <w:sz w:val="22"/>
          <w:szCs w:val="22"/>
        </w:rPr>
        <w:fldChar w:fldCharType="begin" w:fldLock="1"/>
      </w:r>
      <w:r w:rsidR="00C12F71">
        <w:rPr>
          <w:rFonts w:ascii="Calibri" w:hAnsi="Calibri" w:cs="Calibri"/>
          <w:sz w:val="22"/>
          <w:szCs w:val="22"/>
        </w:rPr>
        <w:instrText>ADDIN CSL_CITATION {"citationItems":[{"id":"ITEM-1","itemData":{"author":[{"dropping-particle":"","family":"Australia and New Zealand Intensive Care Society (ANZICS)","given":"","non-dropping-particle":"","parse-names":false,"suffix":""}],"id":"ITEM-1","issued":{"date-parts":[["2021"]]},"title":"The Statement on Death and Organ Donation (Ed 4.1)","type":"report"},"uris":["http://www.mendeley.com/documents/?uuid=c6159c18-146c-48e5-8076-9bb105df6f84"]}],"mendeley":{"formattedCitation":"(20)","plainTextFormattedCitation":"(20)","previouslyFormattedCitation":"(20)"},"properties":{"noteIndex":0},"schema":"https://github.com/citation-style-language/schema/raw/master/csl-citation.json"}</w:instrText>
      </w:r>
      <w:r w:rsidR="006C6EBA" w:rsidRPr="006720E4">
        <w:rPr>
          <w:rFonts w:ascii="Calibri" w:hAnsi="Calibri" w:cs="Calibri"/>
          <w:sz w:val="22"/>
          <w:szCs w:val="22"/>
        </w:rPr>
        <w:fldChar w:fldCharType="separate"/>
      </w:r>
      <w:r w:rsidR="000B7242" w:rsidRPr="000B7242">
        <w:rPr>
          <w:rFonts w:ascii="Calibri" w:hAnsi="Calibri" w:cs="Calibri"/>
          <w:noProof/>
          <w:sz w:val="22"/>
          <w:szCs w:val="22"/>
        </w:rPr>
        <w:t>(20)</w:t>
      </w:r>
      <w:r w:rsidR="006C6EBA" w:rsidRPr="006720E4">
        <w:rPr>
          <w:rFonts w:ascii="Calibri" w:hAnsi="Calibri" w:cs="Calibri"/>
          <w:sz w:val="22"/>
          <w:szCs w:val="22"/>
        </w:rPr>
        <w:fldChar w:fldCharType="end"/>
      </w:r>
    </w:p>
    <w:p w14:paraId="7575C54D" w14:textId="2AB0F9A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jurisdictions where a person is lawfully entitled to access VAD, the same person should be entitled to become a deceased donor if they are clinically suitable. People should not be forced to choose between exercising their right to access a lawful clinical intervention -VAD -, and their right to donate organs or tissues after their death when this is possible.</w:t>
      </w:r>
      <w:r w:rsidR="00BF3C95">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imj.16085","author":[{"dropping-particle":"","family":"Ray","given":"Robert","non-dropping-particle":"","parse-names":false,"suffix":""},{"dropping-particle":"","family":"Martin","given":"Dominique","non-dropping-particle":"","parse-names":false,"suffix":""}],"id":"ITEM-1","issued":{"date-parts":[["2023"]]},"page":"1-5","title":"Missed opportunities : saving lives through organ donation following voluntary assisted dying","type":"article-journal"},"uris":["http://www.mendeley.com/documents/?uuid=bee73810-0fc4-443e-9b19-75a3ea9e6e7c"]}],"mendeley":{"formattedCitation":"(175)","plainTextFormattedCitation":"(175)","previouslyFormattedCitation":"(175)"},"properties":{"noteIndex":0},"schema":"https://github.com/citation-style-language/schema/raw/master/csl-citation.json"}</w:instrText>
      </w:r>
      <w:r w:rsidR="00BF3C95">
        <w:rPr>
          <w:rFonts w:ascii="Calibri" w:hAnsi="Calibri" w:cs="Calibri"/>
          <w:sz w:val="22"/>
          <w:szCs w:val="22"/>
        </w:rPr>
        <w:fldChar w:fldCharType="separate"/>
      </w:r>
      <w:r w:rsidR="00BA3D76" w:rsidRPr="00BA3D76">
        <w:rPr>
          <w:rFonts w:ascii="Calibri" w:hAnsi="Calibri" w:cs="Calibri"/>
          <w:noProof/>
          <w:sz w:val="22"/>
          <w:szCs w:val="22"/>
        </w:rPr>
        <w:t>(175)</w:t>
      </w:r>
      <w:r w:rsidR="00BF3C95">
        <w:rPr>
          <w:rFonts w:ascii="Calibri" w:hAnsi="Calibri" w:cs="Calibri"/>
          <w:sz w:val="22"/>
          <w:szCs w:val="22"/>
        </w:rPr>
        <w:fldChar w:fldCharType="end"/>
      </w:r>
      <w:r w:rsidRPr="006720E4">
        <w:rPr>
          <w:rFonts w:ascii="Calibri" w:hAnsi="Calibri" w:cs="Calibri"/>
          <w:sz w:val="22"/>
          <w:szCs w:val="22"/>
        </w:rPr>
        <w:t xml:space="preserve"> </w:t>
      </w:r>
    </w:p>
    <w:p w14:paraId="421F1482" w14:textId="1B005E0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important to distinguish between donation of organs or tissues that occurs after a person has died following VAD, and so-called “organ donation euthanasia”. “Organ donation euthanasia” is a hypothetical practice which would be unlawful, and which raises specific and substantial ethical concerns </w:t>
      </w:r>
      <w:r w:rsidRPr="00BF3C95">
        <w:rPr>
          <w:rFonts w:ascii="Calibri" w:hAnsi="Calibri" w:cs="Calibri"/>
          <w:sz w:val="22"/>
          <w:szCs w:val="22"/>
        </w:rPr>
        <w:t xml:space="preserve">(see </w:t>
      </w:r>
      <w:hyperlink r:id="rId129" w:anchor="_" w:history="1">
        <w:r w:rsidRPr="00BF3C95">
          <w:rPr>
            <w:rStyle w:val="Hyperlink"/>
            <w:rFonts w:ascii="Calibri" w:hAnsi="Calibri" w:cs="Calibri"/>
            <w:sz w:val="22"/>
            <w:szCs w:val="22"/>
          </w:rPr>
          <w:t>Chapter 1</w:t>
        </w:r>
        <w:r w:rsidR="00BF3C95" w:rsidRPr="00BF3C95">
          <w:rPr>
            <w:rStyle w:val="Hyperlink"/>
            <w:rFonts w:ascii="Calibri" w:hAnsi="Calibri" w:cs="Calibri"/>
            <w:sz w:val="22"/>
            <w:szCs w:val="22"/>
          </w:rPr>
          <w:t>1</w:t>
        </w:r>
        <w:r w:rsidRPr="00BF3C95">
          <w:rPr>
            <w:rStyle w:val="Hyperlink"/>
            <w:rFonts w:ascii="Calibri" w:hAnsi="Calibri" w:cs="Calibri"/>
            <w:sz w:val="22"/>
            <w:szCs w:val="22"/>
          </w:rPr>
          <w:t>.7.2</w:t>
        </w:r>
      </w:hyperlink>
      <w:r w:rsidRPr="00BF3C95">
        <w:rPr>
          <w:rFonts w:ascii="Calibri" w:hAnsi="Calibri" w:cs="Calibri"/>
          <w:sz w:val="22"/>
          <w:szCs w:val="22"/>
        </w:rPr>
        <w:t>).</w:t>
      </w:r>
    </w:p>
    <w:p w14:paraId="3D628AAE" w14:textId="65825F1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Nevertheless, there are important ethical considerations relating </w:t>
      </w:r>
      <w:r w:rsidRPr="00BF3C95">
        <w:rPr>
          <w:rFonts w:ascii="Calibri" w:hAnsi="Calibri" w:cs="Calibri"/>
          <w:sz w:val="22"/>
          <w:szCs w:val="22"/>
        </w:rPr>
        <w:t xml:space="preserve">to donation after VAD, in particular with regards to management of potential conflicts of interest in decision-making (see </w:t>
      </w:r>
      <w:hyperlink w:anchor="_Decision-making_about_donation" w:history="1">
        <w:r w:rsidRPr="00BF3C95">
          <w:rPr>
            <w:rStyle w:val="Hyperlink"/>
            <w:rFonts w:ascii="Calibri" w:hAnsi="Calibri" w:cs="Calibri"/>
            <w:sz w:val="22"/>
            <w:szCs w:val="22"/>
          </w:rPr>
          <w:t>Chapter 1</w:t>
        </w:r>
        <w:r w:rsidR="00BF3C95" w:rsidRPr="00BF3C95">
          <w:rPr>
            <w:rStyle w:val="Hyperlink"/>
            <w:rFonts w:ascii="Calibri" w:hAnsi="Calibri" w:cs="Calibri"/>
            <w:sz w:val="22"/>
            <w:szCs w:val="22"/>
          </w:rPr>
          <w:t>1</w:t>
        </w:r>
        <w:r w:rsidRPr="00BF3C95">
          <w:rPr>
            <w:rStyle w:val="Hyperlink"/>
            <w:rFonts w:ascii="Calibri" w:hAnsi="Calibri" w:cs="Calibri"/>
            <w:sz w:val="22"/>
            <w:szCs w:val="22"/>
          </w:rPr>
          <w:t>.7.1</w:t>
        </w:r>
      </w:hyperlink>
      <w:r w:rsidRPr="00BF3C95">
        <w:rPr>
          <w:rFonts w:ascii="Calibri" w:hAnsi="Calibri" w:cs="Calibri"/>
          <w:sz w:val="22"/>
          <w:szCs w:val="22"/>
        </w:rPr>
        <w:t>). In jurisdictions where VAD is possible, donation program</w:t>
      </w:r>
      <w:r w:rsidRPr="006720E4">
        <w:rPr>
          <w:rFonts w:ascii="Calibri" w:hAnsi="Calibri" w:cs="Calibri"/>
          <w:sz w:val="22"/>
          <w:szCs w:val="22"/>
        </w:rPr>
        <w:t>s should take steps to ensure that guidelines, policies, staff training and other resources are in place so that requests for donation by people considering VAD are managed appropriately.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{"citationItems":[{"id":"ITEM-1","itemData":{"DOI":"10.1503/cmaj","author":[{"dropping-particle":"","family":"Downar","given":"James","non-dropping-particle":"","parse-names":false,"suffix":""},{"dropping-particle":"","family":"Shemie","given":"Sam D.","non-dropping-particle":"","parse-names":false,"suffix":""},{"dropping-particle":"","family":"Gillrie","given":"Clay","non-dropping-particle":"","parse-names":false,"suffix":""},{"dropping-particle":"","family":"Fortin","given":"Marie-Chantal","non-dropping-particle":"","parse-names":false,"suffix":""},{"dropping-particle":"","family":"Appleby","given":"Amber","non-dropping-particle":"","parse-names":false,"suffix":""},{"dropping-particle":"","family":"Buchman","given":"Daniel Z","non-dropping-particle":"","parse-names":false,"suffix":""},{"dropping-particle":"","family":"Shoesmith","given":"Christen","non-dropping-particle":"","parse-names":false,"suffix":""},{"dropping-particle":"","family":"Goldberg","given":"Aviva","non-dropping-particle":"","parse-names":false,"suffix":""},{"dropping-particle":"","family":"Gruben","given":"Vanessa","non-dropping-particle":"","parse-names":false,"suffix":""},{"dropping-particle":"","family":"Lalani","given":"Jehan","non-dropping-particle":"","parse-names":false,"suffix":""},{"dropping-particle":"","family":"Ysebaert","given":"Dirk","non-dropping-particle":"","parse-names":false,"suffix":""},{"dropping-particle":"","family":"Wilson","given":"Lindsay","non-dropping-particle":"","parse-names":false,"suffix":""},{"dropping-particle":"","family":"Sharpe","given":"Michael D.","non-dropping-particle":"","parse-names":false,"suffix":""},{"dropping-particle":"","family":"Al.","given":"Et","non-dropping-particle":"","parse-names":false,"suffix":""}],"container-title":"Canadian Medical Association Journal","id":"ITEM-1","issued":{"date-parts":[["2019"]]},"page":"e604-13","title":"Deceased organ and tissue donation after medical assistance in dying and other conscious and competent donors: guidance for policy","type":"article-journal","volume":"191"},"uris":["http://www.mendeley.com/documents/?uuid=c181363f-a327-4004-b7cf-aac902986d0a"]}],"mendeley":{"formattedCitation":"(176)","plainTextFormattedCitation":"(176)","previouslyFormattedCitation":"(176)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(176)</w:t>
      </w:r>
      <w:r w:rsidRPr="006720E4">
        <w:rPr>
          <w:rFonts w:ascii="Calibri" w:hAnsi="Calibri" w:cs="Calibri"/>
          <w:sz w:val="22"/>
          <w:szCs w:val="22"/>
        </w:rPr>
        <w:fldChar w:fldCharType="end"/>
      </w:r>
      <w:r w:rsidRPr="006720E4">
        <w:rPr>
          <w:rFonts w:ascii="Calibri" w:hAnsi="Calibri" w:cs="Calibri"/>
          <w:sz w:val="22"/>
          <w:szCs w:val="22"/>
        </w:rPr>
        <w:t xml:space="preserve"> </w:t>
      </w:r>
    </w:p>
    <w:p w14:paraId="086F0BAF" w14:textId="77777777" w:rsidR="006C6EBA" w:rsidRPr="006720E4" w:rsidRDefault="006C6EBA" w:rsidP="00EA22AE">
      <w:pPr>
        <w:pStyle w:val="Heading3"/>
        <w:spacing w:after="120"/>
      </w:pPr>
      <w:bookmarkStart w:id="4999" w:name="_Decision-making_about_donation"/>
      <w:bookmarkStart w:id="5000" w:name="_Toc74080824"/>
      <w:bookmarkStart w:id="5001" w:name="_Toc74081132"/>
      <w:bookmarkStart w:id="5002" w:name="_Toc74081362"/>
      <w:bookmarkStart w:id="5003" w:name="_Toc74081643"/>
      <w:bookmarkStart w:id="5004" w:name="_Toc74171193"/>
      <w:bookmarkStart w:id="5005" w:name="_Toc74172420"/>
      <w:bookmarkStart w:id="5006" w:name="_Toc74172954"/>
      <w:bookmarkStart w:id="5007" w:name="_Toc74238867"/>
      <w:bookmarkStart w:id="5008" w:name="_Toc79406507"/>
      <w:bookmarkStart w:id="5009" w:name="_Toc82773744"/>
      <w:bookmarkStart w:id="5010" w:name="_Toc82774097"/>
      <w:bookmarkEnd w:id="4999"/>
      <w:r w:rsidRPr="006720E4">
        <w:t>Decision-making about donation after VAD</w:t>
      </w:r>
      <w:bookmarkEnd w:id="5000"/>
      <w:bookmarkEnd w:id="5001"/>
      <w:bookmarkEnd w:id="5002"/>
      <w:bookmarkEnd w:id="5003"/>
      <w:bookmarkEnd w:id="5004"/>
      <w:bookmarkEnd w:id="5005"/>
      <w:bookmarkEnd w:id="5006"/>
      <w:bookmarkEnd w:id="5007"/>
      <w:bookmarkEnd w:id="5008"/>
      <w:bookmarkEnd w:id="5009"/>
      <w:bookmarkEnd w:id="5010"/>
    </w:p>
    <w:p w14:paraId="271FDD37" w14:textId="3D48FBF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foremost concern about donation after VAD is that the possibility of becoming a donor may represent a conflict of interest in decision-making about VAD. A person’s interest in successfully donating may also conflict with their interests in end-of-life care, such as interests relating to the place, time and manner of their death.</w:t>
      </w:r>
    </w:p>
    <w:p w14:paraId="0C765A01" w14:textId="33F7269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a person who undergoes VAD may be more likely to have an opportunity for donation because they are able to plan the timing of their death and hence to plan for donation, whereas for a person whose time of death is uncontrolled, opportunities for donation may be missed. The possibility of donating might also encourage a person to undergo VAD sooner than they otherwise would, for example if they fear that prolonging their survival may result in a deterioration of their health that could impact the suitability of their organs or tissues for use in transplantation. </w:t>
      </w:r>
    </w:p>
    <w:p w14:paraId="336795B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VAD is generally considered ethically justifiable, particularly by health professionals, when it is necessary and desired by a person in order to relieve their suffering. It is not considered ethically appropriate if a person is motivated to access VAD in order to help others, for example by relieving them of care giving burdens. </w:t>
      </w:r>
    </w:p>
    <w:p w14:paraId="27E7F7B5" w14:textId="3FBF196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the decision to access VAD was motivated by the goal of donating organs or tissues, this would effectively mean that a person was choosing to be killed for the purpose of donating organs or tissues. This may be regarded as a violation of the dead donor </w:t>
      </w:r>
      <w:r w:rsidRPr="00BF3C95">
        <w:rPr>
          <w:rFonts w:ascii="Calibri" w:hAnsi="Calibri" w:cs="Calibri"/>
          <w:sz w:val="22"/>
          <w:szCs w:val="22"/>
        </w:rPr>
        <w:t xml:space="preserve">rule (see </w:t>
      </w:r>
      <w:hyperlink r:id="rId130" w:anchor="_Understanding_the_" w:history="1">
        <w:r w:rsidRPr="00BF3C95">
          <w:rPr>
            <w:rStyle w:val="Hyperlink"/>
            <w:rFonts w:ascii="Calibri" w:hAnsi="Calibri" w:cs="Calibri"/>
            <w:sz w:val="22"/>
            <w:szCs w:val="22"/>
          </w:rPr>
          <w:t>Chapter 1</w:t>
        </w:r>
        <w:r w:rsidR="00BF3C95" w:rsidRPr="00BF3C95">
          <w:rPr>
            <w:rStyle w:val="Hyperlink"/>
            <w:rFonts w:ascii="Calibri" w:hAnsi="Calibri" w:cs="Calibri"/>
            <w:sz w:val="22"/>
            <w:szCs w:val="22"/>
          </w:rPr>
          <w:t>1</w:t>
        </w:r>
        <w:r w:rsidRPr="00BF3C95">
          <w:rPr>
            <w:rStyle w:val="Hyperlink"/>
            <w:rFonts w:ascii="Calibri" w:hAnsi="Calibri" w:cs="Calibri"/>
            <w:sz w:val="22"/>
            <w:szCs w:val="22"/>
          </w:rPr>
          <w:t>.1</w:t>
        </w:r>
      </w:hyperlink>
      <w:r w:rsidRPr="00BF3C95">
        <w:rPr>
          <w:rFonts w:ascii="Calibri" w:hAnsi="Calibri" w:cs="Calibri"/>
          <w:sz w:val="22"/>
          <w:szCs w:val="22"/>
        </w:rPr>
        <w:t>). Approval</w:t>
      </w:r>
      <w:r w:rsidRPr="006720E4">
        <w:rPr>
          <w:rFonts w:ascii="Calibri" w:hAnsi="Calibri" w:cs="Calibri"/>
          <w:sz w:val="22"/>
          <w:szCs w:val="22"/>
        </w:rPr>
        <w:t xml:space="preserve"> of a request for VAD should not be made on the grounds that VAD provides an opportunity for donation, it must be made on independent grounds as outlined in relevant VAD legislation.</w:t>
      </w:r>
    </w:p>
    <w:p w14:paraId="0916AD41"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lastRenderedPageBreak/>
        <w:t xml:space="preserve">Consequently, decision-making about deceased donation should be carefully separated from decision-making about VAD. Only after a decision has been made and confirmed by a person to access VAD should the possibility of donation be discussed if the person wishes to do so. </w:t>
      </w:r>
    </w:p>
    <w:p w14:paraId="46014991" w14:textId="30AAD056" w:rsidR="006C6EBA" w:rsidRPr="006720E4" w:rsidRDefault="006C6EBA" w:rsidP="00EA22AE">
      <w:pPr>
        <w:spacing w:after="120"/>
        <w:rPr>
          <w:rFonts w:ascii="Calibri" w:hAnsi="Calibri" w:cs="Calibri"/>
          <w:sz w:val="22"/>
          <w:szCs w:val="22"/>
        </w:rPr>
      </w:pPr>
      <w:r w:rsidRPr="006720E4">
        <w:rPr>
          <w:rFonts w:ascii="Calibri" w:hAnsi="Calibri" w:cs="Calibri"/>
          <w:b/>
          <w:bCs/>
          <w:sz w:val="22"/>
          <w:szCs w:val="22"/>
        </w:rPr>
        <w:t xml:space="preserve">Once a person has made lawful decisions to proceed with VAD </w:t>
      </w:r>
      <w:r w:rsidRPr="006720E4">
        <w:rPr>
          <w:rFonts w:ascii="Calibri" w:hAnsi="Calibri" w:cs="Calibri"/>
          <w:b/>
          <w:bCs/>
          <w:i/>
          <w:iCs/>
          <w:sz w:val="22"/>
          <w:szCs w:val="22"/>
        </w:rPr>
        <w:t>and</w:t>
      </w:r>
      <w:r w:rsidRPr="006720E4">
        <w:rPr>
          <w:rFonts w:ascii="Calibri" w:hAnsi="Calibri" w:cs="Calibri"/>
          <w:b/>
          <w:bCs/>
          <w:sz w:val="22"/>
          <w:szCs w:val="22"/>
        </w:rPr>
        <w:t xml:space="preserve"> with donation</w:t>
      </w:r>
      <w:r w:rsidRPr="006720E4">
        <w:rPr>
          <w:rFonts w:ascii="Calibri" w:hAnsi="Calibri" w:cs="Calibri"/>
          <w:sz w:val="22"/>
          <w:szCs w:val="22"/>
        </w:rPr>
        <w:t xml:space="preserve"> (if this is clinically feasible), particular care will be needed to support them in making further decisions about end-of-life care. As discussed in the context of individuals who wish to donate after making a decision to cease life sustaining treatment, it is important to ensure that individuals can make voluntary and informed decisions about potential pre-mortem interventions to facilitate organ donation and other aspects of end-of-life care (</w:t>
      </w:r>
      <w:r w:rsidRPr="009760C2">
        <w:rPr>
          <w:rFonts w:ascii="Calibri" w:hAnsi="Calibri" w:cs="Calibri"/>
          <w:sz w:val="22"/>
          <w:szCs w:val="22"/>
        </w:rPr>
        <w:t xml:space="preserve">see </w:t>
      </w:r>
      <w:hyperlink w:anchor="_Supporting_decision-making_when" w:history="1">
        <w:r w:rsidRPr="009760C2">
          <w:rPr>
            <w:rStyle w:val="Hyperlink"/>
            <w:rFonts w:ascii="Calibri" w:hAnsi="Calibri" w:cs="Calibri"/>
            <w:sz w:val="22"/>
            <w:szCs w:val="22"/>
          </w:rPr>
          <w:t>Chapter 1</w:t>
        </w:r>
        <w:r w:rsidR="009760C2" w:rsidRPr="009760C2">
          <w:rPr>
            <w:rStyle w:val="Hyperlink"/>
            <w:rFonts w:ascii="Calibri" w:hAnsi="Calibri" w:cs="Calibri"/>
            <w:sz w:val="22"/>
            <w:szCs w:val="22"/>
          </w:rPr>
          <w:t>1</w:t>
        </w:r>
        <w:r w:rsidRPr="009760C2">
          <w:rPr>
            <w:rStyle w:val="Hyperlink"/>
            <w:rFonts w:ascii="Calibri" w:hAnsi="Calibri" w:cs="Calibri"/>
            <w:sz w:val="22"/>
            <w:szCs w:val="22"/>
          </w:rPr>
          <w:t>.6.1</w:t>
        </w:r>
      </w:hyperlink>
      <w:r w:rsidRPr="009760C2">
        <w:rPr>
          <w:rFonts w:ascii="Calibri" w:hAnsi="Calibri" w:cs="Calibri"/>
          <w:sz w:val="22"/>
          <w:szCs w:val="22"/>
        </w:rPr>
        <w:t>).</w:t>
      </w:r>
      <w:r w:rsidRPr="006720E4">
        <w:rPr>
          <w:rFonts w:ascii="Calibri" w:hAnsi="Calibri" w:cs="Calibri"/>
          <w:sz w:val="22"/>
          <w:szCs w:val="22"/>
        </w:rPr>
        <w:t xml:space="preserve"> </w:t>
      </w:r>
    </w:p>
    <w:p w14:paraId="3A7006EF" w14:textId="262680B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important that end-of-life care prioritises the welfare of the individual and that the possibility of donation does not unduly influence their commitment to VAD. Specific protocols may be needed to assist in providing opportunities for people to change their mind about donation and about VAD, and to ensure that the possibility of donation does not determine their ultimate decision about VAD. </w:t>
      </w:r>
    </w:p>
    <w:p w14:paraId="62071A62" w14:textId="01274E27" w:rsidR="00A15F8A" w:rsidRDefault="006C6EBA" w:rsidP="00EA22AE">
      <w:pPr>
        <w:spacing w:after="120"/>
        <w:rPr>
          <w:rFonts w:ascii="Calibri" w:hAnsi="Calibri" w:cs="Calibri"/>
          <w:sz w:val="22"/>
          <w:szCs w:val="22"/>
        </w:rPr>
      </w:pPr>
      <w:r w:rsidRPr="006720E4">
        <w:rPr>
          <w:rFonts w:ascii="Calibri" w:hAnsi="Calibri" w:cs="Calibri"/>
          <w:sz w:val="22"/>
          <w:szCs w:val="22"/>
        </w:rPr>
        <w:t>For example, some people seek approval to access VAD but after receiving approval they choose not to make use of this opportunity. They may simply value having the option of VAD, may change their mind, or may die before making use of VAD. Those who make a decision to donate after being approved to access VAD should be assured that they may revoke their decision to donate at any time without this affecting their ability to access VAD.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{"citationItems":[{"id":"ITEM-1","itemData":{"DOI":"10.1056/nejmc1915485","ISSN":"0028-4793","PMID":"32023380","abstract":"Organ Donation after Euthanasia Medical assistance in dying followed by organ donation is new to North America. If chosen, this path offers potential donors the opportunity to fulfill their last re...","author":[{"dropping-particle":"","family":"Ball","given":"Ian M.","non-dropping-particle":"","parse-names":false,"suffix":""},{"dropping-particle":"","family":"Healey","given":"Andrew","non-dropping-particle":"","parse-names":false,"suffix":""},{"dropping-particle":"","family":"Keenan","given":"Sean","non-dropping-particle":"","parse-names":false,"suffix":""},{"dropping-particle":"","family":"Priestap","given":"Fran","non-dropping-particle":"","parse-names":false,"suffix":""},{"dropping-particle":"","family":"Basmaji","given":"John","non-dropping-particle":"","parse-names":false,"suffix":""},{"dropping-particle":"","family":"Honarmand","given":"Kimia","non-dropping-particle":"","parse-names":false,"suffix":""},{"dropping-particle":"","family":"Parsons Leigh","given":"Jeanna","non-dropping-particle":"","parse-names":false,"suffix":""},{"dropping-particle":"","family":"Shemie","given":"Sam","non-dropping-particle":"","parse-names":false,"suffix":""},{"dropping-particle":"","family":"Chaudhury","given":"Prosanto","non-dropping-particle":"","parse-names":false,"suffix":""},{"dropping-particle":"","family":"Singh","given":"Jeffrey M.","non-dropping-particle":"","parse-names":false,"suffix":""},{"dropping-particle":"","family":"Zaltzman","given":"Jeffrey","non-dropping-particle":"","parse-names":false,"suffix":""},{"dropping-particle":"","family":"Beed","given":"Stephen","non-dropping-particle":"","parse-names":false,"suffix":""},{"dropping-particle":"","family":"Weiss","given":"Matthew","non-dropping-particle":"","parse-names":false,"suffix":""}],"container-title":"New England Journal of Medicine","id":"ITEM-1","issue":"6","issued":{"date-parts":[["2020"]]},"page":"576-577","title":"Organ Donation after Medical Assistance in Dying — Canada’s First Cases","type":"article-journal","volume":"382"},"uris":["http://www.mendeley.com/documents/?uuid=0fc9bf1d-b0ca-479a-8be4-dc68eaf8e4d3"]},{"id":"ITEM-2","itemData":{"DOI":"10.1111/ajt.16267","ISSN":"16006143","PMID":"32803817","abstract":"Organ donation after medical assistance in dying (MAID) has only been possible for patients having the MAID procedure performed at a hospital facility due to prohibitive warm ischemic times. Herein, we describe a protocol for lung donation following MAID at home and demonstrate excellent postoperative outcomes. Lung donation following MAID at home is possible and should be considered by transplant programs.","author":[{"dropping-particle":"","family":"Healey","given":"Andrew","non-dropping-particle":"","parse-names":false,"suffix":""},{"dropping-particle":"","family":"Cypel","given":"Marcelo","non-dropping-particle":"","parse-names":false,"suffix":""},{"dropping-particle":"","family":"Pyle","given":"Helen","non-dropping-particle":"","parse-names":false,"suffix":""},{"dropping-particle":"","family":"Mills","given":"Caitlin","non-dropping-particle":"","parse-names":false,"suffix":""},{"dropping-particle":"","family":"Heffren","given":"Jodie","non-dropping-particle":"","parse-names":false,"suffix":""},{"dropping-particle":"","family":"Katz","given":"David","non-dropping-particle":"","parse-names":false,"suffix":""},{"dropping-particle":"","family":"Smith","given":"Justin","non-dropping-particle":"","parse-names":false,"suffix":""},{"dropping-particle":"","family":"Teranishi","given":"Robert","non-dropping-particle":"","parse-names":false,"suffix":""},{"dropping-particle":"","family":"Lavery","given":"Susan","non-dropping-particle":"","parse-names":false,"suffix":""},{"dropping-particle":"","family":"Beitel","given":"Janice","non-dropping-particle":"","parse-names":false,"suffix":""},{"dropping-particle":"","family":"MacLean","given":"Janet","non-dropping-particle":"","parse-names":false,"suffix":""},{"dropping-particle":"","family":"Prodger","given":"Dwight","non-dropping-particle":"","parse-names":false,"suffix":""},{"dropping-particle":"","family":"Keshavjee","given":"Shaf","non-dropping-particle":"","parse-names":false,"suffix":""},{"dropping-particle":"","family":"Yeung","given":"Jonathan C.","non-dropping-particle":"","parse-names":false,"suffix":""}],"container-title":"American Journal of Transplantation","id":"ITEM-2","issue":"1","issued":{"date-parts":[["2021"]]},"page":"415-418","title":"Lung donation after medical assistance in dying at home","type":"article-journal","volume":"21"},"uris":["http://www.mendeley.com/documents/?uuid=21aaf8a1-dded-464d-8d73-fa1b649f24bc"]},{"id":"ITEM-3","itemData":{"DOI":"10.1111/ppe.12503","ISBN":"0000000000000","ISSN":"13653016","PMID":"30353935","author":[{"dropping-particle":"","family":"Gilbo","given":"Nicholas","non-dropping-particle":"","parse-names":false,"suffix":""},{"dropping-particle":"","family":"Jochmans","given":"Ina","non-dropping-particle":"","parse-names":false,"suffix":""},{"dropping-particle":"","family":"Jacobs-Tulleneers-Thevissen","given":"Daniel","non-dropping-particle":"","parse-names":false,"suffix":""},{"dropping-particle":"","family":"Wolthuis","given":"Albert","non-dropping-particle":"","parse-names":false,"suffix":""},{"dropping-particle":"","family":"Sainz-Barriga","given":"Mauricio","non-dropping-particle":"","parse-names":false,"suffix":""},{"dropping-particle":"","family":"Pirenne","given":"Jacques","non-dropping-particle":"","parse-names":false,"suffix":""},{"dropping-particle":"","family":"Monbaliu","given":"Diethard","non-dropping-particle":"","parse-names":false,"suffix":""}],"container-title":"Journal of the American Medical Association","id":"ITEM-3","issue":"1","issued":{"date-parts":[["2019"]]},"page":"78-80","title":"Survival of PatientsWith Liver Transplants Donated After Euthanasia, Circulatory Death, or Brain Death at a Single Center in Belgium","type":"article-journal","volume":"322"},"uris":["http://www.mendeley.com/documents/?uuid=511a43eb-dfcf-4b93-a491-812067cc5280"]}],"mendeley":{"formattedCitation":"(177–179)","plainTextFormattedCitation":"(177–179)","previouslyFormattedCitation":"(177–179)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(177–179)</w:t>
      </w:r>
      <w:r w:rsidRPr="006720E4">
        <w:rPr>
          <w:rFonts w:ascii="Calibri" w:hAnsi="Calibri" w:cs="Calibri"/>
          <w:sz w:val="22"/>
          <w:szCs w:val="22"/>
        </w:rPr>
        <w:fldChar w:fldCharType="end"/>
      </w:r>
      <w:r w:rsidRPr="006720E4">
        <w:rPr>
          <w:rFonts w:ascii="Calibri" w:hAnsi="Calibri" w:cs="Calibri"/>
          <w:sz w:val="22"/>
          <w:szCs w:val="22"/>
        </w:rPr>
        <w:t xml:space="preserve"> Individuals should be supported to revisit and </w:t>
      </w:r>
      <w:proofErr w:type="spellStart"/>
      <w:r w:rsidRPr="006720E4">
        <w:rPr>
          <w:rFonts w:ascii="Calibri" w:hAnsi="Calibri" w:cs="Calibri"/>
          <w:sz w:val="22"/>
          <w:szCs w:val="22"/>
        </w:rPr>
        <w:t>revaluate</w:t>
      </w:r>
      <w:proofErr w:type="spellEnd"/>
      <w:r w:rsidRPr="006720E4">
        <w:rPr>
          <w:rFonts w:ascii="Calibri" w:hAnsi="Calibri" w:cs="Calibri"/>
          <w:sz w:val="22"/>
          <w:szCs w:val="22"/>
        </w:rPr>
        <w:t xml:space="preserve"> their donation decision and the decision to undergo VAD, while avoiding undue burdens that might result if they are required to repeatedly revisit or reaffirm their decisions.</w:t>
      </w:r>
    </w:p>
    <w:p w14:paraId="43F474A1" w14:textId="2EB52DB2" w:rsidR="006C6EBA" w:rsidRPr="006720E4" w:rsidRDefault="006C6EBA" w:rsidP="00EA22AE">
      <w:pPr>
        <w:pStyle w:val="Heading3"/>
        <w:spacing w:after="120"/>
      </w:pPr>
      <w:bookmarkStart w:id="5011" w:name="_“Organ_donation_euthanasia”"/>
      <w:bookmarkStart w:id="5012" w:name="_Toc63683513"/>
      <w:bookmarkStart w:id="5013" w:name="_Toc70241862"/>
      <w:bookmarkStart w:id="5014" w:name="_Toc70243497"/>
      <w:bookmarkStart w:id="5015" w:name="_Toc70414991"/>
      <w:bookmarkStart w:id="5016" w:name="_Toc70844313"/>
      <w:bookmarkStart w:id="5017" w:name="_Toc72615255"/>
      <w:bookmarkStart w:id="5018" w:name="_Toc73129979"/>
      <w:bookmarkStart w:id="5019" w:name="_Toc73301852"/>
      <w:bookmarkStart w:id="5020" w:name="_Toc73302358"/>
      <w:bookmarkStart w:id="5021" w:name="_Toc73303491"/>
      <w:bookmarkStart w:id="5022" w:name="_Toc73303700"/>
      <w:bookmarkStart w:id="5023" w:name="_Toc74080827"/>
      <w:bookmarkStart w:id="5024" w:name="_Toc74081135"/>
      <w:bookmarkStart w:id="5025" w:name="_Toc74081365"/>
      <w:bookmarkStart w:id="5026" w:name="_Toc74081646"/>
      <w:bookmarkStart w:id="5027" w:name="_Toc74171196"/>
      <w:bookmarkStart w:id="5028" w:name="_Toc74172423"/>
      <w:bookmarkStart w:id="5029" w:name="_Toc74172957"/>
      <w:bookmarkStart w:id="5030" w:name="_Toc74238870"/>
      <w:bookmarkStart w:id="5031" w:name="_Toc79406508"/>
      <w:bookmarkStart w:id="5032" w:name="_Toc82773745"/>
      <w:bookmarkStart w:id="5033" w:name="_Toc82774098"/>
      <w:bookmarkEnd w:id="5011"/>
      <w:r w:rsidRPr="006720E4">
        <w:t>“Organ donation euthanasia”</w:t>
      </w:r>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p>
    <w:p w14:paraId="142B28F8" w14:textId="26E2DFF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Donation after VAD must be strictly distinguished from so-called “organ donation euthanasia”, “euthanasia via living organ donation”, or “heart-beating organ donation euthanasia”.</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{"citationItems":[{"id":"ITEM-1","itemData":{"DOI":"10.1136/medethics-2015-102898","ISSN":"14734257","PMID":"27012736","abstract":"Organ donation after euthanasia has been performed more than 40 times in Belgium and the Netherlands together. Preliminary results of procedures that have been performed until now demonstrate that this leads to good medical results in the recipient of the organs. Several legal aspects could be changed to further facilitate the combination of organ donation and euthanasia. On the ethical side, several controversies remain, giving rise to an ongoing, but necessary and useful debate. Further experiences will clarify whether both procedures should be strictly separated and whether the dead donor rule should be strictly applied. Opinions still differ on whether the patient's physician should address the possibility of organ donation after euthanasia, which laws should be adapted and which preparatory acts should be performed. These and other procedural issues potentially conflict with the patient's request for organ donation or the circumstances in which euthanasia (without subsequent organ donation) traditionally occurs.","author":[{"dropping-particle":"","family":"Bollen","given":"Jan","non-dropping-particle":"","parse-names":false,"suffix":""},{"dropping-particle":"ten","family":"Hoopen","given":"Rankie","non-dropping-particle":"","parse-names":false,"suffix":""},{"dropping-particle":"","family":"Ysebaert","given":"Dirk","non-dropping-particle":"","parse-names":false,"suffix":""},{"dropping-particle":"","family":"Mook","given":"Walther","non-dropping-particle":"van","parse-names":false,"suffix":""},{"dropping-particle":"","family":"Heurn","given":"Ernst","non-dropping-particle":"van","parse-names":false,"suffix":""}],"container-title":"Journal of Medical Ethics","id":"ITEM-1","issue":"8","issued":{"date-parts":[["2016"]]},"page":"486-489","title":"Legal and ethical aspects of organ donation after euthanasia in Belgium and the Netherlands","type":"article-journal","volume":"42"},"uris":["http://www.mendeley.com/documents/?uuid=7c1affee-ddca-41a8-8d29-1e0eaeb570c2"]}],"mendeley":{"formattedCitation":"(180)","plainTextFormattedCitation":"(180)","previouslyFormattedCitation":"(180)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(180)</w:t>
      </w:r>
      <w:r w:rsidRPr="006720E4">
        <w:rPr>
          <w:rFonts w:ascii="Calibri" w:hAnsi="Calibri" w:cs="Calibri"/>
          <w:sz w:val="22"/>
          <w:szCs w:val="22"/>
        </w:rPr>
        <w:fldChar w:fldCharType="end"/>
      </w:r>
      <w:r w:rsidRPr="006720E4">
        <w:rPr>
          <w:rFonts w:ascii="Calibri" w:hAnsi="Calibri" w:cs="Calibri"/>
          <w:sz w:val="22"/>
          <w:szCs w:val="22"/>
        </w:rPr>
        <w:t xml:space="preserve"> These terms were coined to describe a hypothetical practice in which a person who chooses voluntary </w:t>
      </w:r>
      <w:r w:rsidR="00757378">
        <w:rPr>
          <w:rFonts w:ascii="Calibri" w:hAnsi="Calibri" w:cs="Calibri"/>
          <w:sz w:val="22"/>
          <w:szCs w:val="22"/>
        </w:rPr>
        <w:t>assisted dying</w:t>
      </w:r>
      <w:r w:rsidR="00757378" w:rsidRPr="006720E4">
        <w:rPr>
          <w:rFonts w:ascii="Calibri" w:hAnsi="Calibri" w:cs="Calibri"/>
          <w:sz w:val="22"/>
          <w:szCs w:val="22"/>
        </w:rPr>
        <w:t xml:space="preserve"> </w:t>
      </w:r>
      <w:r w:rsidRPr="006720E4">
        <w:rPr>
          <w:rFonts w:ascii="Calibri" w:hAnsi="Calibri" w:cs="Calibri"/>
          <w:sz w:val="22"/>
          <w:szCs w:val="22"/>
        </w:rPr>
        <w:t>would be permitted to undergo surgery that would remove their vital organs for use in transplantation, and in doing so cause their death.</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{"citationItems":[{"id":"ITEM-1","itemData":{"DOI":"10.1007/s12630-020-01632-5","ISSN":"14968975","PMID":"32207087","author":[{"dropping-particle":"","family":"Casey","given":"Genevieve M.","non-dropping-particle":"","parse-names":false,"suffix":""},{"dropping-particle":"","family":"Kekewich","given":"Michael","non-dropping-particle":"","parse-names":false,"suffix":""},{"dropping-particle":"","family":"Naik","given":"Viren N.","non-dropping-particle":"","parse-names":false,"suffix":""},{"dropping-particle":"","family":"Hartwick","given":"Michael","non-dropping-particle":"","parse-names":false,"suffix":""},{"dropping-particle":"","family":"Healey","given":"Andrew","non-dropping-particle":"","parse-names":false,"suffix":""}],"container-title":"Canadian Journal of Anesthesia","id":"ITEM-1","issue":"7","issued":{"date-parts":[["2020"]]},"page":"806-809","publisher":"Springer International Publishing","title":"A request for directed organ donation in medical assistance in dying (MAID)","type":"article-journal","volume":"67"},"uris":["http://www.mendeley.com/documents/?uuid=06b3abaa-f460-48e9-9f14-663e9063dc6a"]}],"mendeley":{"formattedCitation":"(181)","plainTextFormattedCitation":"(181)","previouslyFormattedCitation":"(181)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(181)</w:t>
      </w:r>
      <w:r w:rsidRPr="006720E4">
        <w:rPr>
          <w:rFonts w:ascii="Calibri" w:hAnsi="Calibri" w:cs="Calibri"/>
          <w:sz w:val="22"/>
          <w:szCs w:val="22"/>
        </w:rPr>
        <w:fldChar w:fldCharType="end"/>
      </w:r>
      <w:r w:rsidRPr="006720E4">
        <w:rPr>
          <w:rFonts w:ascii="Calibri" w:hAnsi="Calibri" w:cs="Calibri"/>
          <w:sz w:val="22"/>
          <w:szCs w:val="22"/>
        </w:rPr>
        <w:t xml:space="preserve"> </w:t>
      </w:r>
    </w:p>
    <w:p w14:paraId="60C4666C" w14:textId="0E7B94FA" w:rsidR="007336D0" w:rsidRDefault="006C6EBA" w:rsidP="00EA22AE">
      <w:pPr>
        <w:spacing w:after="120"/>
        <w:rPr>
          <w:rFonts w:ascii="Calibri" w:hAnsi="Calibri" w:cs="Calibri"/>
          <w:sz w:val="22"/>
          <w:szCs w:val="22"/>
        </w:rPr>
      </w:pPr>
      <w:r w:rsidRPr="006720E4">
        <w:rPr>
          <w:rFonts w:ascii="Calibri" w:hAnsi="Calibri" w:cs="Calibri"/>
          <w:sz w:val="22"/>
          <w:szCs w:val="22"/>
        </w:rPr>
        <w:t xml:space="preserve">Proponents of this practice suggest that it could assist in successful removal of organs for transplantation from people who choose to undergo VAD. However, this would clearly violate the </w:t>
      </w:r>
      <w:r w:rsidRPr="003D3592">
        <w:rPr>
          <w:rFonts w:ascii="Calibri" w:hAnsi="Calibri" w:cs="Calibri"/>
          <w:sz w:val="22"/>
          <w:szCs w:val="22"/>
        </w:rPr>
        <w:t>dead donor rule, and</w:t>
      </w:r>
      <w:r w:rsidRPr="006720E4">
        <w:rPr>
          <w:rFonts w:ascii="Calibri" w:hAnsi="Calibri" w:cs="Calibri"/>
        </w:rPr>
        <w:t xml:space="preserve"> </w:t>
      </w:r>
      <w:r w:rsidRPr="006720E4">
        <w:rPr>
          <w:rFonts w:ascii="Calibri" w:hAnsi="Calibri" w:cs="Calibri"/>
          <w:sz w:val="22"/>
          <w:szCs w:val="22"/>
        </w:rPr>
        <w:t xml:space="preserve">carry all the concerns associated with violations of the dead donor rule as </w:t>
      </w:r>
      <w:r w:rsidRPr="009760C2">
        <w:rPr>
          <w:rFonts w:ascii="Calibri" w:hAnsi="Calibri" w:cs="Calibri"/>
          <w:sz w:val="22"/>
          <w:szCs w:val="22"/>
        </w:rPr>
        <w:t xml:space="preserve">outlined in </w:t>
      </w:r>
      <w:hyperlink r:id="rId131" w:anchor="_Understanding_the_" w:history="1">
        <w:r w:rsidRPr="009760C2">
          <w:rPr>
            <w:rStyle w:val="Hyperlink"/>
            <w:rFonts w:ascii="Calibri" w:hAnsi="Calibri" w:cs="Calibri"/>
            <w:sz w:val="22"/>
            <w:szCs w:val="22"/>
          </w:rPr>
          <w:t>Chapter 1</w:t>
        </w:r>
        <w:r w:rsidR="009760C2" w:rsidRPr="009760C2">
          <w:rPr>
            <w:rStyle w:val="Hyperlink"/>
            <w:rFonts w:ascii="Calibri" w:hAnsi="Calibri" w:cs="Calibri"/>
            <w:sz w:val="22"/>
            <w:szCs w:val="22"/>
          </w:rPr>
          <w:t>1</w:t>
        </w:r>
        <w:r w:rsidRPr="009760C2">
          <w:rPr>
            <w:rStyle w:val="Hyperlink"/>
            <w:rFonts w:ascii="Calibri" w:hAnsi="Calibri" w:cs="Calibri"/>
            <w:sz w:val="22"/>
            <w:szCs w:val="22"/>
          </w:rPr>
          <w:t>.1</w:t>
        </w:r>
      </w:hyperlink>
      <w:r w:rsidRPr="009760C2">
        <w:rPr>
          <w:rFonts w:ascii="Calibri" w:hAnsi="Calibri" w:cs="Calibri"/>
          <w:sz w:val="22"/>
          <w:szCs w:val="22"/>
        </w:rPr>
        <w:t>. Organ donation</w:t>
      </w:r>
      <w:r w:rsidRPr="006720E4">
        <w:rPr>
          <w:rFonts w:ascii="Calibri" w:hAnsi="Calibri" w:cs="Calibri"/>
          <w:sz w:val="22"/>
          <w:szCs w:val="22"/>
        </w:rPr>
        <w:t xml:space="preserve"> euthanasia is therefore not currently permitted in any country.</w:t>
      </w:r>
      <w:bookmarkStart w:id="5034" w:name="_Toc70414994"/>
      <w:bookmarkStart w:id="5035" w:name="_Toc70844314"/>
      <w:bookmarkStart w:id="5036" w:name="_Toc70859037"/>
      <w:bookmarkStart w:id="5037" w:name="_Toc70861138"/>
      <w:bookmarkStart w:id="5038" w:name="_Toc70876624"/>
      <w:bookmarkStart w:id="5039" w:name="_Toc72615256"/>
      <w:bookmarkStart w:id="5040" w:name="_Toc73129980"/>
      <w:bookmarkStart w:id="5041" w:name="_Toc73301853"/>
      <w:bookmarkStart w:id="5042" w:name="_Toc73302359"/>
      <w:bookmarkStart w:id="5043" w:name="_Toc73303492"/>
      <w:bookmarkStart w:id="5044" w:name="_Toc73303701"/>
    </w:p>
    <w:p w14:paraId="34A08E72" w14:textId="2D7B3E06" w:rsidR="00BD74BE" w:rsidRDefault="00BD74BE" w:rsidP="00EA22AE">
      <w:pPr>
        <w:spacing w:after="120"/>
        <w:rPr>
          <w:rFonts w:ascii="Calibri" w:hAnsi="Calibri" w:cs="Calibri"/>
          <w:sz w:val="22"/>
          <w:szCs w:val="22"/>
        </w:rPr>
      </w:pPr>
    </w:p>
    <w:p w14:paraId="3A8ABE4E" w14:textId="2BD5C292" w:rsidR="00BD74BE" w:rsidRPr="007336D0" w:rsidRDefault="00BD74BE" w:rsidP="00EA22AE">
      <w:pPr>
        <w:spacing w:after="120"/>
        <w:rPr>
          <w:rFonts w:ascii="Calibri" w:hAnsi="Calibri" w:cs="Calibri"/>
          <w:sz w:val="22"/>
          <w:szCs w:val="22"/>
        </w:rPr>
      </w:pPr>
    </w:p>
    <w:p w14:paraId="70CE1D4C" w14:textId="0FF8C1FC" w:rsidR="006C6EBA" w:rsidRPr="006720E4" w:rsidRDefault="006C6EBA" w:rsidP="00EA22AE">
      <w:pPr>
        <w:pStyle w:val="Heading2"/>
        <w:spacing w:after="120"/>
      </w:pPr>
      <w:bookmarkStart w:id="5045" w:name="_Organ_and_tissue_1"/>
      <w:bookmarkStart w:id="5046" w:name="_Toc79330914"/>
      <w:bookmarkStart w:id="5047" w:name="_Toc79331294"/>
      <w:bookmarkStart w:id="5048" w:name="_Toc79406509"/>
      <w:bookmarkStart w:id="5049" w:name="_Toc82773746"/>
      <w:bookmarkStart w:id="5050" w:name="_Toc82774099"/>
      <w:bookmarkStart w:id="5051" w:name="_Toc128314247"/>
      <w:bookmarkStart w:id="5052" w:name="_Toc135131492"/>
      <w:bookmarkEnd w:id="5045"/>
      <w:r w:rsidRPr="006720E4">
        <w:t>Organ and tissue donation by infants with anencephaly</w:t>
      </w:r>
      <w:bookmarkEnd w:id="5046"/>
      <w:bookmarkEnd w:id="5047"/>
      <w:bookmarkEnd w:id="5048"/>
      <w:bookmarkEnd w:id="5049"/>
      <w:bookmarkEnd w:id="5050"/>
      <w:bookmarkEnd w:id="5051"/>
      <w:bookmarkEnd w:id="5052"/>
    </w:p>
    <w:p w14:paraId="2E46F009" w14:textId="5536A12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rare circumstances, the possibility of organ or tissue donation may be considered on behalf of an infant born with the central nervous system disorder anencephaly. If a foetus is diagnosed with anencephaly in utero, the pregnant woman may also seek to determine if organ donation in particular will be a possibility. </w:t>
      </w:r>
    </w:p>
    <w:p w14:paraId="727353D2" w14:textId="2BD0853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Anencephaly, in which much of the core brain tissues and surrounding structures are absent, is not curable. It is associated with limited life expectancy unless life sustaining interventions are implemented. Parents of an infant with anencephaly may have a strong interest in the possibility of organ donation in order to help other children via organ transplantation, so that the tragic loss of their own infant has a positive outcome for others.  </w:t>
      </w:r>
    </w:p>
    <w:p w14:paraId="4D63953A" w14:textId="724A2F3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usual ethical and legal standards that apply in the context of organ donation also apply to infants with anencephaly, including the obligation to respect </w:t>
      </w:r>
      <w:r w:rsidRPr="006720E4">
        <w:rPr>
          <w:rFonts w:ascii="Calibri" w:hAnsi="Calibri" w:cs="Calibri"/>
          <w:color w:val="000000" w:themeColor="text1"/>
          <w:sz w:val="22"/>
          <w:szCs w:val="22"/>
        </w:rPr>
        <w:t xml:space="preserve">the </w:t>
      </w:r>
      <w:hyperlink r:id="rId132" w:anchor="_Understanding_the_" w:history="1">
        <w:r w:rsidRPr="006720E4">
          <w:rPr>
            <w:rStyle w:val="Hyperlink"/>
            <w:rFonts w:ascii="Calibri" w:hAnsi="Calibri" w:cs="Calibri"/>
            <w:color w:val="000000" w:themeColor="text1"/>
            <w:sz w:val="22"/>
            <w:szCs w:val="22"/>
            <w:u w:val="none"/>
          </w:rPr>
          <w:t>dead</w:t>
        </w:r>
      </w:hyperlink>
      <w:r w:rsidRPr="006720E4">
        <w:rPr>
          <w:rStyle w:val="Hyperlink"/>
          <w:rFonts w:ascii="Calibri" w:hAnsi="Calibri" w:cs="Calibri"/>
          <w:color w:val="000000" w:themeColor="text1"/>
          <w:sz w:val="22"/>
          <w:szCs w:val="22"/>
          <w:u w:val="none"/>
        </w:rPr>
        <w:t xml:space="preserve"> donor </w:t>
      </w:r>
      <w:r w:rsidRPr="00BF3C95">
        <w:rPr>
          <w:rStyle w:val="Hyperlink"/>
          <w:rFonts w:ascii="Calibri" w:hAnsi="Calibri" w:cs="Calibri"/>
          <w:color w:val="000000" w:themeColor="text1"/>
          <w:sz w:val="22"/>
          <w:szCs w:val="22"/>
          <w:u w:val="none"/>
        </w:rPr>
        <w:t xml:space="preserve">rule (see </w:t>
      </w:r>
      <w:hyperlink r:id="rId133" w:anchor="_Understanding_the_" w:history="1">
        <w:r w:rsidRPr="00BF3C95">
          <w:rPr>
            <w:rStyle w:val="Hyperlink"/>
            <w:rFonts w:ascii="Calibri" w:hAnsi="Calibri" w:cs="Calibri"/>
            <w:sz w:val="22"/>
            <w:szCs w:val="22"/>
          </w:rPr>
          <w:t>Chapter 1</w:t>
        </w:r>
        <w:r w:rsidR="00BF3C95" w:rsidRPr="00BF3C95">
          <w:rPr>
            <w:rStyle w:val="Hyperlink"/>
            <w:rFonts w:ascii="Calibri" w:hAnsi="Calibri" w:cs="Calibri"/>
            <w:sz w:val="22"/>
            <w:szCs w:val="22"/>
          </w:rPr>
          <w:t>1</w:t>
        </w:r>
        <w:r w:rsidRPr="00BF3C95">
          <w:rPr>
            <w:rStyle w:val="Hyperlink"/>
            <w:rFonts w:ascii="Calibri" w:hAnsi="Calibri" w:cs="Calibri"/>
            <w:sz w:val="22"/>
            <w:szCs w:val="22"/>
          </w:rPr>
          <w:t>.1</w:t>
        </w:r>
      </w:hyperlink>
      <w:r w:rsidRPr="00BF3C95">
        <w:rPr>
          <w:rStyle w:val="Hyperlink"/>
          <w:rFonts w:ascii="Calibri" w:hAnsi="Calibri" w:cs="Calibri"/>
          <w:color w:val="000000" w:themeColor="text1"/>
          <w:sz w:val="22"/>
          <w:szCs w:val="22"/>
          <w:u w:val="none"/>
        </w:rPr>
        <w:t>)</w:t>
      </w:r>
      <w:r w:rsidRPr="006720E4">
        <w:rPr>
          <w:rFonts w:ascii="Calibri" w:hAnsi="Calibri" w:cs="Calibri"/>
          <w:color w:val="000000" w:themeColor="text1"/>
          <w:sz w:val="22"/>
          <w:szCs w:val="22"/>
        </w:rPr>
        <w:t xml:space="preserve"> </w:t>
      </w:r>
      <w:r w:rsidRPr="006720E4">
        <w:rPr>
          <w:rFonts w:ascii="Calibri" w:hAnsi="Calibri" w:cs="Calibri"/>
          <w:color w:val="000000" w:themeColor="text1"/>
          <w:sz w:val="22"/>
          <w:szCs w:val="22"/>
        </w:rPr>
        <w:lastRenderedPageBreak/>
        <w:t xml:space="preserve">Infants with anencephaly are unlikely to meet </w:t>
      </w:r>
      <w:r w:rsidRPr="006720E4">
        <w:rPr>
          <w:rFonts w:ascii="Calibri" w:hAnsi="Calibri" w:cs="Calibri"/>
          <w:sz w:val="22"/>
          <w:szCs w:val="22"/>
        </w:rPr>
        <w:t>the criteria for neurological determination of death, and there may be clinical complexities or barriers to determination of death by neurological criteria in these infants.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{"citationItems":[{"id":"ITEM-1","itemData":{"DOI":"10.1111/ejh.13313","ISSN":"16000609","PMID":"31418923","abstract":"Purpose of the study: To discuss the ethical challenges for the therapeutic team when dealing with a young savior sibling as a potential tissue donor. Basic procedures: Savior siblings are children that are created to serve a sibling as a donor of umbilical cord blood, bone marrow, or peripheral blood from which hematopoietic stem cells are derived. These cells are used for hematopoietic stem cell therapy, which is the only curative treatment for certain hemoglobinopathies. We used a case including a 19-year-old thalassemia patient and his two and a half year old sister from our practice as ethics consultants. Our methodological basis is the principlism approach by Beauchamp and Childress, consisting of four principles: autonomy, non-maleficence, beneficence, and justice. Main findings: We found that the main conflict arises between the autonomy of the savior sibling as well as the non-maleficence regarding her and the beneficence of the thalassemia patient. Principal conclusions: Decision-making is complex when decisions within the family are concerned, especially when non-competent young children are involved. The therapeutic team does not only have to recognize the principal vulnerability of children but also the different scales of vulnerability depending on their age.","author":[{"dropping-particle":"","family":"Rubeis","given":"Giovanni","non-dropping-particle":"","parse-names":false,"suffix":""},{"dropping-particle":"","family":"Steger","given":"Florian","non-dropping-particle":"","parse-names":false,"suffix":""}],"container-title":"European Journal of Haematology","id":"ITEM-1","issue":"5","issued":{"date-parts":[["2019"]]},"page":"478-482","title":"Saving whom? The ethical challenges of harvesting tissue from savior siblings","type":"article-journal","volume":"103"},"uris":["http://www.mendeley.com/documents/?uuid=c78705d4-ed9f-4e23-bd73-3bacd1c59dca"]},{"id":"ITEM-2","itemData":{"DOI":"10.1136/jme.2003.004150","ISSN":"03066800","PMID":"15574438","abstract":"By using tissue typing in conjunction with preimplantation genetic diagnosis doctors are able to pick a human embryo for implantation which, if all goes well, will become a \"saviour sibling\", a brother or sister capable of donating life-saving tissue to an existing child. This paper addresses the question of whether this form of selection should be banned and concludes that it should not. Three main prohibitionist arguments are considered and found wanting: (a) the claim that saviour siblings would be treated as commodities; (b) a slippery slope argument, which suggests that this practice will lead to the creation of so-called \"designer babies\"; and (c) a child welfare argument, according to which saviour siblings will be physically and/or psychologically harmed.","author":[{"dropping-particle":"","family":"Sheldon","given":"S.","non-dropping-particle":"","parse-names":false,"suffix":""},{"dropping-particle":"","family":"Wilkinson","given":"S.","non-dropping-particle":"","parse-names":false,"suffix":""}],"container-title":"Journal of Medical Ethics","id":"ITEM-2","issue":"6","issued":{"date-parts":[["2004"]]},"page":"533-537","title":"Should selecting saviour siblings be banned?","type":"article-journal","volume":"30"},"uris":["http://www.mendeley.com/documents/?uuid=fb048dae-9944-4f94-8f24-7e25236c067d"]}],"mendeley":{"formattedCitation":"(182,183)","plainTextFormattedCitation":"(182,183)","previouslyFormattedCitation":"(182,183)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(182,183)</w:t>
      </w:r>
      <w:r w:rsidRPr="006720E4">
        <w:rPr>
          <w:rFonts w:ascii="Calibri" w:hAnsi="Calibri" w:cs="Calibri"/>
          <w:sz w:val="22"/>
          <w:szCs w:val="22"/>
        </w:rPr>
        <w:fldChar w:fldCharType="end"/>
      </w:r>
      <w:r w:rsidRPr="006720E4">
        <w:rPr>
          <w:rFonts w:ascii="Calibri" w:hAnsi="Calibri" w:cs="Calibri"/>
          <w:sz w:val="22"/>
          <w:szCs w:val="22"/>
        </w:rPr>
        <w:t xml:space="preserve"> However, donation following circulatory determination of death may be possible in some cases.</w:t>
      </w:r>
    </w:p>
    <w:p w14:paraId="0060A851" w14:textId="12D39E4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Health professionals and members of the public may hold diverse opinions with regards to the ethical acceptability of initiating life sustaining interventions in a newborn infant for the purpose of facilitating organ donation,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{"citationItems":[{"id":"ITEM-1","itemData":{"DOI":"10.1093/pch/10.6.335","ISSN":"12057088","author":[{"dropping-particle":"","family":"Canadian Paediatric Society","given":"","non-dropping-particle":"","parse-names":false,"suffix":""}],"container-title":"Paediatrics and Child Health","id":"ITEM-1","issue":"6","issued":{"date-parts":[["2005"]]},"page":"335-341","title":"Use of anencephalic newborns as organ donors (Position statement B2005-01)","type":"article-journal","volume":"10"},"uris":["http://www.mendeley.com/documents/?uuid=fabf8613-ad8a-47a2-b660-d0e8251780c4"]},{"id":"ITEM-2","itemData":{"DOI":"10.1111/apa.13281","ISSN":"16512227","PMID":"26676258","abstract":"Aim Following the elective ventilation and referral for organ donation of an infant with anencephaly, we sought local perinatal professionals' views of this practice. Methods Anonymous online survey: demographics, ethical viewpoints and potential public/maternal perceptions (standard 5-part Likert scale and free text). Results Demographics: 49 replies (38 female): 4 obstetricians, 14 neonatologists, 6 foetal clinicians, 23 nurses, 1 anaesthetist and 1 reproductive specialist. Experience: 0.5-33 years (average 12). Twenty-one had experience of anencephalic delivery, and 10 reported pregnancy continued for religious reasons. Ethics: (i) 73% thought anencephalic donation acceptable, of which 64% supported elective ventilation, 20% neutral and 16% disagreed. (ii) Provision of treatments not in infant's strict best interest to facilitate donation: 22% strongly agreed, 36% agreed, 33% neutral and 9% disagreed. (iii) Accept ventilation to permit donation if societal benefit: 53% agreed, 33% neutral and 13% disagreed. (iv) Public opinion: 59% disagreed anencephalic donation would harm public opinion about donation and 19% agreed. Conclusion We found a supportive local environment for donation in the setting of anencephaly, including support for elective ventilation. Given this, and our ethical analysis, we recommend provision of organ donation information as part of palliative care counselling for women carrying a foetus with a condition likely to be fatal in infancy.","author":[{"dropping-particle":"","family":"Jivraj","given":"Alisa","non-dropping-particle":"","parse-names":false,"suffix":""},{"dropping-particle":"","family":"Scales","given":"Angie","non-dropping-particle":"","parse-names":false,"suffix":""},{"dropping-particle":"","family":"Brierley","given":"Joe","non-dropping-particle":"","parse-names":false,"suffix":""}],"container-title":"Acta Paediatrica, International Journal of Paediatrics","id":"ITEM-2","issue":"5","issued":{"date-parts":[["2016"]]},"page":"494-498","title":"Elective ventilation to facilitate organ donation in infants with anencephaly: Perinatal professionals' views and an ethical analysis","type":"article-journal","volume":"105"},"uris":["http://www.mendeley.com/documents/?uuid=d4cd7102-910f-4f83-8a32-a325b4b34e28"]}],"mendeley":{"formattedCitation":"(184,185)","plainTextFormattedCitation":"(184,185)","previouslyFormattedCitation":"(184,185)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(184,185)</w:t>
      </w:r>
      <w:r w:rsidRPr="006720E4">
        <w:rPr>
          <w:rFonts w:ascii="Calibri" w:hAnsi="Calibri" w:cs="Calibri"/>
          <w:sz w:val="22"/>
          <w:szCs w:val="22"/>
        </w:rPr>
        <w:fldChar w:fldCharType="end"/>
      </w:r>
      <w:r w:rsidRPr="006720E4">
        <w:rPr>
          <w:rFonts w:ascii="Calibri" w:hAnsi="Calibri" w:cs="Calibri"/>
          <w:sz w:val="22"/>
          <w:szCs w:val="22"/>
        </w:rPr>
        <w:t xml:space="preserve"> and some professionals may choose to conscientiously object to involvement in end-of-life care in such </w:t>
      </w:r>
      <w:r w:rsidRPr="00BF3C95">
        <w:rPr>
          <w:rFonts w:ascii="Calibri" w:hAnsi="Calibri" w:cs="Calibri"/>
          <w:sz w:val="22"/>
          <w:szCs w:val="22"/>
        </w:rPr>
        <w:t xml:space="preserve">cases (see </w:t>
      </w:r>
      <w:hyperlink w:anchor="_Conscientious_objection_in" w:history="1">
        <w:r w:rsidRPr="00BF3C95">
          <w:rPr>
            <w:rStyle w:val="Hyperlink"/>
            <w:rFonts w:ascii="Calibri" w:hAnsi="Calibri" w:cs="Calibri"/>
            <w:sz w:val="22"/>
            <w:szCs w:val="22"/>
          </w:rPr>
          <w:t>Chapter</w:t>
        </w:r>
      </w:hyperlink>
      <w:r w:rsidRPr="00BF3C95">
        <w:rPr>
          <w:rStyle w:val="Hyperlink"/>
          <w:rFonts w:ascii="Calibri" w:hAnsi="Calibri" w:cs="Calibri"/>
          <w:sz w:val="22"/>
          <w:szCs w:val="22"/>
        </w:rPr>
        <w:t xml:space="preserve"> </w:t>
      </w:r>
      <w:r w:rsidR="009760C2" w:rsidRPr="00BF3C95">
        <w:rPr>
          <w:rStyle w:val="Hyperlink"/>
          <w:rFonts w:ascii="Calibri" w:hAnsi="Calibri" w:cs="Calibri"/>
          <w:sz w:val="22"/>
          <w:szCs w:val="22"/>
        </w:rPr>
        <w:t>3</w:t>
      </w:r>
      <w:r w:rsidRPr="00BF3C95">
        <w:rPr>
          <w:rStyle w:val="Hyperlink"/>
          <w:rFonts w:ascii="Calibri" w:hAnsi="Calibri" w:cs="Calibri"/>
          <w:sz w:val="22"/>
          <w:szCs w:val="22"/>
        </w:rPr>
        <w:t>.</w:t>
      </w:r>
      <w:r w:rsidR="009760C2" w:rsidRPr="00BF3C95">
        <w:rPr>
          <w:rStyle w:val="Hyperlink"/>
          <w:rFonts w:ascii="Calibri" w:hAnsi="Calibri" w:cs="Calibri"/>
          <w:sz w:val="22"/>
          <w:szCs w:val="22"/>
        </w:rPr>
        <w:t>7</w:t>
      </w:r>
      <w:r w:rsidRPr="00BF3C95">
        <w:rPr>
          <w:rStyle w:val="Hyperlink"/>
          <w:rFonts w:ascii="Calibri" w:hAnsi="Calibri" w:cs="Calibri"/>
          <w:sz w:val="22"/>
          <w:szCs w:val="22"/>
        </w:rPr>
        <w:t>.1</w:t>
      </w:r>
      <w:r w:rsidRPr="00BF3C95">
        <w:rPr>
          <w:rFonts w:ascii="Calibri" w:hAnsi="Calibri" w:cs="Calibri"/>
          <w:sz w:val="22"/>
          <w:szCs w:val="22"/>
        </w:rPr>
        <w:t>). Decisions</w:t>
      </w:r>
      <w:r w:rsidRPr="006720E4">
        <w:rPr>
          <w:rFonts w:ascii="Calibri" w:hAnsi="Calibri" w:cs="Calibri"/>
          <w:sz w:val="22"/>
          <w:szCs w:val="22"/>
        </w:rPr>
        <w:t xml:space="preserve"> made regarding end-of-life care including use or cessation of life-sustaining interventions should be made with regards to the best interests of the </w:t>
      </w:r>
      <w:r w:rsidRPr="00BF3C95">
        <w:rPr>
          <w:rFonts w:ascii="Calibri" w:hAnsi="Calibri" w:cs="Calibri"/>
          <w:sz w:val="22"/>
          <w:szCs w:val="22"/>
        </w:rPr>
        <w:t xml:space="preserve">infant (see </w:t>
      </w:r>
      <w:hyperlink w:anchor="_Children:_Best_interests_1" w:history="1">
        <w:r w:rsidRPr="00BF3C95">
          <w:rPr>
            <w:rStyle w:val="Hyperlink"/>
            <w:rFonts w:ascii="Calibri" w:hAnsi="Calibri" w:cs="Calibri"/>
            <w:sz w:val="22"/>
            <w:szCs w:val="22"/>
          </w:rPr>
          <w:t xml:space="preserve">Chapter </w:t>
        </w:r>
        <w:r w:rsidR="009760C2" w:rsidRPr="00BF3C95">
          <w:rPr>
            <w:rStyle w:val="Hyperlink"/>
            <w:rFonts w:ascii="Calibri" w:hAnsi="Calibri" w:cs="Calibri"/>
            <w:sz w:val="22"/>
            <w:szCs w:val="22"/>
          </w:rPr>
          <w:t>5</w:t>
        </w:r>
        <w:r w:rsidRPr="00BF3C95">
          <w:rPr>
            <w:rStyle w:val="Hyperlink"/>
            <w:rFonts w:ascii="Calibri" w:hAnsi="Calibri" w:cs="Calibri"/>
            <w:sz w:val="22"/>
            <w:szCs w:val="22"/>
          </w:rPr>
          <w:t>.3.1</w:t>
        </w:r>
      </w:hyperlink>
      <w:r w:rsidRPr="00BF3C95">
        <w:rPr>
          <w:rFonts w:ascii="Calibri" w:hAnsi="Calibri" w:cs="Calibri"/>
          <w:sz w:val="22"/>
          <w:szCs w:val="22"/>
        </w:rPr>
        <w:t xml:space="preserve"> and </w:t>
      </w:r>
      <w:hyperlink w:anchor="_Pre-mortem_interventions_for_1" w:history="1">
        <w:r w:rsidRPr="00BF3C95">
          <w:rPr>
            <w:rStyle w:val="Hyperlink"/>
            <w:rFonts w:ascii="Calibri" w:hAnsi="Calibri" w:cs="Calibri"/>
            <w:sz w:val="22"/>
            <w:szCs w:val="22"/>
          </w:rPr>
          <w:t>Chapter 1</w:t>
        </w:r>
        <w:r w:rsidR="00BF3C95" w:rsidRPr="00BF3C95">
          <w:rPr>
            <w:rStyle w:val="Hyperlink"/>
            <w:rFonts w:ascii="Calibri" w:hAnsi="Calibri" w:cs="Calibri"/>
            <w:sz w:val="22"/>
            <w:szCs w:val="22"/>
          </w:rPr>
          <w:t>1</w:t>
        </w:r>
        <w:r w:rsidRPr="00BF3C95">
          <w:rPr>
            <w:rStyle w:val="Hyperlink"/>
            <w:rFonts w:ascii="Calibri" w:hAnsi="Calibri" w:cs="Calibri"/>
            <w:sz w:val="22"/>
            <w:szCs w:val="22"/>
          </w:rPr>
          <w:t>.4</w:t>
        </w:r>
      </w:hyperlink>
      <w:r w:rsidRPr="00BF3C95">
        <w:rPr>
          <w:rFonts w:ascii="Calibri" w:hAnsi="Calibri" w:cs="Calibri"/>
          <w:sz w:val="22"/>
          <w:szCs w:val="22"/>
        </w:rPr>
        <w:t>).</w:t>
      </w:r>
      <w:r w:rsidRPr="006720E4">
        <w:rPr>
          <w:rFonts w:ascii="Calibri" w:hAnsi="Calibri" w:cs="Calibri"/>
          <w:sz w:val="22"/>
          <w:szCs w:val="22"/>
        </w:rPr>
        <w:t xml:space="preserve"> </w:t>
      </w:r>
    </w:p>
    <w:p w14:paraId="164732C4" w14:textId="0BF4225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Parents expecting the birth of an infant with anencephaly require careful support in planning for the birth and managing expectations with regards to donation opportunities that may arise. Options including donation of umbilical cord </w:t>
      </w:r>
      <w:r w:rsidRPr="00BF3C95">
        <w:rPr>
          <w:rFonts w:ascii="Calibri" w:hAnsi="Calibri" w:cs="Calibri"/>
          <w:sz w:val="22"/>
          <w:szCs w:val="22"/>
        </w:rPr>
        <w:t xml:space="preserve">blood (see </w:t>
      </w:r>
      <w:hyperlink w:anchor="_Uterus_transplantation_1" w:history="1">
        <w:r w:rsidRPr="00BF3C95">
          <w:rPr>
            <w:rStyle w:val="Hyperlink"/>
            <w:rFonts w:ascii="Calibri" w:hAnsi="Calibri" w:cs="Calibri"/>
            <w:sz w:val="22"/>
            <w:szCs w:val="22"/>
          </w:rPr>
          <w:t>Chapter 1</w:t>
        </w:r>
        <w:r w:rsidR="00BF3C95" w:rsidRPr="00BF3C95">
          <w:rPr>
            <w:rStyle w:val="Hyperlink"/>
            <w:rFonts w:ascii="Calibri" w:hAnsi="Calibri" w:cs="Calibri"/>
            <w:sz w:val="22"/>
            <w:szCs w:val="22"/>
          </w:rPr>
          <w:t>2</w:t>
        </w:r>
        <w:r w:rsidRPr="00BF3C95">
          <w:rPr>
            <w:rStyle w:val="Hyperlink"/>
            <w:rFonts w:ascii="Calibri" w:hAnsi="Calibri" w:cs="Calibri"/>
            <w:sz w:val="22"/>
            <w:szCs w:val="22"/>
          </w:rPr>
          <w:t>.4</w:t>
        </w:r>
      </w:hyperlink>
      <w:r w:rsidRPr="00BF3C95">
        <w:rPr>
          <w:rFonts w:ascii="Calibri" w:hAnsi="Calibri" w:cs="Calibri"/>
          <w:sz w:val="22"/>
          <w:szCs w:val="22"/>
        </w:rPr>
        <w:t>) and tissue donation</w:t>
      </w:r>
      <w:r w:rsidRPr="006720E4">
        <w:rPr>
          <w:rFonts w:ascii="Calibri" w:hAnsi="Calibri" w:cs="Calibri"/>
          <w:sz w:val="22"/>
          <w:szCs w:val="22"/>
        </w:rPr>
        <w:t xml:space="preserve"> should also be explored in conjunction with any discussion of potential organ donation.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{"citationItems":[{"id":"ITEM-1","itemData":{"DOI":"10.1111/apa.13281","ISSN":"16512227","PMID":"26676258","abstract":"Aim Following the elective ventilation and referral for organ donation of an infant with anencephaly, we sought local perinatal professionals' views of this practice. Methods Anonymous online survey: demographics, ethical viewpoints and potential public/maternal perceptions (standard 5-part Likert scale and free text). Results Demographics: 49 replies (38 female): 4 obstetricians, 14 neonatologists, 6 foetal clinicians, 23 nurses, 1 anaesthetist and 1 reproductive specialist. Experience: 0.5-33 years (average 12). Twenty-one had experience of anencephalic delivery, and 10 reported pregnancy continued for religious reasons. Ethics: (i) 73% thought anencephalic donation acceptable, of which 64% supported elective ventilation, 20% neutral and 16% disagreed. (ii) Provision of treatments not in infant's strict best interest to facilitate donation: 22% strongly agreed, 36% agreed, 33% neutral and 9% disagreed. (iii) Accept ventilation to permit donation if societal benefit: 53% agreed, 33% neutral and 13% disagreed. (iv) Public opinion: 59% disagreed anencephalic donation would harm public opinion about donation and 19% agreed. Conclusion We found a supportive local environment for donation in the setting of anencephaly, including support for elective ventilation. Given this, and our ethical analysis, we recommend provision of organ donation information as part of palliative care counselling for women carrying a foetus with a condition likely to be fatal in infancy.","author":[{"dropping-particle":"","family":"Jivraj","given":"Alisa","non-dropping-particle":"","parse-names":false,"suffix":""},{"dropping-particle":"","family":"Scales","given":"Angie","non-dropping-particle":"","parse-names":false,"suffix":""},{"dropping-particle":"","family":"Brierley","given":"Joe","non-dropping-particle":"","parse-names":false,"suffix":""}],"container-title":"Acta Paediatrica, International Journal of Paediatrics","id":"ITEM-1","issue":"5","issued":{"date-parts":[["2016"]]},"page":"494-498","title":"Elective ventilation to facilitate organ donation in infants with anencephaly: Perinatal professionals' views and an ethical analysis","type":"article-journal","volume":"105"},"uris":["http://www.mendeley.com/documents/?uuid=d4cd7102-910f-4f83-8a32-a325b4b34e28"]}],"mendeley":{"formattedCitation":"(185)","plainTextFormattedCitation":"(185)","previouslyFormattedCitation":"(185)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(185)</w:t>
      </w:r>
      <w:r w:rsidRPr="006720E4">
        <w:rPr>
          <w:rFonts w:ascii="Calibri" w:hAnsi="Calibri" w:cs="Calibri"/>
          <w:sz w:val="22"/>
          <w:szCs w:val="22"/>
        </w:rPr>
        <w:fldChar w:fldCharType="end"/>
      </w:r>
      <w:bookmarkStart w:id="5053" w:name="_Use_and_allocation"/>
      <w:bookmarkEnd w:id="5053"/>
    </w:p>
    <w:p w14:paraId="14560C1A" w14:textId="77777777" w:rsidR="006C6EBA" w:rsidRPr="006720E4" w:rsidRDefault="006C6EBA" w:rsidP="00EA22AE">
      <w:pPr>
        <w:spacing w:after="120"/>
        <w:rPr>
          <w:rFonts w:ascii="Calibri" w:hAnsi="Calibri" w:cs="Calibri"/>
        </w:rPr>
      </w:pPr>
    </w:p>
    <w:p w14:paraId="4BA17619" w14:textId="77777777" w:rsidR="006C6EBA" w:rsidRPr="006720E4" w:rsidRDefault="006C6EBA" w:rsidP="00EA22AE">
      <w:pPr>
        <w:spacing w:after="120"/>
        <w:rPr>
          <w:rFonts w:ascii="Calibri" w:hAnsi="Calibri" w:cs="Calibri"/>
          <w:sz w:val="22"/>
          <w:szCs w:val="22"/>
        </w:rPr>
      </w:pPr>
    </w:p>
    <w:p w14:paraId="7A190DD9" w14:textId="77777777" w:rsidR="00F94371" w:rsidRPr="006720E4" w:rsidRDefault="00F94371" w:rsidP="00EA22AE">
      <w:pPr>
        <w:spacing w:after="120"/>
        <w:rPr>
          <w:rFonts w:ascii="Calibri" w:hAnsi="Calibri" w:cs="Calibri"/>
          <w:b/>
          <w:bCs/>
          <w:color w:val="4472C4" w:themeColor="accent1"/>
          <w:sz w:val="32"/>
          <w:szCs w:val="32"/>
          <w:u w:val="single"/>
        </w:rPr>
      </w:pPr>
      <w:bookmarkStart w:id="5054" w:name="_Ethical_issues_in_1"/>
      <w:bookmarkStart w:id="5055" w:name="_Miscellaneous_issues_in"/>
      <w:bookmarkStart w:id="5056" w:name="_Toc70414995"/>
      <w:bookmarkStart w:id="5057" w:name="_Toc70844315"/>
      <w:bookmarkStart w:id="5058" w:name="_Toc70859038"/>
      <w:bookmarkStart w:id="5059" w:name="_Toc70861139"/>
      <w:bookmarkStart w:id="5060" w:name="_Toc70876625"/>
      <w:bookmarkStart w:id="5061" w:name="_Toc72615257"/>
      <w:bookmarkStart w:id="5062" w:name="_Toc73129981"/>
      <w:bookmarkStart w:id="5063" w:name="_Toc73301854"/>
      <w:bookmarkStart w:id="5064" w:name="_Toc73302360"/>
      <w:bookmarkStart w:id="5065" w:name="_Toc73303493"/>
      <w:bookmarkStart w:id="5066" w:name="_Toc73303702"/>
      <w:bookmarkStart w:id="5067" w:name="_Toc74080829"/>
      <w:bookmarkStart w:id="5068" w:name="_Toc74081137"/>
      <w:bookmarkStart w:id="5069" w:name="_Toc74081367"/>
      <w:bookmarkStart w:id="5070" w:name="_Toc74081648"/>
      <w:bookmarkStart w:id="5071" w:name="_Toc74171198"/>
      <w:bookmarkStart w:id="5072" w:name="_Toc74172425"/>
      <w:bookmarkStart w:id="5073" w:name="_Toc74172959"/>
      <w:bookmarkStart w:id="5074" w:name="_Toc74238872"/>
      <w:bookmarkStart w:id="5075" w:name="_Toc78304814"/>
      <w:bookmarkStart w:id="5076" w:name="_Toc79330916"/>
      <w:bookmarkStart w:id="5077" w:name="_Toc79331296"/>
      <w:bookmarkStart w:id="5078" w:name="_Toc79406513"/>
      <w:bookmarkStart w:id="5079" w:name="_Toc82773750"/>
      <w:bookmarkStart w:id="5080" w:name="_Toc82774103"/>
      <w:bookmarkStart w:id="5081" w:name="_Toc128314249"/>
      <w:bookmarkStart w:id="5082" w:name="_Toc63683509"/>
      <w:bookmarkStart w:id="5083" w:name="_Toc70241858"/>
      <w:bookmarkStart w:id="5084" w:name="_Toc70243493"/>
      <w:bookmarkStart w:id="5085" w:name="_Toc70328786"/>
      <w:bookmarkStart w:id="5086" w:name="_Toc70334016"/>
      <w:bookmarkEnd w:id="5034"/>
      <w:bookmarkEnd w:id="5035"/>
      <w:bookmarkEnd w:id="5036"/>
      <w:bookmarkEnd w:id="5037"/>
      <w:bookmarkEnd w:id="5038"/>
      <w:bookmarkEnd w:id="5039"/>
      <w:bookmarkEnd w:id="5040"/>
      <w:bookmarkEnd w:id="5041"/>
      <w:bookmarkEnd w:id="5042"/>
      <w:bookmarkEnd w:id="5043"/>
      <w:bookmarkEnd w:id="5044"/>
      <w:bookmarkEnd w:id="5054"/>
      <w:bookmarkEnd w:id="5055"/>
      <w:r w:rsidRPr="006720E4">
        <w:rPr>
          <w:rFonts w:ascii="Calibri" w:hAnsi="Calibri" w:cs="Calibri"/>
        </w:rPr>
        <w:br w:type="page"/>
      </w:r>
    </w:p>
    <w:p w14:paraId="0C3C6D2F" w14:textId="3615B6F8" w:rsidR="006C6EBA" w:rsidRPr="006720E4" w:rsidRDefault="006C6EBA" w:rsidP="00EA22AE">
      <w:pPr>
        <w:pStyle w:val="Heading1"/>
      </w:pPr>
      <w:bookmarkStart w:id="5087" w:name="_Miscellaneous_issues_in_1"/>
      <w:bookmarkStart w:id="5088" w:name="_Toc135131493"/>
      <w:bookmarkEnd w:id="5087"/>
      <w:r w:rsidRPr="006720E4">
        <w:lastRenderedPageBreak/>
        <w:t>Miscellaneous issues in donation</w:t>
      </w:r>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r w:rsidRPr="006720E4">
        <w:t xml:space="preserve"> and transplantation</w:t>
      </w:r>
      <w:bookmarkEnd w:id="5076"/>
      <w:bookmarkEnd w:id="5077"/>
      <w:bookmarkEnd w:id="5078"/>
      <w:bookmarkEnd w:id="5079"/>
      <w:bookmarkEnd w:id="5080"/>
      <w:bookmarkEnd w:id="5081"/>
      <w:bookmarkEnd w:id="5088"/>
    </w:p>
    <w:p w14:paraId="05355E3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this chapter, a number of ethical issues relating to donation and transplantation of cells, tissues and organs are briefly explored. These include ethical considerations with regards to:</w:t>
      </w:r>
    </w:p>
    <w:p w14:paraId="6B6C6262" w14:textId="37E140E2" w:rsidR="006C6EBA" w:rsidRPr="006720E4" w:rsidRDefault="006C6EBA" w:rsidP="00C3783C">
      <w:pPr>
        <w:pStyle w:val="ListParagraph"/>
        <w:numPr>
          <w:ilvl w:val="0"/>
          <w:numId w:val="58"/>
        </w:numPr>
        <w:spacing w:after="120"/>
        <w:contextualSpacing w:val="0"/>
        <w:rPr>
          <w:rFonts w:cs="Calibri"/>
          <w:szCs w:val="22"/>
        </w:rPr>
      </w:pPr>
      <w:r w:rsidRPr="006720E4">
        <w:rPr>
          <w:rFonts w:cs="Calibri"/>
          <w:szCs w:val="22"/>
        </w:rPr>
        <w:t>Public solicitation of living organ donors (</w:t>
      </w:r>
      <w:hyperlink w:anchor="_Public_solicitation_of" w:history="1">
        <w:r w:rsidRPr="006720E4">
          <w:rPr>
            <w:rStyle w:val="Hyperlink"/>
            <w:rFonts w:cs="Calibri"/>
            <w:szCs w:val="22"/>
          </w:rPr>
          <w:t>Chapter 1</w:t>
        </w:r>
        <w:r w:rsidR="00BC449E">
          <w:rPr>
            <w:rStyle w:val="Hyperlink"/>
            <w:rFonts w:cs="Calibri"/>
            <w:szCs w:val="22"/>
          </w:rPr>
          <w:t>2</w:t>
        </w:r>
        <w:r w:rsidRPr="006720E4">
          <w:rPr>
            <w:rStyle w:val="Hyperlink"/>
            <w:rFonts w:cs="Calibri"/>
            <w:szCs w:val="22"/>
          </w:rPr>
          <w:t>.1</w:t>
        </w:r>
      </w:hyperlink>
      <w:r w:rsidRPr="006720E4">
        <w:rPr>
          <w:rFonts w:cs="Calibri"/>
          <w:szCs w:val="22"/>
        </w:rPr>
        <w:t>)</w:t>
      </w:r>
    </w:p>
    <w:p w14:paraId="380733DA" w14:textId="732A21D0" w:rsidR="006C6EBA" w:rsidRPr="006720E4" w:rsidRDefault="006C6EBA" w:rsidP="00C3783C">
      <w:pPr>
        <w:pStyle w:val="ListParagraph"/>
        <w:numPr>
          <w:ilvl w:val="0"/>
          <w:numId w:val="58"/>
        </w:numPr>
        <w:spacing w:after="120"/>
        <w:contextualSpacing w:val="0"/>
        <w:rPr>
          <w:rFonts w:cs="Calibri"/>
          <w:szCs w:val="22"/>
        </w:rPr>
      </w:pPr>
      <w:r w:rsidRPr="006720E4">
        <w:rPr>
          <w:rFonts w:cs="Calibri"/>
          <w:szCs w:val="22"/>
        </w:rPr>
        <w:t>Vouchers for living kidney donors (</w:t>
      </w:r>
      <w:hyperlink w:anchor="_Living_organ_donor" w:history="1">
        <w:r w:rsidRPr="006720E4">
          <w:rPr>
            <w:rStyle w:val="Hyperlink"/>
            <w:rFonts w:cs="Calibri"/>
            <w:szCs w:val="22"/>
          </w:rPr>
          <w:t>Chapter 1</w:t>
        </w:r>
        <w:r w:rsidR="00BC449E">
          <w:rPr>
            <w:rStyle w:val="Hyperlink"/>
            <w:rFonts w:cs="Calibri"/>
            <w:szCs w:val="22"/>
          </w:rPr>
          <w:t>2</w:t>
        </w:r>
        <w:r w:rsidRPr="006720E4">
          <w:rPr>
            <w:rStyle w:val="Hyperlink"/>
            <w:rFonts w:cs="Calibri"/>
            <w:szCs w:val="22"/>
          </w:rPr>
          <w:t>.2</w:t>
        </w:r>
      </w:hyperlink>
      <w:r w:rsidRPr="006720E4">
        <w:rPr>
          <w:rFonts w:cs="Calibri"/>
          <w:szCs w:val="22"/>
        </w:rPr>
        <w:t>)</w:t>
      </w:r>
    </w:p>
    <w:p w14:paraId="075CFB8E" w14:textId="2AD57DE2" w:rsidR="006C6EBA" w:rsidRPr="006720E4" w:rsidRDefault="006C6EBA" w:rsidP="00C3783C">
      <w:pPr>
        <w:pStyle w:val="ListParagraph"/>
        <w:numPr>
          <w:ilvl w:val="0"/>
          <w:numId w:val="58"/>
        </w:numPr>
        <w:spacing w:after="120"/>
        <w:contextualSpacing w:val="0"/>
        <w:rPr>
          <w:rFonts w:cs="Calibri"/>
          <w:szCs w:val="22"/>
        </w:rPr>
      </w:pPr>
      <w:r w:rsidRPr="006720E4">
        <w:rPr>
          <w:rFonts w:cs="Calibri"/>
          <w:szCs w:val="22"/>
        </w:rPr>
        <w:t>Directed, restricted and conditional donation (</w:t>
      </w:r>
      <w:hyperlink w:anchor="_Toc70415003" w:history="1">
        <w:r w:rsidRPr="006720E4">
          <w:rPr>
            <w:rStyle w:val="Hyperlink"/>
            <w:rFonts w:cs="Calibri"/>
            <w:szCs w:val="22"/>
          </w:rPr>
          <w:t>Chapter 1</w:t>
        </w:r>
        <w:r w:rsidR="00BC449E">
          <w:rPr>
            <w:rStyle w:val="Hyperlink"/>
            <w:rFonts w:cs="Calibri"/>
            <w:szCs w:val="22"/>
          </w:rPr>
          <w:t>2</w:t>
        </w:r>
        <w:r w:rsidRPr="006720E4">
          <w:rPr>
            <w:rStyle w:val="Hyperlink"/>
            <w:rFonts w:cs="Calibri"/>
            <w:szCs w:val="22"/>
          </w:rPr>
          <w:t>.3</w:t>
        </w:r>
      </w:hyperlink>
      <w:r w:rsidRPr="006720E4">
        <w:rPr>
          <w:rFonts w:cs="Calibri"/>
          <w:szCs w:val="22"/>
        </w:rPr>
        <w:t>)</w:t>
      </w:r>
    </w:p>
    <w:p w14:paraId="152B2365" w14:textId="6C0AB16B" w:rsidR="006C6EBA" w:rsidRPr="006720E4" w:rsidRDefault="006C6EBA" w:rsidP="00C3783C">
      <w:pPr>
        <w:pStyle w:val="ListParagraph"/>
        <w:numPr>
          <w:ilvl w:val="0"/>
          <w:numId w:val="58"/>
        </w:numPr>
        <w:spacing w:after="120"/>
        <w:contextualSpacing w:val="0"/>
        <w:rPr>
          <w:rFonts w:cs="Calibri"/>
          <w:szCs w:val="22"/>
        </w:rPr>
      </w:pPr>
      <w:r w:rsidRPr="006720E4">
        <w:rPr>
          <w:rFonts w:cs="Calibri"/>
          <w:szCs w:val="22"/>
        </w:rPr>
        <w:t>Umbilical cord blood banking (</w:t>
      </w:r>
      <w:hyperlink w:anchor="_Uterus_transplantation_1" w:history="1">
        <w:r w:rsidRPr="006720E4">
          <w:rPr>
            <w:rStyle w:val="Hyperlink"/>
            <w:rFonts w:cs="Calibri"/>
            <w:szCs w:val="22"/>
          </w:rPr>
          <w:t>Chapter 1</w:t>
        </w:r>
        <w:r w:rsidR="00BC449E">
          <w:rPr>
            <w:rStyle w:val="Hyperlink"/>
            <w:rFonts w:cs="Calibri"/>
            <w:szCs w:val="22"/>
          </w:rPr>
          <w:t>2</w:t>
        </w:r>
        <w:r w:rsidRPr="006720E4">
          <w:rPr>
            <w:rStyle w:val="Hyperlink"/>
            <w:rFonts w:cs="Calibri"/>
            <w:szCs w:val="22"/>
          </w:rPr>
          <w:t>.4</w:t>
        </w:r>
      </w:hyperlink>
      <w:r w:rsidRPr="006720E4">
        <w:rPr>
          <w:rFonts w:cs="Calibri"/>
          <w:szCs w:val="22"/>
        </w:rPr>
        <w:t>)</w:t>
      </w:r>
    </w:p>
    <w:p w14:paraId="32F9A4FF" w14:textId="0AF2D4DD" w:rsidR="006C6EBA" w:rsidRPr="006720E4" w:rsidRDefault="006C6EBA" w:rsidP="00C3783C">
      <w:pPr>
        <w:pStyle w:val="ListParagraph"/>
        <w:numPr>
          <w:ilvl w:val="0"/>
          <w:numId w:val="58"/>
        </w:numPr>
        <w:spacing w:after="120"/>
        <w:contextualSpacing w:val="0"/>
        <w:rPr>
          <w:rFonts w:cs="Calibri"/>
          <w:szCs w:val="22"/>
        </w:rPr>
      </w:pPr>
      <w:r w:rsidRPr="006720E4">
        <w:rPr>
          <w:rFonts w:cs="Calibri"/>
          <w:szCs w:val="22"/>
        </w:rPr>
        <w:t>Uterus donation and transplantation (</w:t>
      </w:r>
      <w:hyperlink w:anchor="_Uterus_transplantation" w:history="1">
        <w:r w:rsidRPr="006720E4">
          <w:rPr>
            <w:rStyle w:val="Hyperlink"/>
            <w:rFonts w:cs="Calibri"/>
            <w:szCs w:val="22"/>
          </w:rPr>
          <w:t>Chapter 1</w:t>
        </w:r>
        <w:r w:rsidR="00BC449E">
          <w:rPr>
            <w:rStyle w:val="Hyperlink"/>
            <w:rFonts w:cs="Calibri"/>
            <w:szCs w:val="22"/>
          </w:rPr>
          <w:t>2</w:t>
        </w:r>
        <w:r w:rsidRPr="006720E4">
          <w:rPr>
            <w:rStyle w:val="Hyperlink"/>
            <w:rFonts w:cs="Calibri"/>
            <w:szCs w:val="22"/>
          </w:rPr>
          <w:t>.5</w:t>
        </w:r>
      </w:hyperlink>
      <w:r w:rsidRPr="006720E4">
        <w:rPr>
          <w:rFonts w:cs="Calibri"/>
          <w:szCs w:val="22"/>
        </w:rPr>
        <w:t>)</w:t>
      </w:r>
    </w:p>
    <w:p w14:paraId="2E3B932B" w14:textId="5420DE94" w:rsidR="006C6EBA" w:rsidRPr="006720E4" w:rsidRDefault="006C6EBA" w:rsidP="00C3783C">
      <w:pPr>
        <w:pStyle w:val="ListParagraph"/>
        <w:numPr>
          <w:ilvl w:val="0"/>
          <w:numId w:val="58"/>
        </w:numPr>
        <w:spacing w:after="120"/>
        <w:contextualSpacing w:val="0"/>
        <w:rPr>
          <w:rFonts w:cs="Calibri"/>
          <w:szCs w:val="22"/>
        </w:rPr>
      </w:pPr>
      <w:r w:rsidRPr="006720E4">
        <w:rPr>
          <w:rFonts w:cs="Calibri"/>
          <w:szCs w:val="22"/>
        </w:rPr>
        <w:t>Vascular composite allografts (</w:t>
      </w:r>
      <w:hyperlink w:anchor="_Ethical_considerations_of" w:history="1">
        <w:r w:rsidRPr="006720E4">
          <w:rPr>
            <w:rStyle w:val="Hyperlink"/>
            <w:rFonts w:cs="Calibri"/>
            <w:szCs w:val="22"/>
          </w:rPr>
          <w:t>Chapter 1</w:t>
        </w:r>
        <w:r w:rsidR="00BC449E">
          <w:rPr>
            <w:rStyle w:val="Hyperlink"/>
            <w:rFonts w:cs="Calibri"/>
            <w:szCs w:val="22"/>
          </w:rPr>
          <w:t>2</w:t>
        </w:r>
        <w:r w:rsidRPr="006720E4">
          <w:rPr>
            <w:rStyle w:val="Hyperlink"/>
            <w:rFonts w:cs="Calibri"/>
            <w:szCs w:val="22"/>
          </w:rPr>
          <w:t>.6</w:t>
        </w:r>
      </w:hyperlink>
      <w:r w:rsidRPr="006720E4">
        <w:rPr>
          <w:rFonts w:cs="Calibri"/>
          <w:szCs w:val="22"/>
        </w:rPr>
        <w:t>)</w:t>
      </w:r>
    </w:p>
    <w:p w14:paraId="3E89ABDE" w14:textId="1F0614B0" w:rsidR="006C6EBA" w:rsidRPr="006720E4" w:rsidRDefault="006C6EBA" w:rsidP="00C3783C">
      <w:pPr>
        <w:pStyle w:val="ListParagraph"/>
        <w:numPr>
          <w:ilvl w:val="0"/>
          <w:numId w:val="58"/>
        </w:numPr>
        <w:spacing w:after="120"/>
        <w:contextualSpacing w:val="0"/>
        <w:rPr>
          <w:rFonts w:cs="Calibri"/>
          <w:szCs w:val="22"/>
        </w:rPr>
      </w:pPr>
      <w:r w:rsidRPr="006720E4">
        <w:rPr>
          <w:rFonts w:cs="Calibri"/>
          <w:szCs w:val="22"/>
        </w:rPr>
        <w:t>Intersections between donation and transplantation and research (</w:t>
      </w:r>
      <w:hyperlink w:anchor="_Intersections_between_donation_2" w:history="1">
        <w:r w:rsidRPr="006720E4">
          <w:rPr>
            <w:rStyle w:val="Hyperlink"/>
            <w:rFonts w:cs="Calibri"/>
            <w:szCs w:val="22"/>
          </w:rPr>
          <w:t>Chapter 1</w:t>
        </w:r>
        <w:r w:rsidR="00BC449E">
          <w:rPr>
            <w:rStyle w:val="Hyperlink"/>
            <w:rFonts w:cs="Calibri"/>
            <w:szCs w:val="22"/>
          </w:rPr>
          <w:t>2</w:t>
        </w:r>
        <w:r w:rsidRPr="006720E4">
          <w:rPr>
            <w:rStyle w:val="Hyperlink"/>
            <w:rFonts w:cs="Calibri"/>
            <w:szCs w:val="22"/>
          </w:rPr>
          <w:t>.7</w:t>
        </w:r>
      </w:hyperlink>
      <w:r w:rsidRPr="006720E4">
        <w:rPr>
          <w:rFonts w:cs="Calibri"/>
          <w:szCs w:val="22"/>
        </w:rPr>
        <w:t>)</w:t>
      </w:r>
    </w:p>
    <w:p w14:paraId="429335EB" w14:textId="079016C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Further readings and resources of relevant to this chapter can </w:t>
      </w:r>
      <w:r w:rsidRPr="009C2EF0">
        <w:rPr>
          <w:rFonts w:ascii="Calibri" w:hAnsi="Calibri" w:cs="Calibri"/>
          <w:sz w:val="22"/>
          <w:szCs w:val="22"/>
        </w:rPr>
        <w:t xml:space="preserve">be found in </w:t>
      </w:r>
      <w:hyperlink w:anchor="_Appendix_3_–" w:history="1">
        <w:r w:rsidR="009C2EF0" w:rsidRPr="009C2EF0">
          <w:rPr>
            <w:rStyle w:val="Hyperlink"/>
            <w:rFonts w:ascii="Calibri" w:hAnsi="Calibri" w:cs="Calibri"/>
            <w:sz w:val="22"/>
            <w:szCs w:val="22"/>
          </w:rPr>
          <w:t>Appendix 1</w:t>
        </w:r>
      </w:hyperlink>
      <w:r w:rsidR="009C2EF0" w:rsidRPr="009C2EF0">
        <w:rPr>
          <w:rFonts w:ascii="Calibri" w:hAnsi="Calibri" w:cs="Calibri"/>
          <w:sz w:val="22"/>
          <w:szCs w:val="22"/>
        </w:rPr>
        <w:t>.</w:t>
      </w:r>
    </w:p>
    <w:p w14:paraId="24886325" w14:textId="77777777" w:rsidR="006C6EBA" w:rsidRPr="006720E4" w:rsidRDefault="006C6EBA" w:rsidP="00EA22AE">
      <w:pPr>
        <w:pStyle w:val="Heading2"/>
        <w:spacing w:after="120"/>
      </w:pPr>
      <w:bookmarkStart w:id="5089" w:name="_Public_solicitation_of"/>
      <w:bookmarkStart w:id="5090" w:name="_Toc63683523"/>
      <w:bookmarkStart w:id="5091" w:name="_Toc70241873"/>
      <w:bookmarkStart w:id="5092" w:name="_Toc70243508"/>
      <w:bookmarkStart w:id="5093" w:name="_Toc70328790"/>
      <w:bookmarkStart w:id="5094" w:name="_Toc70334020"/>
      <w:bookmarkStart w:id="5095" w:name="_Toc70414996"/>
      <w:bookmarkStart w:id="5096" w:name="_Toc70844316"/>
      <w:bookmarkStart w:id="5097" w:name="_Toc70859039"/>
      <w:bookmarkStart w:id="5098" w:name="_Toc70861140"/>
      <w:bookmarkStart w:id="5099" w:name="_Toc70876626"/>
      <w:bookmarkStart w:id="5100" w:name="_Toc72615258"/>
      <w:bookmarkStart w:id="5101" w:name="_Toc73129982"/>
      <w:bookmarkStart w:id="5102" w:name="_Toc73301855"/>
      <w:bookmarkStart w:id="5103" w:name="_Toc73302361"/>
      <w:bookmarkStart w:id="5104" w:name="_Toc73303494"/>
      <w:bookmarkStart w:id="5105" w:name="_Toc73303703"/>
      <w:bookmarkStart w:id="5106" w:name="_Toc74080830"/>
      <w:bookmarkStart w:id="5107" w:name="_Toc74081138"/>
      <w:bookmarkStart w:id="5108" w:name="_Toc74081368"/>
      <w:bookmarkStart w:id="5109" w:name="_Toc74081649"/>
      <w:bookmarkStart w:id="5110" w:name="_Toc74171199"/>
      <w:bookmarkStart w:id="5111" w:name="_Toc74172426"/>
      <w:bookmarkStart w:id="5112" w:name="_Toc74172960"/>
      <w:bookmarkStart w:id="5113" w:name="_Toc74238873"/>
      <w:bookmarkStart w:id="5114" w:name="_Toc78304815"/>
      <w:bookmarkStart w:id="5115" w:name="_Toc79330917"/>
      <w:bookmarkStart w:id="5116" w:name="_Toc79331297"/>
      <w:bookmarkStart w:id="5117" w:name="_Toc79406514"/>
      <w:bookmarkStart w:id="5118" w:name="_Toc82773751"/>
      <w:bookmarkStart w:id="5119" w:name="_Toc82774104"/>
      <w:bookmarkStart w:id="5120" w:name="_Toc128314250"/>
      <w:bookmarkStart w:id="5121" w:name="_Toc135131494"/>
      <w:bookmarkEnd w:id="5089"/>
      <w:r w:rsidRPr="006720E4">
        <w:t>Public solicitation of living organ donors</w:t>
      </w:r>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p>
    <w:p w14:paraId="1F505610" w14:textId="1E20090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Public solicitation of living organ donors refers to a variety of strategies that a person in need of a kidney, or liver transplant (or someone acting on their behalf) may use to recruit potential donors from their communities and the wider public. This may involve posting notices on social media, joining online platforms that aim to connect potential organ donors and recipients, or making public appeals for donors via stories published in news media.  </w:t>
      </w:r>
    </w:p>
    <w:p w14:paraId="59770C29" w14:textId="5B46F0B6" w:rsidR="00FE7CF8" w:rsidRPr="007E1B57" w:rsidRDefault="006C6EBA" w:rsidP="00EA22AE">
      <w:pPr>
        <w:pStyle w:val="Guidelinesnormalparagraph"/>
        <w:rPr>
          <w:rFonts w:ascii="Calibri" w:hAnsi="Calibri" w:cs="Calibri"/>
          <w:kern w:val="0"/>
          <w:szCs w:val="22"/>
          <w:u w:color="0000FF"/>
          <w:lang w:val="en-GB"/>
        </w:rPr>
      </w:pPr>
      <w:r w:rsidRPr="006720E4">
        <w:rPr>
          <w:rFonts w:ascii="Calibri" w:hAnsi="Calibri" w:cs="Calibri"/>
          <w:szCs w:val="22"/>
        </w:rPr>
        <w:t xml:space="preserve">In many countries, people may be legally prohibited from advertising their need for a living donor because of laws aimed at preventing organ or tissue trafficking. In Australia, </w:t>
      </w:r>
      <w:r w:rsidR="00FE7CF8">
        <w:rPr>
          <w:rFonts w:ascii="Calibri" w:hAnsi="Calibri" w:cs="Calibri"/>
          <w:kern w:val="0"/>
          <w:szCs w:val="22"/>
          <w:u w:color="0000FF"/>
          <w:lang w:val="en-GB"/>
        </w:rPr>
        <w:t xml:space="preserve">some jurisdictions have </w:t>
      </w:r>
      <w:r w:rsidR="00FE7CF8" w:rsidRPr="007E1B57">
        <w:rPr>
          <w:rFonts w:ascii="Calibri" w:hAnsi="Calibri" w:cs="Calibri"/>
          <w:kern w:val="0"/>
          <w:szCs w:val="22"/>
          <w:u w:color="0000FF"/>
          <w:lang w:val="en-GB"/>
        </w:rPr>
        <w:t>laws prohibit</w:t>
      </w:r>
      <w:r w:rsidR="00FE7CF8">
        <w:rPr>
          <w:rFonts w:ascii="Calibri" w:hAnsi="Calibri" w:cs="Calibri"/>
          <w:kern w:val="0"/>
          <w:szCs w:val="22"/>
          <w:u w:color="0000FF"/>
          <w:lang w:val="en-GB"/>
        </w:rPr>
        <w:t>ing</w:t>
      </w:r>
      <w:r w:rsidR="00FE7CF8" w:rsidRPr="007E1B57">
        <w:rPr>
          <w:rFonts w:ascii="Calibri" w:hAnsi="Calibri" w:cs="Calibri"/>
          <w:kern w:val="0"/>
          <w:szCs w:val="22"/>
          <w:u w:color="0000FF"/>
          <w:lang w:val="en-GB"/>
        </w:rPr>
        <w:t xml:space="preserve"> advertising the buying or selling of human tissues, i.e., when “valuable consideration” is offered for </w:t>
      </w:r>
      <w:r w:rsidR="00FE7CF8" w:rsidRPr="001C7AED">
        <w:rPr>
          <w:rFonts w:ascii="Calibri" w:hAnsi="Calibri" w:cs="Calibri"/>
          <w:kern w:val="0"/>
          <w:szCs w:val="22"/>
          <w:u w:color="0000FF"/>
          <w:lang w:val="en-GB"/>
        </w:rPr>
        <w:t>organs or tissues</w:t>
      </w:r>
      <w:r w:rsidR="00FE7CF8">
        <w:rPr>
          <w:rFonts w:ascii="Calibri" w:hAnsi="Calibri" w:cs="Calibri"/>
          <w:kern w:val="0"/>
          <w:szCs w:val="22"/>
          <w:u w:color="0000FF"/>
          <w:lang w:val="en-GB"/>
        </w:rPr>
        <w:t xml:space="preserve"> </w:t>
      </w:r>
      <w:r w:rsidR="00FE7CF8" w:rsidRPr="0045712D">
        <w:rPr>
          <w:rFonts w:ascii="Calibri" w:hAnsi="Calibri" w:cs="Calibri"/>
          <w:szCs w:val="22"/>
        </w:rPr>
        <w:t xml:space="preserve">(see </w:t>
      </w:r>
      <w:hyperlink w:anchor="_Legal_aspects_of_1" w:history="1">
        <w:r w:rsidR="00FE7CF8" w:rsidRPr="0045712D">
          <w:rPr>
            <w:rStyle w:val="Hyperlink"/>
            <w:rFonts w:ascii="Calibri" w:hAnsi="Calibri" w:cs="Calibri"/>
            <w:szCs w:val="22"/>
          </w:rPr>
          <w:t>Chapter 10.2</w:t>
        </w:r>
      </w:hyperlink>
      <w:r w:rsidR="00FE7CF8" w:rsidRPr="0045712D">
        <w:rPr>
          <w:rFonts w:ascii="Calibri" w:hAnsi="Calibri" w:cs="Calibri"/>
          <w:szCs w:val="22"/>
        </w:rPr>
        <w:t xml:space="preserve">). </w:t>
      </w:r>
      <w:r w:rsidR="00FE7CF8" w:rsidRPr="001C7AED">
        <w:rPr>
          <w:rFonts w:ascii="Calibri" w:hAnsi="Calibri" w:cs="Calibri"/>
          <w:kern w:val="0"/>
          <w:szCs w:val="22"/>
          <w:u w:color="0000FF"/>
          <w:lang w:val="en-GB"/>
        </w:rPr>
        <w:t>However</w:t>
      </w:r>
      <w:r w:rsidR="00FE7CF8" w:rsidRPr="007E1B57">
        <w:rPr>
          <w:rFonts w:ascii="Calibri" w:hAnsi="Calibri" w:cs="Calibri"/>
          <w:kern w:val="0"/>
          <w:szCs w:val="22"/>
          <w:u w:color="0000FF"/>
          <w:lang w:val="en-GB"/>
        </w:rPr>
        <w:t xml:space="preserve">, </w:t>
      </w:r>
      <w:r w:rsidR="00FE7CF8">
        <w:rPr>
          <w:rFonts w:ascii="Calibri" w:hAnsi="Calibri" w:cs="Calibri"/>
          <w:kern w:val="0"/>
          <w:szCs w:val="22"/>
          <w:u w:color="0000FF"/>
          <w:lang w:val="en-GB"/>
        </w:rPr>
        <w:t xml:space="preserve">the prohibition does not apply to adverts </w:t>
      </w:r>
      <w:r w:rsidR="00FE7CF8" w:rsidRPr="007E1B57">
        <w:rPr>
          <w:rFonts w:ascii="Calibri" w:hAnsi="Calibri" w:cs="Calibri"/>
          <w:kern w:val="0"/>
          <w:szCs w:val="22"/>
          <w:u w:color="0000FF"/>
          <w:lang w:val="en-GB"/>
        </w:rPr>
        <w:t>seeking an unpaid altruistic donor.</w:t>
      </w:r>
    </w:p>
    <w:p w14:paraId="40F1D47B" w14:textId="59A3824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Such donors may be described as directed donors, as they are recruited with the plan of directing their donation to specified individuals. Unlike most directed donors, however, those who are recruited via public campaigns may be strangers to the intended recipients prior to their recruitment. In some cases, efforts to recruit a living organ donor may result in individuals volunteering to donate who are part of the intended recipient’s wider acquaintance or community but who do not have a close relationship with them. </w:t>
      </w:r>
      <w:r w:rsidR="007D4839">
        <w:rPr>
          <w:rFonts w:ascii="Calibri" w:hAnsi="Calibri" w:cs="Calibri"/>
          <w:sz w:val="22"/>
          <w:szCs w:val="22"/>
        </w:rPr>
        <w:t xml:space="preserve">See </w:t>
      </w:r>
      <w:r w:rsidR="007D4839" w:rsidRPr="007D4839">
        <w:rPr>
          <w:rFonts w:ascii="Calibri" w:hAnsi="Calibri" w:cs="Calibri"/>
          <w:b/>
          <w:bCs/>
          <w:sz w:val="22"/>
          <w:szCs w:val="22"/>
        </w:rPr>
        <w:t>Box 12.1</w:t>
      </w:r>
      <w:r w:rsidR="007D4839">
        <w:rPr>
          <w:rFonts w:ascii="Calibri" w:hAnsi="Calibri" w:cs="Calibri"/>
          <w:sz w:val="22"/>
          <w:szCs w:val="22"/>
        </w:rPr>
        <w:t xml:space="preserve"> for a summary of ethical recommendations with regards to recruitment of living donors.</w:t>
      </w:r>
    </w:p>
    <w:p w14:paraId="1871482E" w14:textId="0ECC030F" w:rsidR="006C6EBA" w:rsidRPr="006720E4" w:rsidRDefault="006C6EBA" w:rsidP="00EA22AE">
      <w:pPr>
        <w:spacing w:after="120"/>
        <w:rPr>
          <w:rFonts w:ascii="Calibri" w:hAnsi="Calibri" w:cs="Calibri"/>
        </w:rPr>
      </w:pPr>
      <w:r w:rsidRPr="006720E4">
        <w:rPr>
          <w:rFonts w:ascii="Calibri" w:hAnsi="Calibri" w:cs="Calibri"/>
          <w:sz w:val="22"/>
          <w:szCs w:val="22"/>
        </w:rPr>
        <w:t xml:space="preserve">Ethical considerations with regards to public solicitation of living organ donors are summarised in </w:t>
      </w:r>
      <w:hyperlink w:anchor="_Ethical_considerations_in_6" w:history="1">
        <w:r w:rsidRPr="0045712D">
          <w:rPr>
            <w:rStyle w:val="Hyperlink"/>
            <w:rFonts w:ascii="Calibri" w:hAnsi="Calibri" w:cs="Calibri"/>
            <w:sz w:val="22"/>
            <w:szCs w:val="22"/>
          </w:rPr>
          <w:t>Chapter 1</w:t>
        </w:r>
        <w:r w:rsidR="0045712D" w:rsidRPr="0045712D">
          <w:rPr>
            <w:rStyle w:val="Hyperlink"/>
            <w:rFonts w:ascii="Calibri" w:hAnsi="Calibri" w:cs="Calibri"/>
            <w:sz w:val="22"/>
            <w:szCs w:val="22"/>
          </w:rPr>
          <w:t>2</w:t>
        </w:r>
        <w:r w:rsidRPr="0045712D">
          <w:rPr>
            <w:rStyle w:val="Hyperlink"/>
            <w:rFonts w:ascii="Calibri" w:hAnsi="Calibri" w:cs="Calibri"/>
            <w:sz w:val="22"/>
            <w:szCs w:val="22"/>
          </w:rPr>
          <w:t>.1.1</w:t>
        </w:r>
      </w:hyperlink>
      <w:r w:rsidRPr="0045712D">
        <w:rPr>
          <w:rFonts w:ascii="Calibri" w:hAnsi="Calibri" w:cs="Calibri"/>
          <w:sz w:val="22"/>
          <w:szCs w:val="22"/>
        </w:rPr>
        <w:t xml:space="preserve"> and recommendations to manage these are explored in </w:t>
      </w:r>
      <w:hyperlink w:anchor="_Ethical_management_of" w:history="1">
        <w:r w:rsidRPr="0045712D">
          <w:rPr>
            <w:rStyle w:val="Hyperlink"/>
            <w:rFonts w:ascii="Calibri" w:hAnsi="Calibri" w:cs="Calibri"/>
            <w:sz w:val="22"/>
            <w:szCs w:val="22"/>
          </w:rPr>
          <w:t>Chapter 1</w:t>
        </w:r>
        <w:r w:rsidR="0045712D" w:rsidRPr="0045712D">
          <w:rPr>
            <w:rStyle w:val="Hyperlink"/>
            <w:rFonts w:ascii="Calibri" w:hAnsi="Calibri" w:cs="Calibri"/>
            <w:sz w:val="22"/>
            <w:szCs w:val="22"/>
          </w:rPr>
          <w:t>2</w:t>
        </w:r>
        <w:r w:rsidRPr="0045712D">
          <w:rPr>
            <w:rStyle w:val="Hyperlink"/>
            <w:rFonts w:ascii="Calibri" w:hAnsi="Calibri" w:cs="Calibri"/>
            <w:sz w:val="22"/>
            <w:szCs w:val="22"/>
          </w:rPr>
          <w:t>.1.2</w:t>
        </w:r>
      </w:hyperlink>
      <w:r w:rsidRPr="0045712D">
        <w:rPr>
          <w:rFonts w:ascii="Calibri" w:hAnsi="Calibri" w:cs="Calibri"/>
          <w:sz w:val="22"/>
          <w:szCs w:val="22"/>
        </w:rPr>
        <w:t>.</w:t>
      </w:r>
    </w:p>
    <w:p w14:paraId="4CEAC9DA" w14:textId="76933BFB" w:rsidR="006C6EBA" w:rsidRPr="006720E4" w:rsidRDefault="006C6EBA" w:rsidP="00EA22AE">
      <w:pPr>
        <w:pStyle w:val="Heading3"/>
        <w:spacing w:after="120"/>
      </w:pPr>
      <w:bookmarkStart w:id="5122" w:name="_Ethical_considerations_in_6"/>
      <w:bookmarkStart w:id="5123" w:name="_Toc82773752"/>
      <w:bookmarkStart w:id="5124" w:name="_Toc82774105"/>
      <w:bookmarkEnd w:id="5122"/>
      <w:r w:rsidRPr="006720E4">
        <w:t>Ethical considerations in public solicitation of living organ donors</w:t>
      </w:r>
      <w:bookmarkEnd w:id="5123"/>
      <w:bookmarkEnd w:id="5124"/>
    </w:p>
    <w:p w14:paraId="664E926D" w14:textId="77777777" w:rsidR="006C6EBA" w:rsidRPr="006720E4" w:rsidRDefault="006C6EBA" w:rsidP="00EA22AE">
      <w:pPr>
        <w:spacing w:after="120"/>
        <w:rPr>
          <w:rFonts w:ascii="Calibri" w:hAnsi="Calibri" w:cs="Calibri"/>
        </w:rPr>
      </w:pPr>
      <w:r w:rsidRPr="006720E4">
        <w:rPr>
          <w:rFonts w:ascii="Calibri" w:hAnsi="Calibri" w:cs="Calibri"/>
          <w:sz w:val="22"/>
          <w:szCs w:val="22"/>
        </w:rPr>
        <w:t>Depending on the nature of the strategies used to recruit potential donors and of the relationship that exists between prospective donors and the intended organ recipient, several ethical concerns may arise. These include:</w:t>
      </w:r>
    </w:p>
    <w:p w14:paraId="6F543E74" w14:textId="0970F277" w:rsidR="006C6EBA" w:rsidRPr="006720E4" w:rsidRDefault="006C6EBA" w:rsidP="00C3783C">
      <w:pPr>
        <w:pStyle w:val="ListParagraph"/>
        <w:numPr>
          <w:ilvl w:val="0"/>
          <w:numId w:val="127"/>
        </w:numPr>
        <w:spacing w:after="120"/>
        <w:contextualSpacing w:val="0"/>
        <w:rPr>
          <w:rFonts w:cs="Calibri"/>
          <w:szCs w:val="22"/>
        </w:rPr>
      </w:pPr>
      <w:r w:rsidRPr="006720E4">
        <w:rPr>
          <w:rFonts w:cs="Calibri"/>
          <w:szCs w:val="22"/>
        </w:rPr>
        <w:t xml:space="preserve">The possibility that donors recruited via public solicitation methods may seek to obtain payment for their donation and/or that those soliciting a donor may offer such payment in order to secure the donation. </w:t>
      </w:r>
    </w:p>
    <w:p w14:paraId="0DECE6B3" w14:textId="77ABB223" w:rsidR="006C6EBA" w:rsidRPr="006720E4" w:rsidRDefault="006C6EBA" w:rsidP="00C3783C">
      <w:pPr>
        <w:pStyle w:val="ListParagraph"/>
        <w:numPr>
          <w:ilvl w:val="0"/>
          <w:numId w:val="127"/>
        </w:numPr>
        <w:spacing w:after="120"/>
        <w:contextualSpacing w:val="0"/>
        <w:rPr>
          <w:rFonts w:cs="Calibri"/>
          <w:szCs w:val="22"/>
        </w:rPr>
      </w:pPr>
      <w:r w:rsidRPr="006720E4">
        <w:rPr>
          <w:rFonts w:cs="Calibri"/>
          <w:szCs w:val="22"/>
        </w:rPr>
        <w:t xml:space="preserve">If public solicitation leads to donation by a person who was not previously known to the transplant recipient, the donor and recipient pair will not have the anonymity that is usually present when a person chooses to volunteer make a non-directed donation to a stranger. </w:t>
      </w:r>
      <w:r w:rsidRPr="006720E4">
        <w:rPr>
          <w:rFonts w:cs="Calibri"/>
          <w:szCs w:val="22"/>
        </w:rPr>
        <w:lastRenderedPageBreak/>
        <w:t xml:space="preserve">This raises concerns about the risks involved in waiving anonymity in donation that are </w:t>
      </w:r>
      <w:r w:rsidRPr="007D4839">
        <w:rPr>
          <w:rFonts w:cs="Calibri"/>
          <w:szCs w:val="22"/>
        </w:rPr>
        <w:t xml:space="preserve">outlined in </w:t>
      </w:r>
      <w:hyperlink w:anchor="_Disclosure_of_identity_3" w:history="1">
        <w:r w:rsidRPr="007D4839">
          <w:rPr>
            <w:rStyle w:val="Hyperlink"/>
            <w:rFonts w:cs="Calibri"/>
            <w:szCs w:val="22"/>
          </w:rPr>
          <w:t xml:space="preserve">Chapter </w:t>
        </w:r>
        <w:r w:rsidR="007D4839" w:rsidRPr="007D4839">
          <w:rPr>
            <w:rStyle w:val="Hyperlink"/>
            <w:rFonts w:cs="Calibri"/>
            <w:szCs w:val="22"/>
          </w:rPr>
          <w:t>7</w:t>
        </w:r>
        <w:r w:rsidRPr="007D4839">
          <w:rPr>
            <w:rStyle w:val="Hyperlink"/>
            <w:rFonts w:cs="Calibri"/>
            <w:szCs w:val="22"/>
          </w:rPr>
          <w:t>.3.2</w:t>
        </w:r>
      </w:hyperlink>
      <w:r w:rsidRPr="007D4839">
        <w:rPr>
          <w:rFonts w:cs="Calibri"/>
          <w:szCs w:val="22"/>
        </w:rPr>
        <w:t>, such as the</w:t>
      </w:r>
      <w:r w:rsidRPr="006720E4">
        <w:rPr>
          <w:rFonts w:cs="Calibri"/>
          <w:szCs w:val="22"/>
        </w:rPr>
        <w:t xml:space="preserve"> potential for exploitation, or psychosocial difficulties in managing relationships.</w:t>
      </w:r>
    </w:p>
    <w:p w14:paraId="545B0C8F" w14:textId="7B3D0CC7" w:rsidR="006C6EBA" w:rsidRPr="006720E4" w:rsidRDefault="006C6EBA" w:rsidP="00C3783C">
      <w:pPr>
        <w:pStyle w:val="ListParagraph"/>
        <w:numPr>
          <w:ilvl w:val="0"/>
          <w:numId w:val="127"/>
        </w:numPr>
        <w:spacing w:after="120"/>
        <w:contextualSpacing w:val="0"/>
        <w:rPr>
          <w:rFonts w:cs="Calibri"/>
          <w:szCs w:val="22"/>
        </w:rPr>
      </w:pPr>
      <w:r w:rsidRPr="006720E4">
        <w:rPr>
          <w:rFonts w:cs="Calibri"/>
          <w:szCs w:val="22"/>
        </w:rPr>
        <w:t>Not all people in need of transplants may have the ability to publicly recruit an organ donor, and some may have advantages when they do solicit a donor. For example, public solicitation may be more likely to be successful if the transplant candidate and/or their family has specific characteristics that are deemed more socially desirable. Others have socioeconomic advantages that enable them to advertise their need for transplantation effectively. This raises concerns about inequities in access to transplantation, with public solicitation sometimes described as a kind of “beauty contest”.</w:t>
      </w:r>
      <w:r w:rsidRPr="006720E4">
        <w:rPr>
          <w:rFonts w:cs="Calibri"/>
          <w:szCs w:val="22"/>
        </w:rPr>
        <w:fldChar w:fldCharType="begin" w:fldLock="1"/>
      </w:r>
      <w:r w:rsidR="00EB088B">
        <w:rPr>
          <w:rFonts w:cs="Calibri"/>
          <w:szCs w:val="22"/>
        </w:rPr>
        <w:instrText>ADDIN CSL_CITATION {"citationItems":[{"id":"ITEM-1","itemData":{"DOI":"10.1016/j.healun.2018.07.014","ISSN":"15573117","PMID":"30197210","abstract":"Euthanasia is categorically prohibited in almost all countries throughout the world. In Belgium and the Netherlands, combining euthanasia and subsequent organ donation in a so-called donation after circulatory-death (DCD) procedure is feasible on legal and medical grounds, and is increasingly gaining social and ethical acceptance. However, heart transplantation after DCD is currently not performed in Belgium and the Netherlands after euthanasia due to concerns surrounding the prolonged warm ischemia time associated with DCD and its effect on subsequent heart function. A number of patients who undergo euthanasia explicitly express their wish to donate their organs in a “living organ donation” procedure, which then causes death. Assuming that euthanasia is permitted, as expressed in Dutch and Belgian legislation, this exploratory article addresses whether it is legally and ethically sound to donate organs, especially the heart, as a living donor and to perform euthanasia in the same procedure in a patient who fulfills the due diligence requirements for euthanasia. Organ donation euthanasia (ODE) would then cause death by the associated surgical procedure, and in addition would improve the quality of the other donated organs, a procedure that would fully respect the patient's autonomy.","author":[{"dropping-particle":"","family":"Bollen","given":"Jan A.M.","non-dropping-particle":"","parse-names":false,"suffix":""},{"dropping-particle":"","family":"Shaw","given":"David","non-dropping-particle":"","parse-names":false,"suffix":""},{"dropping-particle":"","family":"Wert","given":"Guido","non-dropping-particle":"de","parse-names":false,"suffix":""},{"dropping-particle":"","family":"Hoopen","given":"Rankie","non-dropping-particle":"ten","parse-names":false,"suffix":""},{"dropping-particle":"","family":"Ysebaert","given":"Dirk","non-dropping-particle":"","parse-names":false,"suffix":""},{"dropping-particle":"","family":"Heurn","given":"Ernst","non-dropping-particle":"van","parse-names":false,"suffix":""},{"dropping-particle":"","family":"Mook","given":"Walther N.K.A.","non-dropping-particle":"van","parse-names":false,"suffix":""}],"container-title":"Journal of Heart and Lung Transplantation","id":"ITEM-1","issue":"2","issued":{"date-parts":[["2019"]]},"page":"111-113","publisher":"Elsevier Inc.","title":"Euthanasia through living organ donation: Ethical, legal, and medical challenges","type":"article-journal","volume":"38"},"uris":["http://www.mendeley.com/documents/?uuid=0ef3ea81-0700-4555-aaa1-eab0539371bb"]}],"mendeley":{"formattedCitation":"(186)","plainTextFormattedCitation":"(186)","previouslyFormattedCitation":"(186)"},"properties":{"noteIndex":0},"schema":"https://github.com/citation-style-language/schema/raw/master/csl-citation.json"}</w:instrText>
      </w:r>
      <w:r w:rsidRPr="006720E4">
        <w:rPr>
          <w:rFonts w:cs="Calibri"/>
          <w:szCs w:val="22"/>
        </w:rPr>
        <w:fldChar w:fldCharType="separate"/>
      </w:r>
      <w:r w:rsidR="00BA3D76" w:rsidRPr="00BA3D76">
        <w:rPr>
          <w:rFonts w:cs="Calibri"/>
          <w:noProof/>
          <w:szCs w:val="22"/>
        </w:rPr>
        <w:t>(186)</w:t>
      </w:r>
      <w:r w:rsidRPr="006720E4">
        <w:rPr>
          <w:rFonts w:cs="Calibri"/>
          <w:szCs w:val="22"/>
        </w:rPr>
        <w:fldChar w:fldCharType="end"/>
      </w:r>
      <w:r w:rsidRPr="006720E4">
        <w:rPr>
          <w:rFonts w:cs="Calibri"/>
          <w:szCs w:val="22"/>
        </w:rPr>
        <w:t xml:space="preserve"> </w:t>
      </w:r>
    </w:p>
    <w:p w14:paraId="43FDB83E" w14:textId="65647B0D" w:rsidR="006C6EBA" w:rsidRPr="006720E4" w:rsidRDefault="006C6EBA" w:rsidP="00C3783C">
      <w:pPr>
        <w:pStyle w:val="ListParagraph"/>
        <w:numPr>
          <w:ilvl w:val="0"/>
          <w:numId w:val="128"/>
        </w:numPr>
        <w:spacing w:after="120"/>
        <w:contextualSpacing w:val="0"/>
        <w:rPr>
          <w:rFonts w:cs="Calibri"/>
          <w:szCs w:val="22"/>
        </w:rPr>
      </w:pPr>
      <w:r w:rsidRPr="006720E4">
        <w:rPr>
          <w:rFonts w:cs="Calibri"/>
          <w:szCs w:val="22"/>
        </w:rPr>
        <w:t>If public solicitation occurs, public perception of inequities may also undermine trust in donation programs. For example, if a wealthy individual advertises widely for a living donor, people may feel that individual has effectively bought a transplant, even if the donation that occurs is altruistic. This could undermine the willingness of some members of the public to participate in regular donation programs.</w:t>
      </w:r>
    </w:p>
    <w:p w14:paraId="77920ABF" w14:textId="60C7D7AA" w:rsidR="006C6EBA" w:rsidRPr="006720E4" w:rsidRDefault="006C6EBA" w:rsidP="00C3783C">
      <w:pPr>
        <w:pStyle w:val="ListParagraph"/>
        <w:numPr>
          <w:ilvl w:val="0"/>
          <w:numId w:val="128"/>
        </w:numPr>
        <w:spacing w:after="120"/>
        <w:contextualSpacing w:val="0"/>
        <w:rPr>
          <w:rFonts w:cs="Calibri"/>
          <w:szCs w:val="22"/>
        </w:rPr>
      </w:pPr>
      <w:r w:rsidRPr="006720E4">
        <w:rPr>
          <w:rFonts w:cs="Calibri"/>
          <w:szCs w:val="22"/>
        </w:rPr>
        <w:t>Public campaigns seeking living organ donors may sometimes result in large numbers of potential donors seeking information from donation agencies or volunteering. This can place significant burdens on organi</w:t>
      </w:r>
      <w:r w:rsidR="00B40543">
        <w:rPr>
          <w:rFonts w:cs="Calibri"/>
          <w:szCs w:val="22"/>
        </w:rPr>
        <w:t>s</w:t>
      </w:r>
      <w:r w:rsidRPr="006720E4">
        <w:rPr>
          <w:rFonts w:cs="Calibri"/>
          <w:szCs w:val="22"/>
        </w:rPr>
        <w:t xml:space="preserve">ations that are responsible for screening prospective donors. This is especially problematic if there is a high rate of attrition of prospective donors whose response to the campaign may reflect an impulsive decision rather than a deeper commitment to donation. </w:t>
      </w:r>
    </w:p>
    <w:p w14:paraId="38B334A1" w14:textId="5AD18A6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On the other hand, permitting public solicitation of living organ donors in some circumstances, for example where screening procedures and counselling can be used to reduce the risk of exploitation, trafficking, or other harmful outcomes, may have general benefits. These include the following:</w:t>
      </w:r>
    </w:p>
    <w:p w14:paraId="4DF6C60D" w14:textId="77777777" w:rsidR="006C6EBA" w:rsidRPr="006720E4" w:rsidRDefault="006C6EBA" w:rsidP="00C3783C">
      <w:pPr>
        <w:pStyle w:val="ListParagraph"/>
        <w:numPr>
          <w:ilvl w:val="0"/>
          <w:numId w:val="129"/>
        </w:numPr>
        <w:spacing w:after="120"/>
        <w:contextualSpacing w:val="0"/>
        <w:rPr>
          <w:rFonts w:cs="Calibri"/>
          <w:szCs w:val="22"/>
        </w:rPr>
      </w:pPr>
      <w:r w:rsidRPr="006720E4">
        <w:rPr>
          <w:rFonts w:cs="Calibri"/>
          <w:szCs w:val="22"/>
        </w:rPr>
        <w:t xml:space="preserve">Public solicitation efforts may draw attention to the wider problem of donor shortages and may motivate more people to become living non-directed donors. For example, some individuals who volunteer to donate to a person who has solicited a donor may be willing to donate to someone else if they do not qualify as a suitable match. </w:t>
      </w:r>
    </w:p>
    <w:p w14:paraId="0F18B818" w14:textId="33B73B61" w:rsidR="006C6EBA" w:rsidRPr="006720E4" w:rsidRDefault="006C6EBA" w:rsidP="00C3783C">
      <w:pPr>
        <w:pStyle w:val="ListParagraph"/>
        <w:numPr>
          <w:ilvl w:val="0"/>
          <w:numId w:val="129"/>
        </w:numPr>
        <w:spacing w:after="120"/>
        <w:contextualSpacing w:val="0"/>
        <w:rPr>
          <w:rFonts w:cs="Calibri"/>
          <w:szCs w:val="22"/>
        </w:rPr>
      </w:pPr>
      <w:r w:rsidRPr="006720E4">
        <w:rPr>
          <w:rFonts w:cs="Calibri"/>
          <w:szCs w:val="22"/>
        </w:rPr>
        <w:t>Some organ transplant candidates may feel more comfortable seeking a donor via public solicitation than asking a relative or friend to consider donating. The candidate’s friends or relatives may be inspired to volunteer as a directed donor in response to a more public call for donors.</w:t>
      </w:r>
    </w:p>
    <w:p w14:paraId="425B1C41" w14:textId="176DC74A" w:rsidR="006C6EBA" w:rsidRPr="006720E4" w:rsidRDefault="006C6EBA" w:rsidP="00C3783C">
      <w:pPr>
        <w:pStyle w:val="ListParagraph"/>
        <w:numPr>
          <w:ilvl w:val="0"/>
          <w:numId w:val="129"/>
        </w:numPr>
        <w:spacing w:after="120"/>
        <w:contextualSpacing w:val="0"/>
        <w:rPr>
          <w:rFonts w:cs="Calibri"/>
          <w:szCs w:val="22"/>
        </w:rPr>
      </w:pPr>
      <w:r w:rsidRPr="006720E4">
        <w:rPr>
          <w:rFonts w:cs="Calibri"/>
          <w:szCs w:val="22"/>
        </w:rPr>
        <w:t>Although some transplant candidates may be unfairly advantaged in recruiting donors via public campaigns, if they are successful this does not disadvantage other candidates awaiting organ transplantation. In fact, other candidates may also benefit if public solicitation effectively increases the organs available for transplantation by expanding the living donor pool. Public solicitation may also directly reduce pressure on waiting lists for deceased donor organs by meeting the need of individuals who might otherwise have received a deceased donor organ.</w:t>
      </w:r>
    </w:p>
    <w:p w14:paraId="3C57B18C" w14:textId="77777777" w:rsidR="006C6EBA" w:rsidRPr="006720E4" w:rsidRDefault="006C6EBA" w:rsidP="00C3783C">
      <w:pPr>
        <w:pStyle w:val="ListParagraph"/>
        <w:numPr>
          <w:ilvl w:val="0"/>
          <w:numId w:val="129"/>
        </w:numPr>
        <w:spacing w:after="120"/>
        <w:contextualSpacing w:val="0"/>
        <w:rPr>
          <w:rFonts w:cs="Calibri"/>
          <w:szCs w:val="22"/>
        </w:rPr>
      </w:pPr>
      <w:r w:rsidRPr="006720E4">
        <w:rPr>
          <w:rFonts w:cs="Calibri"/>
          <w:szCs w:val="22"/>
        </w:rPr>
        <w:t>Public solicitation may be a key strategy necessary for obtaining a transplant for some individuals who have substantive difficulties obtaining a suitably matched organ or tissue, for example by enabling recruitment of potential donors who belong to the same ethnic group as that of the transplant candidate.</w:t>
      </w:r>
    </w:p>
    <w:p w14:paraId="0B4309BA" w14:textId="7206E4B2" w:rsidR="006C6EBA" w:rsidRPr="006720E4" w:rsidRDefault="006C6EBA" w:rsidP="00EA22AE">
      <w:pPr>
        <w:spacing w:after="120"/>
        <w:rPr>
          <w:rFonts w:ascii="Calibri" w:hAnsi="Calibri" w:cs="Calibri"/>
        </w:rPr>
      </w:pPr>
      <w:r w:rsidRPr="006720E4">
        <w:rPr>
          <w:rFonts w:ascii="Calibri" w:hAnsi="Calibri" w:cs="Calibri"/>
          <w:sz w:val="22"/>
          <w:szCs w:val="22"/>
        </w:rPr>
        <w:t xml:space="preserve">Nevertheless, public solicitation of living organ donors that results in a directed donation to the person soliciting a donor may not be as beneficial overall as altruistic non-directed living donation (see </w:t>
      </w:r>
      <w:r w:rsidR="007D4839" w:rsidRPr="003D3592">
        <w:rPr>
          <w:rFonts w:ascii="Calibri" w:hAnsi="Calibri" w:cs="Calibri"/>
          <w:sz w:val="22"/>
          <w:szCs w:val="22"/>
        </w:rPr>
        <w:t>Chapter 2).</w:t>
      </w:r>
      <w:r w:rsidRPr="006720E4">
        <w:rPr>
          <w:rFonts w:ascii="Calibri" w:hAnsi="Calibri" w:cs="Calibri"/>
          <w:sz w:val="22"/>
          <w:szCs w:val="22"/>
        </w:rPr>
        <w:t xml:space="preserve"> Organs from non-directed living donors can be allocated so as to maximise the </w:t>
      </w:r>
      <w:r w:rsidRPr="006720E4">
        <w:rPr>
          <w:rFonts w:ascii="Calibri" w:hAnsi="Calibri" w:cs="Calibri"/>
          <w:sz w:val="22"/>
          <w:szCs w:val="22"/>
        </w:rPr>
        <w:lastRenderedPageBreak/>
        <w:t>benefits of transplantation, for example by using a non-directed kidney donor to initiate a series of paired kidney exchanges that result in several transplants that may not otherwise be possible</w:t>
      </w:r>
    </w:p>
    <w:p w14:paraId="25D8CB16" w14:textId="5300D8CB" w:rsidR="006C6EBA" w:rsidRPr="006720E4" w:rsidRDefault="006C6EBA" w:rsidP="00EA22AE">
      <w:pPr>
        <w:pStyle w:val="Heading3"/>
        <w:spacing w:after="120"/>
      </w:pPr>
      <w:bookmarkStart w:id="5125" w:name="_Ethical_management_of"/>
      <w:bookmarkStart w:id="5126" w:name="_Toc82773753"/>
      <w:bookmarkStart w:id="5127" w:name="_Toc82774106"/>
      <w:bookmarkEnd w:id="5125"/>
      <w:r w:rsidRPr="006720E4">
        <w:t>Ethical management of public solicitation of living organ donors</w:t>
      </w:r>
      <w:bookmarkStart w:id="5128" w:name="_Toc79330449"/>
      <w:bookmarkStart w:id="5129" w:name="_Toc79330802"/>
      <w:bookmarkStart w:id="5130" w:name="_Toc79330918"/>
      <w:bookmarkStart w:id="5131" w:name="_Toc79331162"/>
      <w:bookmarkStart w:id="5132" w:name="_Toc79331298"/>
      <w:bookmarkStart w:id="5133" w:name="_Toc79406515"/>
      <w:bookmarkStart w:id="5134" w:name="_Toc79330450"/>
      <w:bookmarkStart w:id="5135" w:name="_Toc79330803"/>
      <w:bookmarkStart w:id="5136" w:name="_Toc79330919"/>
      <w:bookmarkStart w:id="5137" w:name="_Toc79331163"/>
      <w:bookmarkStart w:id="5138" w:name="_Toc79331299"/>
      <w:bookmarkStart w:id="5139" w:name="_Toc79406516"/>
      <w:bookmarkStart w:id="5140" w:name="_Toc79330920"/>
      <w:bookmarkStart w:id="5141" w:name="_Toc79331300"/>
      <w:bookmarkStart w:id="5142" w:name="_Toc79406517"/>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p>
    <w:p w14:paraId="08F3CC6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Health professionals providing care to organ transplant candidates who may require a living donor should ensure that candidates (or their families) are </w:t>
      </w:r>
    </w:p>
    <w:p w14:paraId="0BF57B37" w14:textId="77777777" w:rsidR="006C6EBA" w:rsidRPr="006720E4" w:rsidRDefault="006C6EBA" w:rsidP="00C3783C">
      <w:pPr>
        <w:pStyle w:val="ListParagraph"/>
        <w:numPr>
          <w:ilvl w:val="0"/>
          <w:numId w:val="35"/>
        </w:numPr>
        <w:spacing w:after="120"/>
        <w:contextualSpacing w:val="0"/>
        <w:rPr>
          <w:rFonts w:cs="Calibri"/>
          <w:szCs w:val="22"/>
        </w:rPr>
      </w:pPr>
      <w:r w:rsidRPr="006720E4">
        <w:rPr>
          <w:rFonts w:cs="Calibri"/>
          <w:szCs w:val="22"/>
        </w:rPr>
        <w:t>aware of and supported in recruitment of appropriate potential living donors from among family and friends.</w:t>
      </w:r>
    </w:p>
    <w:p w14:paraId="6384A0C1" w14:textId="77777777" w:rsidR="006C6EBA" w:rsidRPr="006720E4" w:rsidRDefault="006C6EBA" w:rsidP="00C3783C">
      <w:pPr>
        <w:pStyle w:val="ListParagraph"/>
        <w:numPr>
          <w:ilvl w:val="0"/>
          <w:numId w:val="35"/>
        </w:numPr>
        <w:spacing w:after="120"/>
        <w:contextualSpacing w:val="0"/>
        <w:rPr>
          <w:rFonts w:cs="Calibri"/>
          <w:szCs w:val="22"/>
        </w:rPr>
      </w:pPr>
      <w:r w:rsidRPr="006720E4">
        <w:rPr>
          <w:rFonts w:cs="Calibri"/>
          <w:szCs w:val="22"/>
        </w:rPr>
        <w:t>informed of prohibitions regarding trade in organs and the implications of these for recruitment of living donors.</w:t>
      </w:r>
    </w:p>
    <w:p w14:paraId="7217F9A8" w14:textId="77777777" w:rsidR="006C6EBA" w:rsidRPr="006720E4" w:rsidRDefault="006C6EBA" w:rsidP="00C3783C">
      <w:pPr>
        <w:pStyle w:val="ListParagraph"/>
        <w:numPr>
          <w:ilvl w:val="0"/>
          <w:numId w:val="35"/>
        </w:numPr>
        <w:spacing w:after="120"/>
        <w:contextualSpacing w:val="0"/>
        <w:rPr>
          <w:rFonts w:cs="Calibri"/>
          <w:szCs w:val="22"/>
        </w:rPr>
      </w:pPr>
      <w:r w:rsidRPr="006720E4">
        <w:rPr>
          <w:rFonts w:cs="Calibri"/>
          <w:szCs w:val="22"/>
        </w:rPr>
        <w:t>advised of opportunities to help contribute to general public campaigns promoting living and deceased donation.</w:t>
      </w:r>
    </w:p>
    <w:p w14:paraId="1CD1914D" w14:textId="6289B7E4" w:rsidR="006C6EBA" w:rsidRPr="006720E4" w:rsidRDefault="006C6EBA" w:rsidP="00C3783C">
      <w:pPr>
        <w:pStyle w:val="ListParagraph"/>
        <w:numPr>
          <w:ilvl w:val="0"/>
          <w:numId w:val="35"/>
        </w:numPr>
        <w:spacing w:after="120"/>
        <w:contextualSpacing w:val="0"/>
        <w:rPr>
          <w:rFonts w:cs="Calibri"/>
          <w:szCs w:val="22"/>
        </w:rPr>
      </w:pPr>
      <w:r w:rsidRPr="006720E4">
        <w:rPr>
          <w:rFonts w:cs="Calibri"/>
          <w:szCs w:val="22"/>
        </w:rPr>
        <w:t>advised of potential benefits and risks if they seek to recruit potential living donors via public solicitation, and the implications of public solicitation – if any – with regards to screening or acceptance of potential donors (see below).</w:t>
      </w:r>
    </w:p>
    <w:p w14:paraId="2EC006C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Donation agencies or programs that are approached by prospective living organ donors – either independently or together with the relevant transplant candidate – in response to a public call for a donor by a specific candidate may implement some or all of the following strategies:</w:t>
      </w:r>
    </w:p>
    <w:p w14:paraId="17D09E91" w14:textId="2DB32391" w:rsidR="006C6EBA" w:rsidRPr="006720E4" w:rsidRDefault="006C6EBA" w:rsidP="00C3783C">
      <w:pPr>
        <w:pStyle w:val="ListParagraph"/>
        <w:numPr>
          <w:ilvl w:val="0"/>
          <w:numId w:val="36"/>
        </w:numPr>
        <w:spacing w:after="120"/>
        <w:contextualSpacing w:val="0"/>
        <w:rPr>
          <w:rFonts w:cs="Calibri"/>
          <w:szCs w:val="22"/>
        </w:rPr>
      </w:pPr>
      <w:r w:rsidRPr="006720E4">
        <w:rPr>
          <w:rFonts w:cs="Calibri"/>
          <w:szCs w:val="22"/>
        </w:rPr>
        <w:t xml:space="preserve">perform routine screening and comprehensive psychosocial </w:t>
      </w:r>
      <w:r w:rsidRPr="002B5DD4">
        <w:rPr>
          <w:rFonts w:cs="Calibri"/>
          <w:szCs w:val="22"/>
        </w:rPr>
        <w:t xml:space="preserve">evaluation (see </w:t>
      </w:r>
      <w:hyperlink w:anchor="_Psychosocial_evaluation_of_1" w:history="1">
        <w:r w:rsidRPr="002B5DD4">
          <w:rPr>
            <w:rStyle w:val="Hyperlink"/>
            <w:rFonts w:cs="Calibri"/>
            <w:szCs w:val="22"/>
          </w:rPr>
          <w:t xml:space="preserve">Chapter </w:t>
        </w:r>
        <w:r w:rsidR="002B5DD4" w:rsidRPr="002B5DD4">
          <w:rPr>
            <w:rStyle w:val="Hyperlink"/>
            <w:rFonts w:cs="Calibri"/>
            <w:szCs w:val="22"/>
          </w:rPr>
          <w:t>6</w:t>
        </w:r>
        <w:r w:rsidRPr="002B5DD4">
          <w:rPr>
            <w:rStyle w:val="Hyperlink"/>
            <w:rFonts w:cs="Calibri"/>
            <w:szCs w:val="22"/>
          </w:rPr>
          <w:t>.</w:t>
        </w:r>
        <w:r w:rsidRPr="002B5DD4">
          <w:rPr>
            <w:rStyle w:val="Hyperlink"/>
            <w:rFonts w:cs="Calibri"/>
          </w:rPr>
          <w:t>1.</w:t>
        </w:r>
      </w:hyperlink>
      <w:r w:rsidRPr="002B5DD4">
        <w:rPr>
          <w:rStyle w:val="Hyperlink"/>
          <w:rFonts w:cs="Calibri"/>
        </w:rPr>
        <w:t>3</w:t>
      </w:r>
      <w:r w:rsidRPr="002B5DD4">
        <w:rPr>
          <w:rFonts w:cs="Calibri"/>
          <w:szCs w:val="22"/>
        </w:rPr>
        <w:t>) in</w:t>
      </w:r>
      <w:r w:rsidRPr="006720E4">
        <w:rPr>
          <w:rFonts w:cs="Calibri"/>
          <w:szCs w:val="22"/>
        </w:rPr>
        <w:t xml:space="preserve"> order to</w:t>
      </w:r>
    </w:p>
    <w:p w14:paraId="395FE2D7" w14:textId="05438F4D" w:rsidR="006C6EBA" w:rsidRPr="006720E4" w:rsidRDefault="006C6EBA" w:rsidP="00C3783C">
      <w:pPr>
        <w:pStyle w:val="ListParagraph"/>
        <w:numPr>
          <w:ilvl w:val="1"/>
          <w:numId w:val="36"/>
        </w:numPr>
        <w:spacing w:after="120"/>
        <w:contextualSpacing w:val="0"/>
        <w:rPr>
          <w:rFonts w:cs="Calibri"/>
          <w:szCs w:val="22"/>
        </w:rPr>
      </w:pPr>
      <w:r w:rsidRPr="006720E4">
        <w:rPr>
          <w:rFonts w:cs="Calibri"/>
          <w:szCs w:val="22"/>
        </w:rPr>
        <w:t>determine eligibility for donation</w:t>
      </w:r>
      <w:r w:rsidR="00035CF7">
        <w:rPr>
          <w:rFonts w:cs="Calibri"/>
          <w:szCs w:val="22"/>
        </w:rPr>
        <w:t>,</w:t>
      </w:r>
      <w:r w:rsidRPr="006720E4">
        <w:rPr>
          <w:rFonts w:cs="Calibri"/>
          <w:szCs w:val="22"/>
        </w:rPr>
        <w:t xml:space="preserve"> </w:t>
      </w:r>
    </w:p>
    <w:p w14:paraId="2E8E147E" w14:textId="3C2420E4" w:rsidR="006C6EBA" w:rsidRPr="006720E4" w:rsidRDefault="006C6EBA" w:rsidP="00C3783C">
      <w:pPr>
        <w:pStyle w:val="ListParagraph"/>
        <w:numPr>
          <w:ilvl w:val="1"/>
          <w:numId w:val="36"/>
        </w:numPr>
        <w:spacing w:after="120"/>
        <w:contextualSpacing w:val="0"/>
        <w:rPr>
          <w:rFonts w:cs="Calibri"/>
          <w:szCs w:val="22"/>
        </w:rPr>
      </w:pPr>
      <w:r w:rsidRPr="006720E4">
        <w:rPr>
          <w:rFonts w:cs="Calibri"/>
          <w:szCs w:val="22"/>
        </w:rPr>
        <w:t xml:space="preserve">identify any signs of potential coercion or use of unlawful incentives that would constitute trade in organs or </w:t>
      </w:r>
      <w:r w:rsidRPr="007D4839">
        <w:rPr>
          <w:rFonts w:cs="Calibri"/>
          <w:szCs w:val="22"/>
        </w:rPr>
        <w:t xml:space="preserve">tissues (see also </w:t>
      </w:r>
      <w:hyperlink w:anchor="_Prevention_of_organ" w:history="1">
        <w:r w:rsidRPr="007D4839">
          <w:rPr>
            <w:rStyle w:val="Hyperlink"/>
            <w:rFonts w:cs="Calibri"/>
            <w:szCs w:val="22"/>
          </w:rPr>
          <w:t xml:space="preserve">Chapter </w:t>
        </w:r>
        <w:r w:rsidR="007D4839" w:rsidRPr="007D4839">
          <w:rPr>
            <w:rStyle w:val="Hyperlink"/>
            <w:rFonts w:cs="Calibri"/>
            <w:szCs w:val="22"/>
          </w:rPr>
          <w:t>10</w:t>
        </w:r>
        <w:r w:rsidRPr="007D4839">
          <w:rPr>
            <w:rStyle w:val="Hyperlink"/>
            <w:rFonts w:cs="Calibri"/>
            <w:szCs w:val="22"/>
          </w:rPr>
          <w:t>.6.1.1</w:t>
        </w:r>
      </w:hyperlink>
      <w:r w:rsidRPr="007D4839">
        <w:rPr>
          <w:rFonts w:cs="Calibri"/>
          <w:szCs w:val="22"/>
        </w:rPr>
        <w:t>)</w:t>
      </w:r>
      <w:r w:rsidR="00035CF7">
        <w:rPr>
          <w:rFonts w:cs="Calibri"/>
          <w:szCs w:val="22"/>
        </w:rPr>
        <w:t>, and</w:t>
      </w:r>
    </w:p>
    <w:p w14:paraId="1BB4FD11" w14:textId="06EC1514" w:rsidR="006C6EBA" w:rsidRPr="006720E4" w:rsidRDefault="006C6EBA" w:rsidP="00C3783C">
      <w:pPr>
        <w:pStyle w:val="ListParagraph"/>
        <w:numPr>
          <w:ilvl w:val="1"/>
          <w:numId w:val="36"/>
        </w:numPr>
        <w:spacing w:after="120"/>
        <w:contextualSpacing w:val="0"/>
        <w:rPr>
          <w:rFonts w:cs="Calibri"/>
          <w:szCs w:val="22"/>
        </w:rPr>
      </w:pPr>
      <w:r w:rsidRPr="006720E4">
        <w:rPr>
          <w:rFonts w:cs="Calibri"/>
          <w:szCs w:val="22"/>
        </w:rPr>
        <w:t>identify factors that may increase the risk of poor psychosocial outcomes for donor or recipient, e.g., as a result of expectations with regards to the future relationship between the donor and their intended recipient</w:t>
      </w:r>
      <w:r w:rsidR="00035CF7">
        <w:rPr>
          <w:rFonts w:cs="Calibri"/>
          <w:szCs w:val="22"/>
        </w:rPr>
        <w:t>;</w:t>
      </w:r>
    </w:p>
    <w:p w14:paraId="095D401C" w14:textId="3AEF78DC" w:rsidR="006C6EBA" w:rsidRPr="006720E4" w:rsidRDefault="006C6EBA" w:rsidP="00C3783C">
      <w:pPr>
        <w:pStyle w:val="ListParagraph"/>
        <w:numPr>
          <w:ilvl w:val="0"/>
          <w:numId w:val="36"/>
        </w:numPr>
        <w:spacing w:after="120"/>
        <w:contextualSpacing w:val="0"/>
        <w:rPr>
          <w:rFonts w:cs="Calibri"/>
          <w:szCs w:val="22"/>
        </w:rPr>
      </w:pPr>
      <w:r w:rsidRPr="006720E4">
        <w:rPr>
          <w:rFonts w:cs="Calibri"/>
          <w:szCs w:val="22"/>
        </w:rPr>
        <w:t>arrange counselling for the potential donor and recipient to assist in managing future relationships</w:t>
      </w:r>
      <w:r w:rsidR="00035CF7">
        <w:rPr>
          <w:rFonts w:cs="Calibri"/>
          <w:szCs w:val="22"/>
        </w:rPr>
        <w:t>;</w:t>
      </w:r>
    </w:p>
    <w:p w14:paraId="597117DC" w14:textId="62DC5F37" w:rsidR="006C6EBA" w:rsidRPr="006720E4" w:rsidRDefault="006C6EBA" w:rsidP="00C3783C">
      <w:pPr>
        <w:pStyle w:val="ListParagraph"/>
        <w:numPr>
          <w:ilvl w:val="0"/>
          <w:numId w:val="36"/>
        </w:numPr>
        <w:spacing w:after="120"/>
        <w:contextualSpacing w:val="0"/>
        <w:rPr>
          <w:rFonts w:cs="Calibri"/>
          <w:szCs w:val="22"/>
        </w:rPr>
      </w:pPr>
      <w:r w:rsidRPr="006720E4">
        <w:rPr>
          <w:rFonts w:cs="Calibri"/>
          <w:szCs w:val="22"/>
        </w:rPr>
        <w:t xml:space="preserve">appoint an independent donor advocate when obtaining consent for donation (see </w:t>
      </w:r>
      <w:hyperlink w:anchor="_The_role_of" w:history="1">
        <w:r w:rsidRPr="006720E4">
          <w:rPr>
            <w:rStyle w:val="Hyperlink"/>
            <w:rFonts w:cs="Calibri"/>
            <w:szCs w:val="22"/>
          </w:rPr>
          <w:t xml:space="preserve">Chapter </w:t>
        </w:r>
        <w:r w:rsidR="002B5DD4">
          <w:rPr>
            <w:rStyle w:val="Hyperlink"/>
            <w:rFonts w:cs="Calibri"/>
            <w:szCs w:val="22"/>
          </w:rPr>
          <w:t>3</w:t>
        </w:r>
        <w:r w:rsidRPr="006720E4">
          <w:rPr>
            <w:rStyle w:val="Hyperlink"/>
            <w:rFonts w:cs="Calibri"/>
            <w:szCs w:val="22"/>
          </w:rPr>
          <w:t>.</w:t>
        </w:r>
        <w:r w:rsidR="007D4839">
          <w:rPr>
            <w:rStyle w:val="Hyperlink"/>
            <w:rFonts w:cs="Calibri"/>
            <w:szCs w:val="22"/>
          </w:rPr>
          <w:t>4</w:t>
        </w:r>
        <w:r w:rsidRPr="006720E4">
          <w:rPr>
            <w:rStyle w:val="Hyperlink"/>
            <w:rFonts w:cs="Calibri"/>
            <w:szCs w:val="22"/>
          </w:rPr>
          <w:t>.5</w:t>
        </w:r>
      </w:hyperlink>
      <w:r w:rsidRPr="006720E4">
        <w:rPr>
          <w:rFonts w:cs="Calibri"/>
          <w:szCs w:val="22"/>
        </w:rPr>
        <w:t>)</w:t>
      </w:r>
      <w:r w:rsidR="00035CF7">
        <w:rPr>
          <w:rFonts w:cs="Calibri"/>
          <w:szCs w:val="22"/>
        </w:rPr>
        <w:t>;</w:t>
      </w:r>
    </w:p>
    <w:p w14:paraId="050B8D77" w14:textId="054D2E89" w:rsidR="006C6EBA" w:rsidRPr="007D4839" w:rsidRDefault="006C6EBA" w:rsidP="00C3783C">
      <w:pPr>
        <w:pStyle w:val="ListParagraph"/>
        <w:numPr>
          <w:ilvl w:val="0"/>
          <w:numId w:val="36"/>
        </w:numPr>
        <w:spacing w:after="120"/>
        <w:contextualSpacing w:val="0"/>
        <w:rPr>
          <w:rFonts w:cs="Calibri"/>
          <w:szCs w:val="22"/>
        </w:rPr>
      </w:pPr>
      <w:r w:rsidRPr="006720E4">
        <w:rPr>
          <w:rFonts w:cs="Calibri"/>
          <w:szCs w:val="22"/>
        </w:rPr>
        <w:t>refer the potential donor to the non-directed donation program if current policies prevent directed donation of this kind, or if they are not selected, where appropriate.</w:t>
      </w:r>
    </w:p>
    <w:p w14:paraId="273EC155" w14:textId="77777777" w:rsidR="006C6EBA" w:rsidRPr="006720E4" w:rsidRDefault="006C6EBA" w:rsidP="00EA22AE">
      <w:pPr>
        <w:pStyle w:val="Heading2"/>
        <w:spacing w:after="120"/>
      </w:pPr>
      <w:bookmarkStart w:id="5143" w:name="_Public_solicitation_of_1"/>
      <w:bookmarkStart w:id="5144" w:name="_Prioritisation_of_living"/>
      <w:bookmarkStart w:id="5145" w:name="_Misattributed_genetic_relationships"/>
      <w:bookmarkStart w:id="5146" w:name="_Living_organ_donor"/>
      <w:bookmarkStart w:id="5147" w:name="_Toc63683532"/>
      <w:bookmarkStart w:id="5148" w:name="_Toc70241882"/>
      <w:bookmarkStart w:id="5149" w:name="_Toc70243517"/>
      <w:bookmarkStart w:id="5150" w:name="_Toc70415002"/>
      <w:bookmarkStart w:id="5151" w:name="_Toc70844322"/>
      <w:bookmarkStart w:id="5152" w:name="_Toc70859042"/>
      <w:bookmarkStart w:id="5153" w:name="_Toc70861143"/>
      <w:bookmarkStart w:id="5154" w:name="_Toc70876629"/>
      <w:bookmarkStart w:id="5155" w:name="_Toc72615263"/>
      <w:bookmarkStart w:id="5156" w:name="_Toc73129987"/>
      <w:bookmarkStart w:id="5157" w:name="_Toc73301858"/>
      <w:bookmarkStart w:id="5158" w:name="_Toc73302364"/>
      <w:bookmarkStart w:id="5159" w:name="_Toc73303497"/>
      <w:bookmarkStart w:id="5160" w:name="_Toc73303706"/>
      <w:bookmarkStart w:id="5161" w:name="_Toc74080836"/>
      <w:bookmarkStart w:id="5162" w:name="_Toc74081144"/>
      <w:bookmarkStart w:id="5163" w:name="_Toc74081374"/>
      <w:bookmarkStart w:id="5164" w:name="_Toc74081655"/>
      <w:bookmarkStart w:id="5165" w:name="_Toc74171205"/>
      <w:bookmarkStart w:id="5166" w:name="_Toc74172432"/>
      <w:bookmarkStart w:id="5167" w:name="_Toc74172966"/>
      <w:bookmarkStart w:id="5168" w:name="_Toc74238879"/>
      <w:bookmarkStart w:id="5169" w:name="_Toc78304818"/>
      <w:bookmarkStart w:id="5170" w:name="_Toc79330921"/>
      <w:bookmarkStart w:id="5171" w:name="_Toc79331301"/>
      <w:bookmarkStart w:id="5172" w:name="_Toc79406520"/>
      <w:bookmarkStart w:id="5173" w:name="_Toc82773754"/>
      <w:bookmarkStart w:id="5174" w:name="_Toc82774107"/>
      <w:bookmarkStart w:id="5175" w:name="_Toc128314251"/>
      <w:bookmarkStart w:id="5176" w:name="_Toc135131495"/>
      <w:bookmarkEnd w:id="5143"/>
      <w:bookmarkEnd w:id="5144"/>
      <w:bookmarkEnd w:id="5145"/>
      <w:bookmarkEnd w:id="5146"/>
      <w:r w:rsidRPr="006720E4">
        <w:t>Living organ donor vouchers</w:t>
      </w:r>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p>
    <w:p w14:paraId="2D8BAF13" w14:textId="1C2CDDC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the United States, a program has been introduced that allows individuals who make a non-directed living kidney donation to receive a voucher that gives one of the donor’s close relatives a degree of priority in obtaining a kidney via the paired exchange program in the future.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{"citationItems":[{"id":"ITEM-1","itemData":{"DOI":"10.1136/medethics-2014-102230","ISSN":"14734257","PMID":"26126975","abstract":"This paper explores the specific criticism of directed altruistic living organ donation that it creates a 'beauty contest' between potential recipients of organs. The notion of the beauty contest in transplantation was recently used by Neidich et al who stated that '[a]ltruism should be the guiding motivation for all donations, and when it [is], there is no place for a beauty contest'. I examine this beauty contest objection from two perspectives. First, I argue that, when considered against the behaviour of donors, this objection cannot be consistently raised without also objecting to other common aspects of organ donation. I then explore the beauty contest objection from the perspective of recipients, and argue that if the beauty contest is objectionable, it is because of a tension between recipient behaviour and the altruism that supposedly underpins the donation system. I conclude by briefly questioning the importance of this tension in light of the organ shortage.","author":[{"dropping-particle":"","family":"Moorlock","given":"Greg","non-dropping-particle":"","parse-names":false,"suffix":""}],"container-title":"Journal of Medical Ethics","id":"ITEM-1","issue":"11","issued":{"date-parts":[["2015"]]},"page":"875-879","title":"Directed altruistic living donation: What is wrong with the beauty contest?","type":"article-journal","volume":"41"},"uris":["http://www.mendeley.com/documents/?uuid=c8b0effe-5149-4967-ab54-9b080a3c2439"]},{"id":"ITEM-2","itemData":{"DOI":"10.1111/j.1600-6143.2011.03765.x","ISSN":"16006135","PMID":"21951635","abstract":"The proliferation of the Internet has spurred the creation of websites dedicated to facilitating living directed organ donations. We argue that such sites potentially devolve into \"beauty contests\" where patients in need are evaluated on the basis of their personal appearance and biography-variables which should have no relevance to organ allocation. Altruism should be the guiding motivation for all donations, and when it does, there is no place for a beauty contest. The power of the Internet is optimally used when it facilitates Good Samaritan donations-donations to any stranger, rather than handpicked ones. Social networking sites which aim to match potential donors and patients should mask personal identifying information, allowing the ethical principles of altruism and justice to guide organ allocation. The authors argue that websites facilitating living directed organ donation have potential to devolve into \"beauty contests,\" where patients in need are evaluated on the basis of their personal appearance and biography-variables that should have no relevance to organ allocation. © Copyright 2011 The American Society of Transplantation and the American Society of Transplant Surgeons.","author":[{"dropping-particle":"","family":"Neidich","given":"E. M.","non-dropping-particle":"","parse-names":false,"suffix":""},{"dropping-particle":"","family":"Neidich","given":"A. B.","non-dropping-particle":"","parse-names":false,"suffix":""},{"dropping-particle":"","family":"Cooper","given":"J. T.","non-dropping-particle":"","parse-names":false,"suffix":""},{"dropping-particle":"","family":"Bramstedt","given":"K. A.","non-dropping-particle":"","parse-names":false,"suffix":""}],"container-title":"American Journal of Transplantation","id":"ITEM-2","issue":"1","issued":{"date-parts":[["2012"]]},"page":"43-47","title":"The ethical complexities of online organ solicitation via donor-patient websites: Avoiding the \"beauty contest\"","type":"article-journal","volume":"12"},"uris":["http://www.mendeley.com/documents/?uuid=095b3cec-3d92-48d7-a57a-0309b8c53aae"]}],"mendeley":{"formattedCitation":"(187,188)","plainTextFormattedCitation":"(187,188)","previouslyFormattedCitation":"(187,188)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(187,188)</w:t>
      </w:r>
      <w:r w:rsidRPr="006720E4">
        <w:rPr>
          <w:rFonts w:ascii="Calibri" w:hAnsi="Calibri" w:cs="Calibri"/>
          <w:sz w:val="22"/>
          <w:szCs w:val="22"/>
        </w:rPr>
        <w:fldChar w:fldCharType="end"/>
      </w:r>
      <w:r w:rsidRPr="006720E4">
        <w:rPr>
          <w:rFonts w:ascii="Calibri" w:hAnsi="Calibri" w:cs="Calibri"/>
          <w:sz w:val="22"/>
          <w:szCs w:val="22"/>
        </w:rPr>
        <w:t xml:space="preserve"> The program is designed to address the problem of so-called “chronological incompatibility” in living kidney donation. This refers to situations in which a person is willing and able to donate a kidney to a close relative, but the relative does not require a transplant at the time. Instead, the relative is expected to need a kidney transplant in the future, but at a time when the potential donor may no longer be able to donate.</w:t>
      </w:r>
    </w:p>
    <w:p w14:paraId="62C83388" w14:textId="32156028"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a 56-year-old woman may wish to donate a kidney to her 6-year-old granddaughter who is diagnosed with polycystic kidney disease. The grandmother is fit and eligible to serve as living </w:t>
      </w:r>
      <w:r w:rsidRPr="006720E4">
        <w:rPr>
          <w:rFonts w:ascii="Calibri" w:hAnsi="Calibri" w:cs="Calibri"/>
          <w:sz w:val="22"/>
          <w:szCs w:val="22"/>
        </w:rPr>
        <w:lastRenderedPageBreak/>
        <w:t>donor. However, the granddaughter does not yet have kidney failure, and may not develop kidney failure and require a transplant for another thirty years. In thirty years, the grandmother would be 86, and likely unfit to donate her kidney. Such cases mean that an opportunity for a living directed kidney donation may be missed.</w:t>
      </w:r>
    </w:p>
    <w:p w14:paraId="356DDB1F" w14:textId="7633571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With the voucher program, the grandmother in this case can make a nondirected donation to the paired exchange program, which benefits those currently in need of kidney transplants. In return, the grandmother may designate her granddaughter as a beneficiary of a voucher that may be redeemed in the future when the granddaughter requires a kidney transplant. The voucher does not guarantee that the beneficiary will obtain a transplant, but it may increase their chances of receiving a living donor transplant by giving them priority in accessing a kidney from the paired exchange program.</w:t>
      </w:r>
    </w:p>
    <w:p w14:paraId="527C119F"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There are several potential benefits from a program like this, such as:</w:t>
      </w:r>
    </w:p>
    <w:p w14:paraId="7CBCE709" w14:textId="3B3DAC34" w:rsidR="006C6EBA" w:rsidRPr="006720E4" w:rsidRDefault="006C6EBA" w:rsidP="00C3783C">
      <w:pPr>
        <w:pStyle w:val="ListParagraph"/>
        <w:numPr>
          <w:ilvl w:val="0"/>
          <w:numId w:val="37"/>
        </w:numPr>
        <w:spacing w:after="120"/>
        <w:contextualSpacing w:val="0"/>
        <w:rPr>
          <w:rFonts w:cs="Calibri"/>
          <w:szCs w:val="22"/>
        </w:rPr>
      </w:pPr>
      <w:r w:rsidRPr="006720E4">
        <w:rPr>
          <w:rFonts w:cs="Calibri"/>
          <w:szCs w:val="22"/>
        </w:rPr>
        <w:t>Potential for increased non-directed living kidney donation if vouchers remove a potential disincentive or provide an incentive to donate</w:t>
      </w:r>
      <w:r w:rsidR="00035CF7">
        <w:rPr>
          <w:rFonts w:cs="Calibri"/>
          <w:szCs w:val="22"/>
        </w:rPr>
        <w:t>.</w:t>
      </w:r>
      <w:r w:rsidRPr="006720E4">
        <w:rPr>
          <w:rFonts w:cs="Calibri"/>
          <w:szCs w:val="22"/>
        </w:rPr>
        <w:t xml:space="preserve"> </w:t>
      </w:r>
    </w:p>
    <w:p w14:paraId="75F84225" w14:textId="48041DF5" w:rsidR="006C6EBA" w:rsidRPr="006720E4" w:rsidRDefault="006C6EBA" w:rsidP="00C3783C">
      <w:pPr>
        <w:pStyle w:val="ListParagraph"/>
        <w:numPr>
          <w:ilvl w:val="0"/>
          <w:numId w:val="37"/>
        </w:numPr>
        <w:spacing w:after="120"/>
        <w:contextualSpacing w:val="0"/>
        <w:rPr>
          <w:rFonts w:cs="Calibri"/>
          <w:szCs w:val="22"/>
        </w:rPr>
      </w:pPr>
      <w:r w:rsidRPr="006720E4">
        <w:rPr>
          <w:rFonts w:cs="Calibri"/>
          <w:szCs w:val="22"/>
        </w:rPr>
        <w:t>Avoidance of missed opportunities for living donation arising due to chronological incompatibility between potential donors and recipients</w:t>
      </w:r>
      <w:r w:rsidR="00035CF7">
        <w:rPr>
          <w:rFonts w:cs="Calibri"/>
          <w:szCs w:val="22"/>
        </w:rPr>
        <w:t>.</w:t>
      </w:r>
    </w:p>
    <w:p w14:paraId="500E8BA3" w14:textId="77777777"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There also potential ethical concerns, including:</w:t>
      </w:r>
    </w:p>
    <w:p w14:paraId="590FD257" w14:textId="16F58FD7" w:rsidR="006C6EBA" w:rsidRPr="006720E4" w:rsidRDefault="006C6EBA" w:rsidP="00C3783C">
      <w:pPr>
        <w:pStyle w:val="ListParagraph"/>
        <w:numPr>
          <w:ilvl w:val="0"/>
          <w:numId w:val="38"/>
        </w:numPr>
        <w:spacing w:after="120"/>
        <w:contextualSpacing w:val="0"/>
        <w:rPr>
          <w:rFonts w:cs="Calibri"/>
          <w:szCs w:val="21"/>
        </w:rPr>
      </w:pPr>
      <w:r w:rsidRPr="006720E4">
        <w:rPr>
          <w:rFonts w:cs="Calibri"/>
          <w:szCs w:val="21"/>
        </w:rPr>
        <w:t>Disappointment or frustration if vouchers are ineffective in improving timely opportunities for transplantation for voucher beneficiaries, e.g. due to system failures arising because of insufficient donations or excessive uptake of voucher programs</w:t>
      </w:r>
      <w:r w:rsidR="00035CF7">
        <w:rPr>
          <w:rFonts w:cs="Calibri"/>
          <w:szCs w:val="21"/>
        </w:rPr>
        <w:t>.</w:t>
      </w:r>
      <w:r w:rsidRPr="006720E4">
        <w:rPr>
          <w:rFonts w:cs="Calibri"/>
          <w:szCs w:val="21"/>
        </w:rPr>
        <w:fldChar w:fldCharType="begin" w:fldLock="1"/>
      </w:r>
      <w:r w:rsidR="00EB088B">
        <w:rPr>
          <w:rFonts w:cs="Calibri"/>
          <w:szCs w:val="21"/>
        </w:rPr>
        <w:instrText>ADDIN CSL_CITATION {"citationItems":[{"id":"ITEM-1","itemData":{"DOI":"10.1097/TP.0000000000001744","ISBN":"0000000000","ISSN":"00411337","PMID":"28333861","abstract":"The waiting list for kidney transplantation is long. The creation of \"vouchers\" for future kidney transplants enables living donation to occur when optimal for the donor and transplantation to occur later, when and if needed by the recipient. Methods. The donation of a kidney at a time that is optimal for the donor generates a \"voucher\" that only a specified recipient may redeem later when needed. The voucher provides the recipient with priority in being matched with a living donor from the end of a future transplantation chain. Besides its use in persons of advancing age with a limited window for donation, vouchers remove a disincentive to kidney donation, namely, a reluctance to donate now lest one's family member should need a transplant in the future.Results.We describe the first three voucher cases, in which advancing age might otherwise have deprived the donors the opportunity to provide a kidney to a family member. These 3 voucher donations functioned in a nondirected fashion and triggered 25 transplants through kidney paired donation across the United States.Conclusions. The provision of a voucher to potential recipients whose need for a transplant makes them \"chronologically incompatible\" with their donors may increase the number of living donor transplants.","author":[{"dropping-particle":"","family":"Veale","given":"Jeffrey L.","non-dropping-particle":"","parse-names":false,"suffix":""},{"dropping-particle":"","family":"Capron","given":"Alexander M.","non-dropping-particle":"","parse-names":false,"suffix":""},{"dropping-particle":"","family":"Nassiri","given":"Nima","non-dropping-particle":"","parse-names":false,"suffix":""},{"dropping-particle":"","family":"Danovitch","given":"Gabriel","non-dropping-particle":"","parse-names":false,"suffix":""},{"dropping-particle":"","family":"Gritsch","given":"H. Albin","non-dropping-particle":"","parse-names":false,"suffix":""},{"dropping-particle":"","family":"Waterman","given":"Amy","non-dropping-particle":"","parse-names":false,"suffix":""},{"dropping-particle":"Del","family":"Pizzo","given":"Joseph","non-dropping-particle":"","parse-names":false,"suffix":""},{"dropping-particle":"","family":"Hu","given":"Jim C.","non-dropping-particle":"","parse-names":false,"suffix":""},{"dropping-particle":"","family":"Pycia","given":"Marek","non-dropping-particle":"","parse-names":false,"suffix":""},{"dropping-particle":"","family":"McGuire","given":"Suzanne","non-dropping-particle":"","parse-names":false,"suffix":""},{"dropping-particle":"","family":"Charlton","given":"Marian","non-dropping-particle":"","parse-names":false,"suffix":""},{"dropping-particle":"","family":"Kapur","given":"Sandip","non-dropping-particle":"","parse-names":false,"suffix":""}],"container-title":"Transplantation","id":"ITEM-1","issue":"9","issued":{"date-parts":[["2017"]]},"page":"2115-2119","title":"Vouchers for future kidney transplants to overcome \"chronological incompatibility\" between living donors and recipients","type":"article-journal","volume":"101"},"uris":["http://www.mendeley.com/documents/?uuid=effe292d-db29-4d5c-b6ff-a855ed189927"]}],"mendeley":{"formattedCitation":"(189)","plainTextFormattedCitation":"(189)","previouslyFormattedCitation":"(189)"},"properties":{"noteIndex":0},"schema":"https://github.com/citation-style-language/schema/raw/master/csl-citation.json"}</w:instrText>
      </w:r>
      <w:r w:rsidRPr="006720E4">
        <w:rPr>
          <w:rFonts w:cs="Calibri"/>
          <w:szCs w:val="21"/>
        </w:rPr>
        <w:fldChar w:fldCharType="separate"/>
      </w:r>
      <w:r w:rsidR="00BA3D76" w:rsidRPr="00BA3D76">
        <w:rPr>
          <w:rFonts w:cs="Calibri"/>
          <w:noProof/>
          <w:szCs w:val="21"/>
        </w:rPr>
        <w:t>(189)</w:t>
      </w:r>
      <w:r w:rsidRPr="006720E4">
        <w:rPr>
          <w:rFonts w:cs="Calibri"/>
          <w:szCs w:val="21"/>
        </w:rPr>
        <w:fldChar w:fldCharType="end"/>
      </w:r>
    </w:p>
    <w:p w14:paraId="4F05438C" w14:textId="1C7F23B7" w:rsidR="006C6EBA" w:rsidRPr="006720E4" w:rsidRDefault="006C6EBA" w:rsidP="00C3783C">
      <w:pPr>
        <w:pStyle w:val="ListParagraph"/>
        <w:numPr>
          <w:ilvl w:val="0"/>
          <w:numId w:val="38"/>
        </w:numPr>
        <w:spacing w:after="120"/>
        <w:contextualSpacing w:val="0"/>
        <w:rPr>
          <w:rFonts w:cs="Calibri"/>
          <w:szCs w:val="21"/>
        </w:rPr>
      </w:pPr>
      <w:r w:rsidRPr="006720E4">
        <w:rPr>
          <w:rFonts w:cs="Calibri"/>
          <w:szCs w:val="21"/>
        </w:rPr>
        <w:t>Disputes arising due to limitations of voucher transferability, e.g., if voucher cannot be regifted to another beneficiary who develops a more urgent need for transplantation than the original beneficiary</w:t>
      </w:r>
      <w:r w:rsidR="00035CF7">
        <w:rPr>
          <w:rFonts w:cs="Calibri"/>
          <w:szCs w:val="21"/>
        </w:rPr>
        <w:t>.</w:t>
      </w:r>
    </w:p>
    <w:p w14:paraId="17FD39F0" w14:textId="77777777" w:rsidR="006C6EBA" w:rsidRPr="006720E4" w:rsidRDefault="006C6EBA" w:rsidP="00C3783C">
      <w:pPr>
        <w:pStyle w:val="ListParagraph"/>
        <w:numPr>
          <w:ilvl w:val="0"/>
          <w:numId w:val="38"/>
        </w:numPr>
        <w:spacing w:after="120"/>
        <w:contextualSpacing w:val="0"/>
        <w:rPr>
          <w:rFonts w:cs="Calibri"/>
          <w:szCs w:val="21"/>
        </w:rPr>
      </w:pPr>
      <w:r w:rsidRPr="006720E4">
        <w:rPr>
          <w:rFonts w:cs="Calibri"/>
          <w:szCs w:val="21"/>
        </w:rPr>
        <w:t>The potential for financial transactions to influence gifting of vouchers.</w:t>
      </w:r>
    </w:p>
    <w:p w14:paraId="68A46B20" w14:textId="37DF11BF"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 xml:space="preserve">More information about these ethical considerations and about the American voucher program can be found in the resources listed in </w:t>
      </w:r>
      <w:hyperlink w:anchor="Ch11Resources" w:history="1">
        <w:hyperlink w:anchor="_Appendix_3_–" w:history="1">
          <w:r w:rsidR="009C2EF0" w:rsidRPr="009C2EF0">
            <w:rPr>
              <w:rStyle w:val="Hyperlink"/>
              <w:rFonts w:ascii="Calibri" w:hAnsi="Calibri" w:cs="Calibri"/>
              <w:sz w:val="22"/>
              <w:szCs w:val="22"/>
            </w:rPr>
            <w:t>Appendix 1</w:t>
          </w:r>
        </w:hyperlink>
        <w:r w:rsidR="009C2EF0">
          <w:rPr>
            <w:rFonts w:ascii="Calibri" w:hAnsi="Calibri" w:cs="Calibri"/>
            <w:sz w:val="22"/>
            <w:szCs w:val="22"/>
          </w:rPr>
          <w:t>.</w:t>
        </w:r>
      </w:hyperlink>
      <w:r w:rsidRPr="006720E4">
        <w:rPr>
          <w:rFonts w:ascii="Calibri" w:hAnsi="Calibri" w:cs="Calibri"/>
          <w:sz w:val="22"/>
          <w:szCs w:val="21"/>
        </w:rPr>
        <w:t xml:space="preserve"> Currently, there is no voucher program in Australia.</w:t>
      </w:r>
    </w:p>
    <w:p w14:paraId="06AE9AA6" w14:textId="4D6A21AE" w:rsidR="006C6EBA" w:rsidRPr="006720E4" w:rsidRDefault="006C6EBA" w:rsidP="00EA22AE">
      <w:pPr>
        <w:pStyle w:val="Heading2"/>
        <w:spacing w:after="120"/>
      </w:pPr>
      <w:bookmarkStart w:id="5177" w:name="_Toc70415003"/>
      <w:bookmarkStart w:id="5178" w:name="_Toc70844323"/>
      <w:bookmarkStart w:id="5179" w:name="_Ethical_considerations_in"/>
      <w:bookmarkStart w:id="5180" w:name="_Ethical_issues_(miscellaneous"/>
      <w:bookmarkStart w:id="5181" w:name="_Directed_or_restricted"/>
      <w:bookmarkStart w:id="5182" w:name="_Directed,_restricted_or"/>
      <w:bookmarkStart w:id="5183" w:name="_Toc70328757"/>
      <w:bookmarkStart w:id="5184" w:name="_Toc70333987"/>
      <w:bookmarkStart w:id="5185" w:name="_Toc70415010"/>
      <w:bookmarkStart w:id="5186" w:name="_Toc70844330"/>
      <w:bookmarkStart w:id="5187" w:name="_Toc70859046"/>
      <w:bookmarkStart w:id="5188" w:name="_Toc70861147"/>
      <w:bookmarkStart w:id="5189" w:name="_Toc70876633"/>
      <w:bookmarkStart w:id="5190" w:name="_Toc72615268"/>
      <w:bookmarkStart w:id="5191" w:name="_Toc73129992"/>
      <w:bookmarkStart w:id="5192" w:name="_Toc73301862"/>
      <w:bookmarkStart w:id="5193" w:name="_Toc73302368"/>
      <w:bookmarkStart w:id="5194" w:name="_Toc73303501"/>
      <w:bookmarkStart w:id="5195" w:name="_Toc73303710"/>
      <w:bookmarkStart w:id="5196" w:name="_Toc74080843"/>
      <w:bookmarkStart w:id="5197" w:name="_Toc74081151"/>
      <w:bookmarkStart w:id="5198" w:name="_Toc74081381"/>
      <w:bookmarkStart w:id="5199" w:name="_Toc74081662"/>
      <w:bookmarkStart w:id="5200" w:name="_Toc74171212"/>
      <w:bookmarkStart w:id="5201" w:name="_Toc74172439"/>
      <w:bookmarkStart w:id="5202" w:name="_Toc74172973"/>
      <w:bookmarkStart w:id="5203" w:name="_Toc74238886"/>
      <w:bookmarkStart w:id="5204" w:name="_Toc78304822"/>
      <w:bookmarkStart w:id="5205" w:name="_Toc79330922"/>
      <w:bookmarkStart w:id="5206" w:name="_Toc79331302"/>
      <w:bookmarkStart w:id="5207" w:name="_Toc79406521"/>
      <w:bookmarkStart w:id="5208" w:name="_Toc82773755"/>
      <w:bookmarkStart w:id="5209" w:name="_Toc82774108"/>
      <w:bookmarkStart w:id="5210" w:name="_Toc128314252"/>
      <w:bookmarkStart w:id="5211" w:name="_Toc135131496"/>
      <w:bookmarkStart w:id="5212" w:name="_Toc70328788"/>
      <w:bookmarkStart w:id="5213" w:name="_Toc70334018"/>
      <w:bookmarkEnd w:id="5082"/>
      <w:bookmarkEnd w:id="5083"/>
      <w:bookmarkEnd w:id="5084"/>
      <w:bookmarkEnd w:id="5085"/>
      <w:bookmarkEnd w:id="5086"/>
      <w:bookmarkEnd w:id="5177"/>
      <w:bookmarkEnd w:id="5178"/>
      <w:bookmarkEnd w:id="5179"/>
      <w:bookmarkEnd w:id="5180"/>
      <w:bookmarkEnd w:id="5181"/>
      <w:bookmarkEnd w:id="5182"/>
      <w:r w:rsidRPr="006720E4">
        <w:t>Directed, restricted or conditional donation</w:t>
      </w:r>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r w:rsidRPr="006720E4">
        <w:t xml:space="preserve"> of cells, tissues or organs</w:t>
      </w:r>
      <w:bookmarkEnd w:id="5205"/>
      <w:bookmarkEnd w:id="5206"/>
      <w:bookmarkEnd w:id="5207"/>
      <w:bookmarkEnd w:id="5208"/>
      <w:bookmarkEnd w:id="5209"/>
      <w:bookmarkEnd w:id="5210"/>
      <w:bookmarkEnd w:id="5211"/>
    </w:p>
    <w:p w14:paraId="736F749E" w14:textId="7B9AE64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Donation of cells, tissues and organs is usually non-directed, with the exception of living organ donation and some HSC donation. This means that individuals’ donations are not directed towards – given – to other specified individuals, but rather allocated or otherwise distributed without regard for any personal relationships or preferences the donor may have regarding the beneficiaries of their gift. </w:t>
      </w:r>
    </w:p>
    <w:p w14:paraId="15D9D8F2" w14:textId="49F964CB" w:rsidR="006C6EBA" w:rsidRPr="006720E4" w:rsidRDefault="006C6EBA" w:rsidP="00EA22AE">
      <w:pPr>
        <w:spacing w:after="120"/>
        <w:rPr>
          <w:rFonts w:ascii="Calibri" w:hAnsi="Calibri" w:cs="Calibri"/>
          <w:sz w:val="22"/>
          <w:szCs w:val="21"/>
        </w:rPr>
      </w:pPr>
      <w:r w:rsidRPr="006720E4">
        <w:rPr>
          <w:rFonts w:ascii="Calibri" w:hAnsi="Calibri" w:cs="Calibri"/>
          <w:sz w:val="22"/>
          <w:szCs w:val="21"/>
        </w:rPr>
        <w:t xml:space="preserve">In many cases directed donation is not practically feasible, as discussed </w:t>
      </w:r>
      <w:r w:rsidRPr="00035CF7">
        <w:rPr>
          <w:rFonts w:ascii="Calibri" w:hAnsi="Calibri" w:cs="Calibri"/>
          <w:sz w:val="22"/>
          <w:szCs w:val="21"/>
        </w:rPr>
        <w:t xml:space="preserve">in </w:t>
      </w:r>
      <w:hyperlink w:anchor="_Practical_constraints_on" w:history="1">
        <w:r w:rsidRPr="00035CF7">
          <w:rPr>
            <w:rStyle w:val="Hyperlink"/>
            <w:rFonts w:ascii="Calibri" w:hAnsi="Calibri" w:cs="Calibri"/>
            <w:sz w:val="22"/>
            <w:szCs w:val="22"/>
          </w:rPr>
          <w:t>Chapter 1</w:t>
        </w:r>
        <w:r w:rsidR="00035CF7" w:rsidRPr="00035CF7">
          <w:rPr>
            <w:rStyle w:val="Hyperlink"/>
            <w:rFonts w:ascii="Calibri" w:hAnsi="Calibri" w:cs="Calibri"/>
            <w:sz w:val="22"/>
            <w:szCs w:val="22"/>
          </w:rPr>
          <w:t>2</w:t>
        </w:r>
        <w:r w:rsidRPr="00035CF7">
          <w:rPr>
            <w:rStyle w:val="Hyperlink"/>
            <w:rFonts w:ascii="Calibri" w:hAnsi="Calibri" w:cs="Calibri"/>
            <w:sz w:val="22"/>
            <w:szCs w:val="22"/>
          </w:rPr>
          <w:t>.3.1</w:t>
        </w:r>
      </w:hyperlink>
      <w:r w:rsidRPr="00035CF7">
        <w:rPr>
          <w:rFonts w:ascii="Calibri" w:hAnsi="Calibri" w:cs="Calibri"/>
          <w:sz w:val="22"/>
          <w:szCs w:val="21"/>
        </w:rPr>
        <w:t>. In the</w:t>
      </w:r>
      <w:r w:rsidRPr="006720E4">
        <w:rPr>
          <w:rFonts w:ascii="Calibri" w:hAnsi="Calibri" w:cs="Calibri"/>
          <w:sz w:val="22"/>
          <w:szCs w:val="21"/>
        </w:rPr>
        <w:t xml:space="preserve"> following sections, we explore ethical concerns that may arise in specific circumstances in which directed or conditional donation may be considered.</w:t>
      </w:r>
    </w:p>
    <w:p w14:paraId="61648604" w14:textId="77777777" w:rsidR="006C6EBA" w:rsidRPr="006720E4" w:rsidRDefault="006C6EBA" w:rsidP="00EA22AE">
      <w:pPr>
        <w:pStyle w:val="Heading3"/>
        <w:spacing w:after="120"/>
      </w:pPr>
      <w:bookmarkStart w:id="5214" w:name="_Directed_(related)_living"/>
      <w:bookmarkStart w:id="5215" w:name="_Practical_constraints_on"/>
      <w:bookmarkStart w:id="5216" w:name="_Toc79406522"/>
      <w:bookmarkStart w:id="5217" w:name="_Toc82773756"/>
      <w:bookmarkStart w:id="5218" w:name="_Toc82774109"/>
      <w:bookmarkStart w:id="5219" w:name="_Toc63683459"/>
      <w:bookmarkStart w:id="5220" w:name="_Toc70241804"/>
      <w:bookmarkStart w:id="5221" w:name="_Toc70243439"/>
      <w:bookmarkStart w:id="5222" w:name="_Toc70415011"/>
      <w:bookmarkStart w:id="5223" w:name="_Toc70844331"/>
      <w:bookmarkStart w:id="5224" w:name="_Toc72615269"/>
      <w:bookmarkStart w:id="5225" w:name="_Toc73129993"/>
      <w:bookmarkStart w:id="5226" w:name="_Toc73301863"/>
      <w:bookmarkStart w:id="5227" w:name="_Toc73302369"/>
      <w:bookmarkStart w:id="5228" w:name="_Toc73303502"/>
      <w:bookmarkStart w:id="5229" w:name="_Toc73303711"/>
      <w:bookmarkStart w:id="5230" w:name="_Toc74080844"/>
      <w:bookmarkStart w:id="5231" w:name="_Toc74081152"/>
      <w:bookmarkStart w:id="5232" w:name="_Toc74081382"/>
      <w:bookmarkStart w:id="5233" w:name="_Toc74081663"/>
      <w:bookmarkStart w:id="5234" w:name="_Toc74171213"/>
      <w:bookmarkStart w:id="5235" w:name="_Toc74172440"/>
      <w:bookmarkStart w:id="5236" w:name="_Toc74172974"/>
      <w:bookmarkStart w:id="5237" w:name="_Toc74238887"/>
      <w:bookmarkEnd w:id="5214"/>
      <w:bookmarkEnd w:id="5215"/>
      <w:r w:rsidRPr="006720E4">
        <w:t>Practical constraints on directed donation</w:t>
      </w:r>
      <w:bookmarkEnd w:id="5216"/>
      <w:bookmarkEnd w:id="5217"/>
      <w:bookmarkEnd w:id="5218"/>
    </w:p>
    <w:p w14:paraId="687639F1" w14:textId="12AE995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Directed donation is often unfeasible or undesirable for practical reasons. For example, most people who have an opportunity to donate organs or tissues after death, to donate tissues when undergoing a therapeutic procedure, or to donate HSCs as a living donor do not know a person who would benefit from receiving their donation at that time. </w:t>
      </w:r>
    </w:p>
    <w:p w14:paraId="1A99C15F" w14:textId="260A6A0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Even if, for example, a person willing to donate their femoral head while undergoing a hip replacement had a friend who might need a bone graft, it would be much more efficient for that friend to obtain a graft that is already manufactured and available from a tissue bank, rather than to </w:t>
      </w:r>
      <w:r w:rsidRPr="006720E4">
        <w:rPr>
          <w:rFonts w:ascii="Calibri" w:hAnsi="Calibri" w:cs="Calibri"/>
          <w:sz w:val="22"/>
          <w:szCs w:val="22"/>
        </w:rPr>
        <w:lastRenderedPageBreak/>
        <w:t xml:space="preserve">wait for the donor’s bone to be specially processed for use in their graft. Where some tissues are concerned, more than one donor may also be required to provide specific tissues used in manufacture of specific grafts. </w:t>
      </w:r>
    </w:p>
    <w:p w14:paraId="179C25C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cells, organs and some tissues, the need to find a suitable immunological or anatomical match for a particular transplant candidate means that an individual’s donations may not be suitable for use by a transplant candidate even if they are genetically related. </w:t>
      </w:r>
    </w:p>
    <w:p w14:paraId="5C628CC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Reliance on non-directed donation generally helps to enable more efficient and equitable systems of allocation of donor cells, tissues, and organs. This is because non-directed donations can be allocated with regard for the needs and interests of all members of the community rather than being responsive to the unpredictable and sometimes biased personal preferences of individuals who encounter an opportunity for donation.  </w:t>
      </w:r>
    </w:p>
    <w:p w14:paraId="4BBF7254" w14:textId="34D6EB8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Those in need of a deceased donor transplant are most likely to receive one if most potential deceased donors become donors and if they do not direct their donations, increasing the probability that a suitably matched organ or tissue will be available when an individual requires one. Similarly, optimising participation in public umbilical cord blood banking rather than private family-directed banking has benefits for the </w:t>
      </w:r>
      <w:r w:rsidRPr="00035CF7">
        <w:rPr>
          <w:rFonts w:ascii="Calibri" w:hAnsi="Calibri" w:cs="Calibri"/>
          <w:sz w:val="22"/>
          <w:szCs w:val="22"/>
        </w:rPr>
        <w:t xml:space="preserve">public (see </w:t>
      </w:r>
      <w:hyperlink w:anchor="_Decision-making_regarding_public" w:history="1">
        <w:r w:rsidRPr="00035CF7">
          <w:rPr>
            <w:rStyle w:val="Hyperlink"/>
            <w:rFonts w:ascii="Calibri" w:hAnsi="Calibri" w:cs="Calibri"/>
            <w:sz w:val="22"/>
            <w:szCs w:val="22"/>
          </w:rPr>
          <w:t>Chapter 1</w:t>
        </w:r>
        <w:r w:rsidR="00035CF7" w:rsidRPr="00035CF7">
          <w:rPr>
            <w:rStyle w:val="Hyperlink"/>
            <w:rFonts w:ascii="Calibri" w:hAnsi="Calibri" w:cs="Calibri"/>
            <w:sz w:val="22"/>
            <w:szCs w:val="22"/>
          </w:rPr>
          <w:t>2</w:t>
        </w:r>
        <w:r w:rsidRPr="00035CF7">
          <w:rPr>
            <w:rStyle w:val="Hyperlink"/>
            <w:rFonts w:ascii="Calibri" w:hAnsi="Calibri" w:cs="Calibri"/>
            <w:sz w:val="22"/>
            <w:szCs w:val="22"/>
          </w:rPr>
          <w:t>.6.2</w:t>
        </w:r>
      </w:hyperlink>
      <w:r w:rsidRPr="00035CF7">
        <w:rPr>
          <w:rFonts w:ascii="Calibri" w:hAnsi="Calibri" w:cs="Calibri"/>
          <w:sz w:val="22"/>
          <w:szCs w:val="22"/>
        </w:rPr>
        <w:t>).</w:t>
      </w:r>
    </w:p>
    <w:p w14:paraId="0A91D7A9" w14:textId="77777777" w:rsidR="006C6EBA" w:rsidRPr="006720E4" w:rsidRDefault="006C6EBA" w:rsidP="00EA22AE">
      <w:pPr>
        <w:pStyle w:val="Heading3"/>
        <w:spacing w:after="120"/>
      </w:pPr>
      <w:bookmarkStart w:id="5238" w:name="_Directed_living_donation"/>
      <w:bookmarkStart w:id="5239" w:name="_Toc79406523"/>
      <w:bookmarkStart w:id="5240" w:name="_Toc82773757"/>
      <w:bookmarkStart w:id="5241" w:name="_Toc82774110"/>
      <w:bookmarkEnd w:id="5238"/>
      <w:r w:rsidRPr="006720E4">
        <w:t>Directed living donation</w:t>
      </w:r>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r w:rsidRPr="006720E4">
        <w:t xml:space="preserve"> of cells and organs</w:t>
      </w:r>
      <w:bookmarkEnd w:id="5239"/>
      <w:bookmarkEnd w:id="5240"/>
      <w:bookmarkEnd w:id="5241"/>
    </w:p>
    <w:p w14:paraId="180B2B64" w14:textId="58C8191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ethically acceptable for living organ and HSC donors to direct their donations to people with whom they have a social, emotional, or biological relationship, provided they are suitably matched from a clinical perspective and that other requirements for living donation are met. These include the requirement for valid consent to donation and transplantation; in some cases, the nature of relationships between prospective living directed donors and their intended recipients may raise concerns about the voluntariness of </w:t>
      </w:r>
      <w:r w:rsidRPr="00ED784D">
        <w:rPr>
          <w:rFonts w:ascii="Calibri" w:hAnsi="Calibri" w:cs="Calibri"/>
          <w:sz w:val="22"/>
          <w:szCs w:val="22"/>
        </w:rPr>
        <w:t xml:space="preserve">donation (see </w:t>
      </w:r>
      <w:hyperlink w:anchor="_Voluntariness_of_consent" w:history="1">
        <w:r w:rsidRPr="00ED784D">
          <w:rPr>
            <w:rStyle w:val="Hyperlink"/>
            <w:rFonts w:ascii="Calibri" w:hAnsi="Calibri" w:cs="Calibri"/>
            <w:sz w:val="22"/>
            <w:szCs w:val="22"/>
          </w:rPr>
          <w:t xml:space="preserve">Chapter </w:t>
        </w:r>
        <w:r w:rsidR="00ED784D" w:rsidRPr="00ED784D">
          <w:rPr>
            <w:rStyle w:val="Hyperlink"/>
            <w:rFonts w:ascii="Calibri" w:hAnsi="Calibri" w:cs="Calibri"/>
            <w:sz w:val="22"/>
            <w:szCs w:val="22"/>
          </w:rPr>
          <w:t>4</w:t>
        </w:r>
        <w:r w:rsidRPr="00ED784D">
          <w:rPr>
            <w:rStyle w:val="Hyperlink"/>
            <w:rFonts w:ascii="Calibri" w:hAnsi="Calibri" w:cs="Calibri"/>
            <w:sz w:val="22"/>
            <w:szCs w:val="22"/>
          </w:rPr>
          <w:t>.3.3.1</w:t>
        </w:r>
      </w:hyperlink>
      <w:r w:rsidRPr="00ED784D">
        <w:rPr>
          <w:rFonts w:ascii="Calibri" w:hAnsi="Calibri" w:cs="Calibri"/>
          <w:sz w:val="22"/>
          <w:szCs w:val="22"/>
        </w:rPr>
        <w:t>).</w:t>
      </w:r>
    </w:p>
    <w:p w14:paraId="7F8C4941" w14:textId="28DD71A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Most HSC donors are non-directed, due to difficulties finding suitably matched donors even within families. Individuals are most likely to be able to donate HSCs to a biological sibling.</w:t>
      </w:r>
    </w:p>
    <w:p w14:paraId="43E35014" w14:textId="525D5D9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contrast, directed living kidney donation is far more common than non-directed kidney donation (in which an individual donates an organ for allocation via the transplant waiting list or the paired exchange program). This is in part because the significant burdens associated with living kidney donation mean that people are more likely to be motivated to donate a kidney to a person with whom they have a relationship. It is also possible for some people to overcome potential immunological barriers to directed living kidney donation by participating in the paired exchange program.</w:t>
      </w:r>
    </w:p>
    <w:p w14:paraId="0283E6B6" w14:textId="55859E5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Rarely, an individual may seek to make a directed living donation to a person with whom they have no pre-existing relationship in response to a public campaign to recruit a donor. Ethical considerations in these </w:t>
      </w:r>
      <w:r w:rsidRPr="00947FB9">
        <w:rPr>
          <w:rFonts w:ascii="Calibri" w:hAnsi="Calibri" w:cs="Calibri"/>
          <w:sz w:val="22"/>
          <w:szCs w:val="22"/>
        </w:rPr>
        <w:t xml:space="preserve">circumstances are explored in </w:t>
      </w:r>
      <w:hyperlink w:anchor="_Ethical_considerations_in_6"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.1</w:t>
        </w:r>
      </w:hyperlink>
      <w:r w:rsidRPr="00947FB9">
        <w:rPr>
          <w:rFonts w:ascii="Calibri" w:hAnsi="Calibri" w:cs="Calibri"/>
          <w:sz w:val="22"/>
          <w:szCs w:val="22"/>
        </w:rPr>
        <w:t>.</w:t>
      </w:r>
    </w:p>
    <w:p w14:paraId="1936869F" w14:textId="62DB7E55" w:rsidR="006C6EBA" w:rsidRPr="006720E4" w:rsidRDefault="006C6EBA" w:rsidP="00EA22AE">
      <w:pPr>
        <w:pStyle w:val="Heading3"/>
        <w:spacing w:after="120"/>
      </w:pPr>
      <w:bookmarkStart w:id="5242" w:name="_Directed_deceased_donation_1"/>
      <w:bookmarkStart w:id="5243" w:name="_Toc63683460"/>
      <w:bookmarkStart w:id="5244" w:name="_Toc70241805"/>
      <w:bookmarkStart w:id="5245" w:name="_Toc70243440"/>
      <w:bookmarkStart w:id="5246" w:name="_Toc70415012"/>
      <w:bookmarkStart w:id="5247" w:name="_Toc70844332"/>
      <w:bookmarkStart w:id="5248" w:name="_Toc72615270"/>
      <w:bookmarkStart w:id="5249" w:name="_Toc73129994"/>
      <w:bookmarkStart w:id="5250" w:name="_Toc73301864"/>
      <w:bookmarkStart w:id="5251" w:name="_Toc73302370"/>
      <w:bookmarkStart w:id="5252" w:name="_Toc73303503"/>
      <w:bookmarkStart w:id="5253" w:name="_Toc73303712"/>
      <w:bookmarkStart w:id="5254" w:name="_Toc74080846"/>
      <w:bookmarkStart w:id="5255" w:name="_Toc74081154"/>
      <w:bookmarkStart w:id="5256" w:name="_Toc74081384"/>
      <w:bookmarkStart w:id="5257" w:name="_Toc74081665"/>
      <w:bookmarkStart w:id="5258" w:name="_Toc74171215"/>
      <w:bookmarkStart w:id="5259" w:name="_Toc74172442"/>
      <w:bookmarkStart w:id="5260" w:name="_Toc74172976"/>
      <w:bookmarkStart w:id="5261" w:name="_Toc74238889"/>
      <w:bookmarkStart w:id="5262" w:name="_Toc79406524"/>
      <w:bookmarkStart w:id="5263" w:name="_Toc82773758"/>
      <w:bookmarkStart w:id="5264" w:name="_Toc82774111"/>
      <w:bookmarkEnd w:id="5242"/>
      <w:r w:rsidRPr="006720E4">
        <w:t>Directed deceased donation</w:t>
      </w:r>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r w:rsidRPr="006720E4">
        <w:t xml:space="preserve"> of organs and tissues</w:t>
      </w:r>
      <w:bookmarkEnd w:id="5262"/>
      <w:bookmarkEnd w:id="5263"/>
      <w:bookmarkEnd w:id="5264"/>
    </w:p>
    <w:p w14:paraId="5BD74593"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rare cases, a person may die in circumstances where they may be able to donate their organs and tissues and where there is a transplant candidate with whom they have a relationship. In some such cases, it may be known that the potential deceased donor was willing to donate organs or tissues to the transplant candidate. </w:t>
      </w:r>
    </w:p>
    <w:p w14:paraId="6C94F1A4" w14:textId="77777777" w:rsidR="006C6EBA" w:rsidRPr="006720E4" w:rsidRDefault="006C6EBA" w:rsidP="00C3783C">
      <w:pPr>
        <w:pStyle w:val="ListParagraph"/>
        <w:numPr>
          <w:ilvl w:val="0"/>
          <w:numId w:val="109"/>
        </w:numPr>
        <w:spacing w:after="120"/>
        <w:contextualSpacing w:val="0"/>
        <w:rPr>
          <w:rFonts w:cs="Calibri"/>
          <w:szCs w:val="22"/>
        </w:rPr>
      </w:pPr>
      <w:r w:rsidRPr="006720E4">
        <w:rPr>
          <w:rFonts w:cs="Calibri"/>
          <w:szCs w:val="22"/>
        </w:rPr>
        <w:t xml:space="preserve">For example, a person may have been evaluated as a potential living organ donor for a friend or relative, and then may die before living donation could proceed. </w:t>
      </w:r>
    </w:p>
    <w:p w14:paraId="2907073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Alternatively, it may be reasonable to presume that the deceased would have been willing to donate to the transplant candidate if they knew the possibility might arise. </w:t>
      </w:r>
    </w:p>
    <w:p w14:paraId="0DAD3695" w14:textId="6E10999F" w:rsidR="006C6EBA" w:rsidRPr="006720E4" w:rsidRDefault="006C6EBA" w:rsidP="00C3783C">
      <w:pPr>
        <w:pStyle w:val="ListParagraph"/>
        <w:numPr>
          <w:ilvl w:val="0"/>
          <w:numId w:val="59"/>
        </w:numPr>
        <w:spacing w:after="120"/>
        <w:contextualSpacing w:val="0"/>
        <w:rPr>
          <w:rFonts w:cs="Calibri"/>
          <w:szCs w:val="22"/>
        </w:rPr>
      </w:pPr>
      <w:r w:rsidRPr="006720E4">
        <w:rPr>
          <w:rFonts w:cs="Calibri"/>
          <w:szCs w:val="22"/>
        </w:rPr>
        <w:lastRenderedPageBreak/>
        <w:t>For example, a parent who was supporting a child awaiting a lung transplant might reasonably be presumed to be willing to donate their lungs after death to their child.</w:t>
      </w:r>
    </w:p>
    <w:p w14:paraId="4913A4EE"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the relevant donation decision-makers believe that the potential deceased donor would have wished to make a directed donation of organs or tissues to a particular individual in need of transplantation, permitting directed donation may be ethically appropriate in some circumstances. These include:</w:t>
      </w:r>
    </w:p>
    <w:p w14:paraId="11AB1E26" w14:textId="77777777" w:rsidR="006C6EBA" w:rsidRPr="006720E4" w:rsidRDefault="006C6EBA" w:rsidP="00C3783C">
      <w:pPr>
        <w:pStyle w:val="Bullet"/>
        <w:numPr>
          <w:ilvl w:val="0"/>
          <w:numId w:val="138"/>
        </w:numPr>
        <w:spacing w:after="120"/>
        <w:contextualSpacing w:val="0"/>
        <w:rPr>
          <w:rFonts w:cs="Calibri"/>
          <w:szCs w:val="22"/>
        </w:rPr>
      </w:pPr>
      <w:r w:rsidRPr="006720E4">
        <w:rPr>
          <w:rFonts w:cs="Calibri"/>
          <w:szCs w:val="22"/>
        </w:rPr>
        <w:t>It should be clear that that such a decision is consistent with the likely values and preferences of the potential donor.</w:t>
      </w:r>
    </w:p>
    <w:p w14:paraId="6CB0498E" w14:textId="0BF71280" w:rsidR="006C6EBA" w:rsidRPr="006720E4" w:rsidRDefault="006C6EBA" w:rsidP="00C3783C">
      <w:pPr>
        <w:pStyle w:val="Bullet"/>
        <w:numPr>
          <w:ilvl w:val="0"/>
          <w:numId w:val="138"/>
        </w:numPr>
        <w:spacing w:after="120"/>
        <w:contextualSpacing w:val="0"/>
        <w:rPr>
          <w:rFonts w:cs="Calibri"/>
          <w:szCs w:val="22"/>
        </w:rPr>
      </w:pPr>
      <w:r w:rsidRPr="006720E4">
        <w:rPr>
          <w:rFonts w:cs="Calibri"/>
          <w:szCs w:val="22"/>
        </w:rPr>
        <w:t>Potential conflicts of interest in end-of-life care including donation decision-making must be carefully managed when decision-makers may have a personal interest in transplant oppo</w:t>
      </w:r>
      <w:r w:rsidRPr="00A15F8A">
        <w:rPr>
          <w:rFonts w:cs="Calibri"/>
          <w:szCs w:val="22"/>
        </w:rPr>
        <w:t xml:space="preserve">rtunities (see </w:t>
      </w:r>
      <w:hyperlink w:anchor="_Management_of_potential" w:history="1">
        <w:r w:rsidRPr="00A15F8A">
          <w:rPr>
            <w:rStyle w:val="Hyperlink"/>
            <w:rFonts w:cs="Calibri"/>
            <w:szCs w:val="22"/>
          </w:rPr>
          <w:t>Chapter 1</w:t>
        </w:r>
        <w:r w:rsidR="00A15F8A" w:rsidRPr="00A15F8A">
          <w:rPr>
            <w:rStyle w:val="Hyperlink"/>
            <w:rFonts w:cs="Calibri"/>
            <w:szCs w:val="22"/>
          </w:rPr>
          <w:t>1</w:t>
        </w:r>
        <w:r w:rsidRPr="00A15F8A">
          <w:rPr>
            <w:rStyle w:val="Hyperlink"/>
            <w:rFonts w:cs="Calibri"/>
            <w:szCs w:val="22"/>
          </w:rPr>
          <w:t>.3)</w:t>
        </w:r>
      </w:hyperlink>
    </w:p>
    <w:p w14:paraId="5715B77B" w14:textId="77777777" w:rsidR="00EE04DB" w:rsidRDefault="006C6EBA" w:rsidP="00C3783C">
      <w:pPr>
        <w:pStyle w:val="Bullet"/>
        <w:numPr>
          <w:ilvl w:val="0"/>
          <w:numId w:val="138"/>
        </w:numPr>
        <w:spacing w:after="120"/>
        <w:contextualSpacing w:val="0"/>
        <w:rPr>
          <w:rFonts w:cs="Calibri"/>
          <w:szCs w:val="22"/>
        </w:rPr>
      </w:pPr>
      <w:r w:rsidRPr="006720E4">
        <w:rPr>
          <w:rFonts w:cs="Calibri"/>
          <w:szCs w:val="22"/>
        </w:rPr>
        <w:t>Directed donation should be clinically appropriate, meaning that</w:t>
      </w:r>
      <w:r w:rsidR="00EE04DB">
        <w:rPr>
          <w:rFonts w:cs="Calibri"/>
          <w:szCs w:val="22"/>
        </w:rPr>
        <w:t>:</w:t>
      </w:r>
    </w:p>
    <w:p w14:paraId="400F5429" w14:textId="77777777" w:rsidR="00EE04DB" w:rsidRDefault="006C6EBA" w:rsidP="00C3783C">
      <w:pPr>
        <w:pStyle w:val="Bullet"/>
        <w:numPr>
          <w:ilvl w:val="1"/>
          <w:numId w:val="138"/>
        </w:numPr>
        <w:spacing w:after="120"/>
        <w:contextualSpacing w:val="0"/>
        <w:rPr>
          <w:rFonts w:cs="Calibri"/>
          <w:szCs w:val="22"/>
        </w:rPr>
      </w:pPr>
      <w:r w:rsidRPr="006720E4">
        <w:rPr>
          <w:rFonts w:cs="Calibri"/>
          <w:szCs w:val="22"/>
        </w:rPr>
        <w:t xml:space="preserve">the potential donor is clinically eligible to donate, </w:t>
      </w:r>
    </w:p>
    <w:p w14:paraId="48172F5C" w14:textId="77777777" w:rsidR="00EE04DB" w:rsidRDefault="006C6EBA" w:rsidP="00C3783C">
      <w:pPr>
        <w:pStyle w:val="Bullet"/>
        <w:numPr>
          <w:ilvl w:val="1"/>
          <w:numId w:val="138"/>
        </w:numPr>
        <w:spacing w:after="120"/>
        <w:contextualSpacing w:val="0"/>
        <w:rPr>
          <w:rFonts w:cs="Calibri"/>
          <w:szCs w:val="22"/>
        </w:rPr>
      </w:pPr>
      <w:r w:rsidRPr="006720E4">
        <w:rPr>
          <w:rFonts w:cs="Calibri"/>
          <w:szCs w:val="22"/>
        </w:rPr>
        <w:t xml:space="preserve">directed donation is logistically feasible, </w:t>
      </w:r>
    </w:p>
    <w:p w14:paraId="22BB724A" w14:textId="77777777" w:rsidR="00EE04DB" w:rsidRDefault="006C6EBA" w:rsidP="00C3783C">
      <w:pPr>
        <w:pStyle w:val="Bullet"/>
        <w:numPr>
          <w:ilvl w:val="1"/>
          <w:numId w:val="138"/>
        </w:numPr>
        <w:spacing w:after="120"/>
        <w:contextualSpacing w:val="0"/>
        <w:rPr>
          <w:rFonts w:cs="Calibri"/>
          <w:szCs w:val="22"/>
        </w:rPr>
      </w:pPr>
      <w:r w:rsidRPr="006720E4">
        <w:rPr>
          <w:rFonts w:cs="Calibri"/>
          <w:szCs w:val="22"/>
        </w:rPr>
        <w:t xml:space="preserve">the intended recipient is a suitable match and </w:t>
      </w:r>
    </w:p>
    <w:p w14:paraId="4202BDCE" w14:textId="2FA687FB" w:rsidR="006C6EBA" w:rsidRPr="006720E4" w:rsidRDefault="006C6EBA" w:rsidP="00C3783C">
      <w:pPr>
        <w:pStyle w:val="Bullet"/>
        <w:numPr>
          <w:ilvl w:val="1"/>
          <w:numId w:val="138"/>
        </w:numPr>
        <w:spacing w:after="120"/>
        <w:contextualSpacing w:val="0"/>
        <w:rPr>
          <w:rFonts w:cs="Calibri"/>
          <w:szCs w:val="22"/>
        </w:rPr>
      </w:pPr>
      <w:r w:rsidRPr="006720E4">
        <w:rPr>
          <w:rFonts w:cs="Calibri"/>
          <w:szCs w:val="22"/>
        </w:rPr>
        <w:t>the directed donation is expected to offer significant therapeutic benefits for the recipient compared with awaiting a transplant from another source.</w:t>
      </w:r>
    </w:p>
    <w:p w14:paraId="7E384CFE" w14:textId="42E356A6" w:rsidR="006C6EBA" w:rsidRPr="006720E4" w:rsidRDefault="006C6EBA" w:rsidP="00C3783C">
      <w:pPr>
        <w:pStyle w:val="Bullet"/>
        <w:numPr>
          <w:ilvl w:val="0"/>
          <w:numId w:val="138"/>
        </w:numPr>
        <w:spacing w:after="120"/>
        <w:contextualSpacing w:val="0"/>
        <w:rPr>
          <w:rFonts w:cs="Calibri"/>
          <w:szCs w:val="22"/>
        </w:rPr>
      </w:pPr>
      <w:r w:rsidRPr="006720E4">
        <w:rPr>
          <w:rFonts w:cs="Calibri"/>
          <w:szCs w:val="22"/>
        </w:rPr>
        <w:t>The intended transplant recipient should be</w:t>
      </w:r>
      <w:r w:rsidR="00EE04DB">
        <w:rPr>
          <w:rFonts w:cs="Calibri"/>
          <w:szCs w:val="22"/>
        </w:rPr>
        <w:t xml:space="preserve"> willing to accept the offer of a directed donation. They should be</w:t>
      </w:r>
      <w:r w:rsidRPr="006720E4">
        <w:rPr>
          <w:rFonts w:cs="Calibri"/>
          <w:szCs w:val="22"/>
        </w:rPr>
        <w:t xml:space="preserve"> counselled </w:t>
      </w:r>
      <w:r w:rsidR="0081350D">
        <w:rPr>
          <w:rFonts w:cs="Calibri"/>
          <w:szCs w:val="22"/>
        </w:rPr>
        <w:t>regarding</w:t>
      </w:r>
      <w:r w:rsidRPr="006720E4">
        <w:rPr>
          <w:rFonts w:cs="Calibri"/>
          <w:szCs w:val="22"/>
        </w:rPr>
        <w:t xml:space="preserve"> risks and </w:t>
      </w:r>
      <w:r w:rsidR="0081350D" w:rsidRPr="006720E4">
        <w:rPr>
          <w:rFonts w:cs="Calibri"/>
          <w:szCs w:val="22"/>
        </w:rPr>
        <w:t xml:space="preserve">potential </w:t>
      </w:r>
      <w:r w:rsidRPr="006720E4">
        <w:rPr>
          <w:rFonts w:cs="Calibri"/>
          <w:szCs w:val="22"/>
        </w:rPr>
        <w:t>benefits that may be associated with the directed donation including the lack of anonymity, the potential for psychological harm, and the implications for the recipient’s relationship with the donor family.</w:t>
      </w:r>
    </w:p>
    <w:p w14:paraId="50EE9F36"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These circumstances are only likely to prevail in the setting of a close relative or friend in need of a solid organ transplant. </w:t>
      </w:r>
    </w:p>
    <w:p w14:paraId="6D5ECD08" w14:textId="6C01AE7F" w:rsidR="006C6EBA" w:rsidRPr="006720E4" w:rsidRDefault="006C6EBA" w:rsidP="00C3783C">
      <w:pPr>
        <w:pStyle w:val="ListParagraph"/>
        <w:numPr>
          <w:ilvl w:val="0"/>
          <w:numId w:val="59"/>
        </w:numPr>
        <w:spacing w:after="120"/>
        <w:contextualSpacing w:val="0"/>
        <w:rPr>
          <w:rFonts w:cs="Calibri"/>
          <w:szCs w:val="22"/>
        </w:rPr>
      </w:pPr>
      <w:r w:rsidRPr="006720E4">
        <w:rPr>
          <w:rFonts w:cs="Calibri"/>
          <w:szCs w:val="22"/>
        </w:rPr>
        <w:t xml:space="preserve">For example, if a request was made to direct a corneal donation to a relative of the deceased, the logistical burdens and psychosocial risks associated with directed donation would likely outweigh the potential benefits of a directed donor transplant. </w:t>
      </w:r>
    </w:p>
    <w:p w14:paraId="68EC93C1" w14:textId="4F12A14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Considering the potential psychosocial risks of directed deceased donation is particularly important given that families are making decisions at the time of a loved one’s death. The emotional impact of the death may make it difficult for individuals and families to fully appraise the potential long-term consequences of the directed donation. These include the psychological effects of receiving a transplant from a deceased family member or close friend, or knowing that a relative or friend has received a transplant as a result of a loved one’s death. In contrast, in living directed donation and transplantation, prospective donors and recipients receive counselling, are carefully evaluated, and are usually </w:t>
      </w:r>
      <w:r w:rsidRPr="00947FB9">
        <w:rPr>
          <w:rFonts w:ascii="Calibri" w:hAnsi="Calibri" w:cs="Calibri"/>
          <w:sz w:val="22"/>
          <w:szCs w:val="22"/>
        </w:rPr>
        <w:t>given time to reflect on their decisions before proceeding with donation and transplantation (</w:t>
      </w:r>
      <w:r w:rsidR="00947FB9">
        <w:rPr>
          <w:rFonts w:ascii="Calibri" w:hAnsi="Calibri" w:cs="Calibri"/>
          <w:sz w:val="22"/>
          <w:szCs w:val="22"/>
        </w:rPr>
        <w:t xml:space="preserve">see </w:t>
      </w:r>
      <w:hyperlink w:anchor="_Psychosocial_evaluation_of" w:history="1">
        <w:r w:rsidR="00947FB9" w:rsidRPr="00947FB9">
          <w:rPr>
            <w:rStyle w:val="Hyperlink"/>
            <w:rFonts w:ascii="Calibri" w:hAnsi="Calibri" w:cs="Calibri"/>
            <w:sz w:val="22"/>
            <w:szCs w:val="22"/>
          </w:rPr>
          <w:t>Chapter 6.1.3</w:t>
        </w:r>
      </w:hyperlink>
      <w:r w:rsidR="00947FB9" w:rsidRPr="00947FB9">
        <w:rPr>
          <w:rStyle w:val="Hyperlink"/>
          <w:rFonts w:ascii="Calibri" w:hAnsi="Calibri" w:cs="Calibri"/>
          <w:sz w:val="22"/>
          <w:szCs w:val="22"/>
        </w:rPr>
        <w:t xml:space="preserve"> </w:t>
      </w:r>
      <w:r w:rsidRPr="00947FB9">
        <w:rPr>
          <w:rFonts w:ascii="Calibri" w:hAnsi="Calibri" w:cs="Calibri"/>
          <w:sz w:val="22"/>
          <w:szCs w:val="22"/>
        </w:rPr>
        <w:t xml:space="preserve">and </w:t>
      </w:r>
      <w:hyperlink w:anchor="_Voluntariness_of_consent" w:history="1">
        <w:r w:rsidRPr="00947FB9">
          <w:rPr>
            <w:rStyle w:val="Hyperlink"/>
            <w:rFonts w:ascii="Calibri" w:hAnsi="Calibri" w:cs="Calibri"/>
            <w:sz w:val="22"/>
            <w:szCs w:val="22"/>
          </w:rPr>
          <w:t xml:space="preserve">Chapter </w:t>
        </w:r>
        <w:r w:rsidR="00947FB9" w:rsidRPr="00947FB9">
          <w:rPr>
            <w:rStyle w:val="Hyperlink"/>
            <w:rFonts w:ascii="Calibri" w:hAnsi="Calibri" w:cs="Calibri"/>
            <w:sz w:val="22"/>
            <w:szCs w:val="22"/>
          </w:rPr>
          <w:t>4</w:t>
        </w:r>
        <w:r w:rsidRPr="00947FB9">
          <w:rPr>
            <w:rStyle w:val="Hyperlink"/>
            <w:rFonts w:ascii="Calibri" w:hAnsi="Calibri" w:cs="Calibri"/>
            <w:sz w:val="22"/>
            <w:szCs w:val="22"/>
          </w:rPr>
          <w:t>.3.3.1</w:t>
        </w:r>
      </w:hyperlink>
      <w:r w:rsidRPr="00947FB9">
        <w:rPr>
          <w:rFonts w:ascii="Calibri" w:hAnsi="Calibri" w:cs="Calibri"/>
          <w:sz w:val="22"/>
          <w:szCs w:val="22"/>
        </w:rPr>
        <w:t>).</w:t>
      </w:r>
    </w:p>
    <w:p w14:paraId="56ED4A06" w14:textId="739398D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Specific concerns may arise if directed donation is considered by a person seeking to donate following VAD or cessation of life sustaining treatment (</w:t>
      </w:r>
      <w:r w:rsidRPr="00947FB9">
        <w:rPr>
          <w:rFonts w:ascii="Calibri" w:hAnsi="Calibri" w:cs="Calibri"/>
          <w:sz w:val="22"/>
          <w:szCs w:val="22"/>
        </w:rPr>
        <w:t xml:space="preserve">see </w:t>
      </w:r>
      <w:hyperlink w:anchor="_Directed_donation_after" w:history="1">
        <w:r w:rsidRPr="00947FB9">
          <w:rPr>
            <w:rStyle w:val="Hyperlink"/>
            <w:rFonts w:ascii="Calibri" w:hAnsi="Calibri" w:cs="Calibri"/>
            <w:sz w:val="22"/>
            <w:szCs w:val="22"/>
          </w:rPr>
          <w:t>Chapter 1</w:t>
        </w:r>
        <w:r w:rsidR="00A15F8A" w:rsidRPr="00947FB9">
          <w:rPr>
            <w:rStyle w:val="Hyperlink"/>
            <w:rFonts w:ascii="Calibri" w:hAnsi="Calibri" w:cs="Calibri"/>
            <w:sz w:val="22"/>
            <w:szCs w:val="22"/>
          </w:rPr>
          <w:t>2</w:t>
        </w:r>
        <w:r w:rsidRPr="00947FB9">
          <w:rPr>
            <w:rStyle w:val="Hyperlink"/>
            <w:rFonts w:ascii="Calibri" w:hAnsi="Calibri" w:cs="Calibri"/>
            <w:sz w:val="22"/>
            <w:szCs w:val="22"/>
          </w:rPr>
          <w:t>.3.3.1</w:t>
        </w:r>
      </w:hyperlink>
      <w:r w:rsidRPr="00947FB9">
        <w:rPr>
          <w:rFonts w:ascii="Calibri" w:hAnsi="Calibri" w:cs="Calibri"/>
          <w:sz w:val="22"/>
          <w:szCs w:val="22"/>
        </w:rPr>
        <w:t xml:space="preserve">), or if directed deceased donation is considered in the absence of a relationship between the potential donor and the intended transplant recipient (see </w:t>
      </w:r>
      <w:hyperlink w:anchor="_Directed_deceased_donation"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.3.3.2</w:t>
        </w:r>
      </w:hyperlink>
      <w:r w:rsidRPr="00947FB9">
        <w:rPr>
          <w:rFonts w:ascii="Calibri" w:hAnsi="Calibri" w:cs="Calibri"/>
          <w:sz w:val="22"/>
          <w:szCs w:val="22"/>
        </w:rPr>
        <w:t>)</w:t>
      </w:r>
      <w:r w:rsidRPr="006720E4">
        <w:rPr>
          <w:rFonts w:ascii="Calibri" w:hAnsi="Calibri" w:cs="Calibri"/>
          <w:sz w:val="22"/>
          <w:szCs w:val="22"/>
        </w:rPr>
        <w:t xml:space="preserve"> </w:t>
      </w:r>
    </w:p>
    <w:p w14:paraId="683DAC22" w14:textId="101116CC" w:rsidR="006C6EBA" w:rsidRPr="006720E4" w:rsidRDefault="006C6EBA" w:rsidP="00EA22AE">
      <w:pPr>
        <w:pStyle w:val="Heading4"/>
        <w:spacing w:after="120"/>
      </w:pPr>
      <w:bookmarkStart w:id="5265" w:name="_Toc79330923"/>
      <w:bookmarkStart w:id="5266" w:name="_Toc79331303"/>
      <w:bookmarkStart w:id="5267" w:name="_Toc79406525"/>
      <w:bookmarkStart w:id="5268" w:name="_Directed_donation_after"/>
      <w:bookmarkStart w:id="5269" w:name="_Toc74080826"/>
      <w:bookmarkStart w:id="5270" w:name="_Toc74081134"/>
      <w:bookmarkStart w:id="5271" w:name="_Toc74081364"/>
      <w:bookmarkStart w:id="5272" w:name="_Toc74081645"/>
      <w:bookmarkStart w:id="5273" w:name="_Toc74171195"/>
      <w:bookmarkStart w:id="5274" w:name="_Toc74172422"/>
      <w:bookmarkStart w:id="5275" w:name="_Toc74172956"/>
      <w:bookmarkStart w:id="5276" w:name="_Toc74238869"/>
      <w:bookmarkStart w:id="5277" w:name="_Toc82773759"/>
      <w:bookmarkStart w:id="5278" w:name="_Toc82774112"/>
      <w:bookmarkStart w:id="5279" w:name="_Toc74081666"/>
      <w:bookmarkStart w:id="5280" w:name="_Toc74172443"/>
      <w:bookmarkStart w:id="5281" w:name="_Toc74172977"/>
      <w:bookmarkEnd w:id="5265"/>
      <w:bookmarkEnd w:id="5266"/>
      <w:bookmarkEnd w:id="5267"/>
      <w:bookmarkEnd w:id="5268"/>
      <w:r w:rsidRPr="006720E4">
        <w:t>Directed donation after VAD</w:t>
      </w:r>
      <w:bookmarkEnd w:id="5269"/>
      <w:bookmarkEnd w:id="5270"/>
      <w:bookmarkEnd w:id="5271"/>
      <w:bookmarkEnd w:id="5272"/>
      <w:bookmarkEnd w:id="5273"/>
      <w:bookmarkEnd w:id="5274"/>
      <w:bookmarkEnd w:id="5275"/>
      <w:bookmarkEnd w:id="5276"/>
      <w:r w:rsidRPr="006720E4">
        <w:t xml:space="preserve"> or a personal decision to cease life sustaining treatment</w:t>
      </w:r>
      <w:bookmarkEnd w:id="5277"/>
      <w:bookmarkEnd w:id="5278"/>
    </w:p>
    <w:p w14:paraId="21017A08" w14:textId="215E98D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Specific concerns arise when a person who seeks to become a deceased donor after ceasing life sustaining treatment or undergoing VAD wishes to direct their organ(s) or tissue(s) to a specific recipient. In particular, a request to make a directed donation in these circumstances may raise </w:t>
      </w:r>
      <w:r w:rsidRPr="006720E4">
        <w:rPr>
          <w:rFonts w:ascii="Calibri" w:hAnsi="Calibri" w:cs="Calibri"/>
          <w:sz w:val="22"/>
          <w:szCs w:val="22"/>
        </w:rPr>
        <w:lastRenderedPageBreak/>
        <w:t>concerns that donation is the primary motivation for the decision to cease life sustaining treatment or seek VAD. A potential interest in saving the life of a loved one, for example, through organ transplantation, might unduly influence a person and motivate their decision to hasten their own death.</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{"citationItems":[{"id":"ITEM-1","itemData":{"DOI":"10.1503/cmaj","author":[{"dropping-particle":"","family":"Downar","given":"James","non-dropping-particle":"","parse-names":false,"suffix":""},{"dropping-particle":"","family":"Shemie","given":"Sam D.","non-dropping-particle":"","parse-names":false,"suffix":""},{"dropping-particle":"","family":"Gillrie","given":"Clay","non-dropping-particle":"","parse-names":false,"suffix":""},{"dropping-particle":"","family":"Fortin","given":"Marie-Chantal","non-dropping-particle":"","parse-names":false,"suffix":""},{"dropping-particle":"","family":"Appleby","given":"Amber","non-dropping-particle":"","parse-names":false,"suffix":""},{"dropping-particle":"","family":"Buchman","given":"Daniel Z","non-dropping-particle":"","parse-names":false,"suffix":""},{"dropping-particle":"","family":"Shoesmith","given":"Christen","non-dropping-particle":"","parse-names":false,"suffix":""},{"dropping-particle":"","family":"Goldberg","given":"Aviva","non-dropping-particle":"","parse-names":false,"suffix":""},{"dropping-particle":"","family":"Gruben","given":"Vanessa","non-dropping-particle":"","parse-names":false,"suffix":""},{"dropping-particle":"","family":"Lalani","given":"Jehan","non-dropping-particle":"","parse-names":false,"suffix":""},{"dropping-particle":"","family":"Ysebaert","given":"Dirk","non-dropping-particle":"","parse-names":false,"suffix":""},{"dropping-particle":"","family":"Wilson","given":"Lindsay","non-dropping-particle":"","parse-names":false,"suffix":""},{"dropping-particle":"","family":"Sharpe","given":"Michael D.","non-dropping-particle":"","parse-names":false,"suffix":""},{"dropping-particle":"","family":"Al.","given":"Et","non-dropping-particle":"","parse-names":false,"suffix":""}],"container-title":"Canadian Medical Association Journal","id":"ITEM-1","issued":{"date-parts":[["2019"]]},"page":"e604-13","title":"Deceased organ and tissue donation after medical assistance in dying and other conscious and competent donors: guidance for policy","type":"article-journal","volume":"191"},"uris":["http://www.mendeley.com/documents/?uuid=c181363f-a327-4004-b7cf-aac902986d0a"]},{"id":"ITEM-2","itemData":{"DOI":"10.1007/s12630-020-01632-5","ISSN":"14968975","PMID":"32207087","author":[{"dropping-particle":"","family":"Casey","given":"Genevieve M.","non-dropping-particle":"","parse-names":false,"suffix":""},{"dropping-particle":"","family":"Kekewich","given":"Michael","non-dropping-particle":"","parse-names":false,"suffix":""},{"dropping-particle":"","family":"Naik","given":"Viren N.","non-dropping-particle":"","parse-names":false,"suffix":""},{"dropping-particle":"","family":"Hartwick","given":"Michael","non-dropping-particle":"","parse-names":false,"suffix":""},{"dropping-particle":"","family":"Healey","given":"Andrew","non-dropping-particle":"","parse-names":false,"suffix":""}],"container-title":"Canadian Journal of Anesthesia","id":"ITEM-2","issue":"7","issued":{"date-parts":[["2020"]]},"page":"806-809","publisher":"Springer International Publishing","title":"A request for directed organ donation in medical assistance in dying (MAID)","type":"article-journal","volume":"67"},"uris":["http://www.mendeley.com/documents/?uuid=06b3abaa-f460-48e9-9f14-663e9063dc6a"]}],"mendeley":{"formattedCitation":"(176,181)","plainTextFormattedCitation":"(176,181)","previouslyFormattedCitation":"(176,181)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(176,181)</w:t>
      </w:r>
      <w:r w:rsidRPr="006720E4">
        <w:rPr>
          <w:rFonts w:ascii="Calibri" w:hAnsi="Calibri" w:cs="Calibri"/>
          <w:sz w:val="22"/>
          <w:szCs w:val="22"/>
        </w:rPr>
        <w:fldChar w:fldCharType="end"/>
      </w:r>
      <w:r w:rsidRPr="006720E4">
        <w:rPr>
          <w:rFonts w:ascii="Calibri" w:hAnsi="Calibri" w:cs="Calibri"/>
          <w:sz w:val="22"/>
          <w:szCs w:val="22"/>
        </w:rPr>
        <w:t xml:space="preserve"> </w:t>
      </w:r>
    </w:p>
    <w:p w14:paraId="50B34B0A" w14:textId="392D30C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exceptional circumstances, where it is clear that the decision to undergo VAD or cease life sustaining treatment has been made, and would be made, irrespective of the opportunity to make a directed donation of organs or tissues after death, directed donation may be considered.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{"citationItems":[{"id":"ITEM-1","itemData":{"DOI":"10.1007/s12630-020-01632-5","ISSN":"14968975","PMID":"32207087","author":[{"dropping-particle":"","family":"Casey","given":"Genevieve M.","non-dropping-particle":"","parse-names":false,"suffix":""},{"dropping-particle":"","family":"Kekewich","given":"Michael","non-dropping-particle":"","parse-names":false,"suffix":""},{"dropping-particle":"","family":"Naik","given":"Viren N.","non-dropping-particle":"","parse-names":false,"suffix":""},{"dropping-particle":"","family":"Hartwick","given":"Michael","non-dropping-particle":"","parse-names":false,"suffix":""},{"dropping-particle":"","family":"Healey","given":"Andrew","non-dropping-particle":"","parse-names":false,"suffix":""}],"container-title":"Canadian Journal of Anesthesia","id":"ITEM-1","issue":"7","issued":{"date-parts":[["2020"]]},"page":"806-809","publisher":"Springer International Publishing","title":"A request for directed organ donation in medical assistance in dying (MAID)","type":"article-journal","volume":"67"},"uris":["http://www.mendeley.com/documents/?uuid=06b3abaa-f460-48e9-9f14-663e9063dc6a"]}],"mendeley":{"formattedCitation":"(181)","plainTextFormattedCitation":"(181)","previouslyFormattedCitation":"(181)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(181)</w:t>
      </w:r>
      <w:r w:rsidRPr="006720E4">
        <w:rPr>
          <w:rFonts w:ascii="Calibri" w:hAnsi="Calibri" w:cs="Calibri"/>
          <w:sz w:val="22"/>
          <w:szCs w:val="22"/>
        </w:rPr>
        <w:fldChar w:fldCharType="end"/>
      </w:r>
      <w:r w:rsidRPr="006720E4">
        <w:rPr>
          <w:rFonts w:ascii="Calibri" w:hAnsi="Calibri" w:cs="Calibri"/>
          <w:sz w:val="22"/>
          <w:szCs w:val="22"/>
        </w:rPr>
        <w:t xml:space="preserve"> </w:t>
      </w:r>
    </w:p>
    <w:p w14:paraId="09529913" w14:textId="203030AD" w:rsidR="006C6EBA" w:rsidRPr="006720E4" w:rsidRDefault="006C6EBA" w:rsidP="00EA22AE">
      <w:pPr>
        <w:pStyle w:val="Heading4"/>
        <w:spacing w:after="120"/>
      </w:pPr>
      <w:bookmarkStart w:id="5282" w:name="_Directed_deceased_donation"/>
      <w:bookmarkStart w:id="5283" w:name="_Toc82773760"/>
      <w:bookmarkStart w:id="5284" w:name="_Toc82774113"/>
      <w:bookmarkEnd w:id="5282"/>
      <w:r w:rsidRPr="006720E4">
        <w:t>Directed deceased donation to a person with whom the potential donor had no relationship</w:t>
      </w:r>
      <w:bookmarkEnd w:id="5283"/>
      <w:bookmarkEnd w:id="5284"/>
    </w:p>
    <w:bookmarkEnd w:id="5279"/>
    <w:bookmarkEnd w:id="5280"/>
    <w:bookmarkEnd w:id="5281"/>
    <w:p w14:paraId="33B9E801" w14:textId="7079E4F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Although rare, it is possible that the family of a potential deceased donor may seek to direct donation of an organ or tissue to a specific individual with whom the donor – if not the family - had no prior relationship. This could occur, for example, if that individual’s need for transplantation is publicly known because of a news story about a person in need of transplantation or of a public donor recruitment </w:t>
      </w:r>
      <w:r w:rsidRPr="00947FB9">
        <w:rPr>
          <w:rFonts w:ascii="Calibri" w:hAnsi="Calibri" w:cs="Calibri"/>
          <w:sz w:val="22"/>
          <w:szCs w:val="22"/>
        </w:rPr>
        <w:t xml:space="preserve">campaign (see </w:t>
      </w:r>
      <w:hyperlink w:anchor="_Public_solicitation_of"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.1</w:t>
        </w:r>
      </w:hyperlink>
      <w:r w:rsidRPr="00947FB9">
        <w:rPr>
          <w:rFonts w:ascii="Calibri" w:hAnsi="Calibri" w:cs="Calibri"/>
          <w:sz w:val="22"/>
          <w:szCs w:val="22"/>
        </w:rPr>
        <w:t>).</w:t>
      </w:r>
      <w:r w:rsidRPr="006720E4">
        <w:rPr>
          <w:rFonts w:ascii="Calibri" w:hAnsi="Calibri" w:cs="Calibri"/>
          <w:sz w:val="22"/>
          <w:szCs w:val="22"/>
        </w:rPr>
        <w:t xml:space="preserve"> </w:t>
      </w:r>
    </w:p>
    <w:p w14:paraId="7E063F95" w14:textId="2CA6EED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Such requests should not be supported for the reasons outlined below in the context of restricted or conditional </w:t>
      </w:r>
      <w:r w:rsidRPr="00947FB9">
        <w:rPr>
          <w:rFonts w:ascii="Calibri" w:hAnsi="Calibri" w:cs="Calibri"/>
          <w:sz w:val="22"/>
          <w:szCs w:val="22"/>
        </w:rPr>
        <w:t xml:space="preserve">donations (see </w:t>
      </w:r>
      <w:hyperlink w:anchor="_Restricted_donations"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.3.4</w:t>
        </w:r>
      </w:hyperlink>
      <w:r w:rsidRPr="00947FB9">
        <w:rPr>
          <w:rFonts w:ascii="Calibri" w:hAnsi="Calibri" w:cs="Calibri"/>
          <w:sz w:val="22"/>
          <w:szCs w:val="22"/>
        </w:rPr>
        <w:t>), most notably</w:t>
      </w:r>
      <w:r w:rsidRPr="006720E4">
        <w:rPr>
          <w:rFonts w:ascii="Calibri" w:hAnsi="Calibri" w:cs="Calibri"/>
          <w:sz w:val="22"/>
          <w:szCs w:val="22"/>
        </w:rPr>
        <w:t xml:space="preserve"> with regards to the impact on equity in allocation of deceased donor organs and tissues. </w:t>
      </w:r>
      <w:r w:rsidRPr="006720E4">
        <w:rPr>
          <w:rFonts w:ascii="Calibri" w:hAnsi="Calibri" w:cs="Calibri"/>
          <w:sz w:val="22"/>
          <w:szCs w:val="21"/>
        </w:rPr>
        <w:t>Allowing directed donations in the absence of a relationship between the potential donor and recipient could exacerbate inequities in access to transplants and reduce the utility or benefits of donation overall for communities</w:t>
      </w:r>
      <w:r w:rsidRPr="006720E4">
        <w:rPr>
          <w:rFonts w:ascii="Calibri" w:hAnsi="Calibri" w:cs="Calibri"/>
          <w:szCs w:val="22"/>
        </w:rPr>
        <w:t xml:space="preserve">. </w:t>
      </w:r>
      <w:r w:rsidRPr="006720E4">
        <w:rPr>
          <w:rFonts w:ascii="Calibri" w:hAnsi="Calibri" w:cs="Calibri"/>
          <w:sz w:val="22"/>
          <w:szCs w:val="22"/>
        </w:rPr>
        <w:t>If all donors were able to direct their donations to specified individuals, even if those individuals needed transplants and were able to benefit from them therapeutically, there may be other individuals who would benefit more, or who may have more urgent needs for transplantation.</w:t>
      </w:r>
    </w:p>
    <w:p w14:paraId="50C2336F" w14:textId="77777777" w:rsidR="006C6EBA" w:rsidRPr="006720E4" w:rsidRDefault="006C6EBA" w:rsidP="00EA22AE">
      <w:pPr>
        <w:pStyle w:val="Heading3"/>
        <w:spacing w:after="120"/>
      </w:pPr>
      <w:bookmarkStart w:id="5285" w:name="_Restricted_donations"/>
      <w:bookmarkStart w:id="5286" w:name="_Restricted_or_conditional"/>
      <w:bookmarkStart w:id="5287" w:name="_Toc63683461"/>
      <w:bookmarkStart w:id="5288" w:name="_Toc70241806"/>
      <w:bookmarkStart w:id="5289" w:name="_Toc70243441"/>
      <w:bookmarkStart w:id="5290" w:name="_Toc70415013"/>
      <w:bookmarkStart w:id="5291" w:name="_Toc70844333"/>
      <w:bookmarkStart w:id="5292" w:name="_Toc72615271"/>
      <w:bookmarkStart w:id="5293" w:name="_Toc73129995"/>
      <w:bookmarkStart w:id="5294" w:name="_Toc73301865"/>
      <w:bookmarkStart w:id="5295" w:name="_Toc73302371"/>
      <w:bookmarkStart w:id="5296" w:name="_Toc73303504"/>
      <w:bookmarkStart w:id="5297" w:name="_Toc73303713"/>
      <w:bookmarkStart w:id="5298" w:name="_Toc74080847"/>
      <w:bookmarkStart w:id="5299" w:name="_Toc74081155"/>
      <w:bookmarkStart w:id="5300" w:name="_Toc74081385"/>
      <w:bookmarkStart w:id="5301" w:name="_Toc74081667"/>
      <w:bookmarkStart w:id="5302" w:name="_Toc74171216"/>
      <w:bookmarkStart w:id="5303" w:name="_Toc74172444"/>
      <w:bookmarkStart w:id="5304" w:name="_Toc74172978"/>
      <w:bookmarkStart w:id="5305" w:name="_Toc74238890"/>
      <w:bookmarkStart w:id="5306" w:name="_Toc79406530"/>
      <w:bookmarkStart w:id="5307" w:name="_Toc82773761"/>
      <w:bookmarkStart w:id="5308" w:name="_Toc82774114"/>
      <w:bookmarkEnd w:id="5285"/>
      <w:bookmarkEnd w:id="5286"/>
      <w:r w:rsidRPr="006720E4">
        <w:t>Restricted or conditional non-directed donations</w:t>
      </w:r>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r w:rsidRPr="006720E4">
        <w:t xml:space="preserve"> </w:t>
      </w:r>
    </w:p>
    <w:p w14:paraId="453C105A" w14:textId="6F87F0A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While respecting the autonomy of potential non-directed living or deceased donors is important, there are limitations on the extent of control potential donors may have over their cells, tissues, or organs if they choose to donate these for the purpose of transplantation. </w:t>
      </w:r>
    </w:p>
    <w:p w14:paraId="2C4C1D2B" w14:textId="4CDC431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potential deceased donors - or those making a decision about deceased donation on their behalf - are permitted to choose which organs or tissues will be donated, however they are only permitted to direct donations to specific individuals in particular circumstances as discussed in </w:t>
      </w:r>
      <w:hyperlink w:anchor="_Directed_deceased_donation_1"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.3.3.</w:t>
        </w:r>
      </w:hyperlink>
      <w:r w:rsidRPr="006720E4">
        <w:rPr>
          <w:rFonts w:ascii="Calibri" w:hAnsi="Calibri" w:cs="Calibri"/>
          <w:sz w:val="22"/>
          <w:szCs w:val="22"/>
        </w:rPr>
        <w:t xml:space="preserve"> </w:t>
      </w:r>
    </w:p>
    <w:p w14:paraId="7F07D79B"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the following sections, circumstances in which donors or donation decision-makers may seek to place restrictions or conditions upon donations are discussed, and the limitations of rights to restrict or set conditions on non-directed donation are described.</w:t>
      </w:r>
    </w:p>
    <w:p w14:paraId="6AE73F1B" w14:textId="77777777" w:rsidR="006C6EBA" w:rsidRPr="006720E4" w:rsidRDefault="006C6EBA" w:rsidP="00EA22AE">
      <w:pPr>
        <w:pStyle w:val="Heading4"/>
        <w:spacing w:after="120"/>
      </w:pPr>
      <w:bookmarkStart w:id="5309" w:name="_Ethically_permissible_restrictions"/>
      <w:bookmarkStart w:id="5310" w:name="_Toc70415014"/>
      <w:bookmarkStart w:id="5311" w:name="_Toc70844334"/>
      <w:bookmarkStart w:id="5312" w:name="_Toc72615272"/>
      <w:bookmarkStart w:id="5313" w:name="_Toc73129996"/>
      <w:bookmarkStart w:id="5314" w:name="_Toc73301866"/>
      <w:bookmarkStart w:id="5315" w:name="_Toc73302372"/>
      <w:bookmarkStart w:id="5316" w:name="_Toc73303505"/>
      <w:bookmarkStart w:id="5317" w:name="_Toc74081668"/>
      <w:bookmarkStart w:id="5318" w:name="_Toc74172445"/>
      <w:bookmarkStart w:id="5319" w:name="_Toc74172979"/>
      <w:bookmarkStart w:id="5320" w:name="_Toc82773762"/>
      <w:bookmarkStart w:id="5321" w:name="_Toc82774115"/>
      <w:bookmarkEnd w:id="5309"/>
      <w:r w:rsidRPr="006720E4">
        <w:t>Ethically permissible restrictions on non-directed donation</w:t>
      </w:r>
      <w:bookmarkEnd w:id="5310"/>
      <w:bookmarkEnd w:id="5311"/>
      <w:bookmarkEnd w:id="5312"/>
      <w:bookmarkEnd w:id="5313"/>
      <w:bookmarkEnd w:id="5314"/>
      <w:bookmarkEnd w:id="5315"/>
      <w:bookmarkEnd w:id="5316"/>
      <w:bookmarkEnd w:id="5317"/>
      <w:bookmarkEnd w:id="5318"/>
      <w:bookmarkEnd w:id="5319"/>
      <w:bookmarkEnd w:id="5320"/>
      <w:bookmarkEnd w:id="5321"/>
      <w:r w:rsidRPr="006720E4">
        <w:t xml:space="preserve"> </w:t>
      </w:r>
    </w:p>
    <w:p w14:paraId="446CDAEE" w14:textId="1B4EEF5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Efforts to enable informed choices by donation decision-makers are vital, and - where possible - strategies to enable them to choose how donations will be used in specific contexts may be a valuable means of enhancing autonomy and ensuring that the values and preferences of donors are reflected in the organi</w:t>
      </w:r>
      <w:r w:rsidR="00B40543">
        <w:rPr>
          <w:rFonts w:ascii="Calibri" w:hAnsi="Calibri" w:cs="Calibri"/>
          <w:sz w:val="22"/>
          <w:szCs w:val="22"/>
        </w:rPr>
        <w:t>s</w:t>
      </w:r>
      <w:r w:rsidRPr="006720E4">
        <w:rPr>
          <w:rFonts w:ascii="Calibri" w:hAnsi="Calibri" w:cs="Calibri"/>
          <w:sz w:val="22"/>
          <w:szCs w:val="22"/>
        </w:rPr>
        <w:t>ation and activities of donation and transplantation programs.</w:t>
      </w:r>
    </w:p>
    <w:p w14:paraId="1F17BA8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Potential donors (or those making a decision about donation on behalf of a potential donor) may be able to direct or restrict the ways in which donations are </w:t>
      </w:r>
      <w:r w:rsidRPr="006720E4">
        <w:rPr>
          <w:rFonts w:ascii="Calibri" w:hAnsi="Calibri" w:cs="Calibri"/>
          <w:i/>
          <w:iCs/>
          <w:sz w:val="22"/>
          <w:szCs w:val="22"/>
        </w:rPr>
        <w:t>used</w:t>
      </w:r>
      <w:r w:rsidRPr="006720E4">
        <w:rPr>
          <w:rFonts w:ascii="Calibri" w:hAnsi="Calibri" w:cs="Calibri"/>
          <w:sz w:val="22"/>
          <w:szCs w:val="22"/>
        </w:rPr>
        <w:t>.</w:t>
      </w:r>
    </w:p>
    <w:p w14:paraId="6C5A7266" w14:textId="374A7296" w:rsidR="006C6EBA" w:rsidRPr="006720E4" w:rsidRDefault="006C6EBA" w:rsidP="00C3783C">
      <w:pPr>
        <w:pStyle w:val="ListParagraph"/>
        <w:numPr>
          <w:ilvl w:val="0"/>
          <w:numId w:val="59"/>
        </w:numPr>
        <w:spacing w:after="120"/>
        <w:contextualSpacing w:val="0"/>
        <w:rPr>
          <w:rFonts w:cs="Calibri"/>
          <w:szCs w:val="22"/>
        </w:rPr>
      </w:pPr>
      <w:r w:rsidRPr="006720E4">
        <w:rPr>
          <w:rFonts w:cs="Calibri"/>
          <w:szCs w:val="22"/>
        </w:rPr>
        <w:t xml:space="preserve">For example, donors may indicate if they are willing for donated cells, tissues, or organs to be used in research if they cannot be used in transplantation. </w:t>
      </w:r>
    </w:p>
    <w:p w14:paraId="64E3B235" w14:textId="3E1AA99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relevant information is provided during the consent process, donation decision-makers may also be able to decide to decline donation if they cannot satisfactorily control the way their donations may be used. </w:t>
      </w:r>
    </w:p>
    <w:p w14:paraId="0E387E8A" w14:textId="2F932AE6" w:rsidR="006C6EBA" w:rsidRPr="006720E4" w:rsidRDefault="006C6EBA" w:rsidP="00C3783C">
      <w:pPr>
        <w:pStyle w:val="ListParagraph"/>
        <w:numPr>
          <w:ilvl w:val="0"/>
          <w:numId w:val="59"/>
        </w:numPr>
        <w:spacing w:after="120"/>
        <w:contextualSpacing w:val="0"/>
        <w:rPr>
          <w:rFonts w:cs="Calibri"/>
          <w:szCs w:val="22"/>
        </w:rPr>
      </w:pPr>
      <w:r w:rsidRPr="006720E4">
        <w:rPr>
          <w:rFonts w:cs="Calibri"/>
          <w:szCs w:val="22"/>
        </w:rPr>
        <w:lastRenderedPageBreak/>
        <w:t xml:space="preserve">For example, a donation decision-maker may refuse consent for eye tissue donation to an eye bank that routinely exports tissue overseas. </w:t>
      </w:r>
    </w:p>
    <w:p w14:paraId="285B1B19" w14:textId="57D4DBE1" w:rsidR="006C6EBA" w:rsidRPr="006720E4" w:rsidRDefault="006C6EBA" w:rsidP="00C3783C">
      <w:pPr>
        <w:pStyle w:val="ListParagraph"/>
        <w:numPr>
          <w:ilvl w:val="0"/>
          <w:numId w:val="59"/>
        </w:numPr>
        <w:spacing w:after="120"/>
        <w:contextualSpacing w:val="0"/>
        <w:rPr>
          <w:rFonts w:cs="Calibri"/>
          <w:szCs w:val="22"/>
        </w:rPr>
      </w:pPr>
      <w:bookmarkStart w:id="5322" w:name="_Toc70415015"/>
      <w:bookmarkStart w:id="5323" w:name="_Toc70844335"/>
      <w:bookmarkStart w:id="5324" w:name="_Toc72615273"/>
      <w:bookmarkStart w:id="5325" w:name="_Toc73129997"/>
      <w:bookmarkStart w:id="5326" w:name="_Toc73301867"/>
      <w:bookmarkStart w:id="5327" w:name="_Toc73302373"/>
      <w:bookmarkStart w:id="5328" w:name="_Toc73303506"/>
      <w:bookmarkStart w:id="5329" w:name="_Toc74081669"/>
      <w:bookmarkStart w:id="5330" w:name="_Toc74172446"/>
      <w:bookmarkStart w:id="5331" w:name="_Toc74172980"/>
      <w:r w:rsidRPr="006720E4">
        <w:rPr>
          <w:rFonts w:cs="Calibri"/>
          <w:szCs w:val="22"/>
        </w:rPr>
        <w:t xml:space="preserve">For example, </w:t>
      </w:r>
      <w:r w:rsidRPr="006720E4">
        <w:rPr>
          <w:rFonts w:cs="Calibri"/>
        </w:rPr>
        <w:t>a person may choose not to join the ABMDR as a condition of joining is that HSC donations may be shared with recipients around the world</w:t>
      </w:r>
      <w:r w:rsidRPr="006720E4">
        <w:rPr>
          <w:rFonts w:cs="Calibri"/>
          <w:szCs w:val="22"/>
        </w:rPr>
        <w:t>.</w:t>
      </w:r>
    </w:p>
    <w:p w14:paraId="4A2B52F1" w14:textId="1DF29F99" w:rsidR="006C6EBA" w:rsidRPr="006720E4" w:rsidRDefault="006C6EBA" w:rsidP="00EA22AE">
      <w:pPr>
        <w:pStyle w:val="Heading4"/>
        <w:spacing w:after="120"/>
      </w:pPr>
      <w:bookmarkStart w:id="5332" w:name="_Restrictions_on_donation"/>
      <w:bookmarkStart w:id="5333" w:name="_Toc82773763"/>
      <w:bookmarkStart w:id="5334" w:name="_Toc82774116"/>
      <w:bookmarkEnd w:id="5332"/>
      <w:r w:rsidRPr="006720E4">
        <w:t>Restrictions on donation that may negatively impact equity</w:t>
      </w:r>
      <w:bookmarkEnd w:id="5212"/>
      <w:bookmarkEnd w:id="5213"/>
      <w:bookmarkEnd w:id="5322"/>
      <w:bookmarkEnd w:id="5323"/>
      <w:bookmarkEnd w:id="5324"/>
      <w:bookmarkEnd w:id="5325"/>
      <w:bookmarkEnd w:id="5326"/>
      <w:bookmarkEnd w:id="5327"/>
      <w:bookmarkEnd w:id="5328"/>
      <w:bookmarkEnd w:id="5329"/>
      <w:bookmarkEnd w:id="5330"/>
      <w:bookmarkEnd w:id="5331"/>
      <w:bookmarkEnd w:id="5333"/>
      <w:bookmarkEnd w:id="5334"/>
    </w:p>
    <w:p w14:paraId="7B19BE9D" w14:textId="7FE165B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potential living or deceased donors (or deceased donation decision-makers) may seek to restrict donations in ways that undermine equity and may foster distrust in donation and transplantation programs. </w:t>
      </w:r>
    </w:p>
    <w:p w14:paraId="25B28FC9"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Rather than specifying individuals who might receive donations, some donation decision-makers might request to restrict allocation of donated cells, tissues, or organs to specific groups of people, or to exclude some groups. For example, some may prefer that donated organs are used for transplantation in children rather than adults, or seek to exclude members of particular religious or ethnic groups from receiving their cells, tissues, or organs. </w:t>
      </w:r>
    </w:p>
    <w:p w14:paraId="4E42EA82" w14:textId="0CA9E44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This type of restricted donation is sometimes described as “</w:t>
      </w:r>
      <w:hyperlink w:anchor="_Glossary" w:history="1">
        <w:r w:rsidRPr="006720E4">
          <w:rPr>
            <w:rStyle w:val="Hyperlink"/>
            <w:rFonts w:ascii="Calibri" w:hAnsi="Calibri" w:cs="Calibri"/>
            <w:sz w:val="22"/>
            <w:szCs w:val="22"/>
          </w:rPr>
          <w:t>conditional donation”,</w:t>
        </w:r>
      </w:hyperlink>
      <w:r w:rsidRPr="006720E4">
        <w:rPr>
          <w:rFonts w:ascii="Calibri" w:hAnsi="Calibri" w:cs="Calibri"/>
          <w:sz w:val="22"/>
          <w:szCs w:val="22"/>
        </w:rPr>
        <w:t xml:space="preserve"> as people may only consent to donation on the condition that their allocation preferences are followed. This should not be permitted in Australia, not only because it would likely be unfeasible or impractical to implement, but also because it unfairly discriminates against individuals or groups. Such discrimination would conflict with the goals of our donation and transplant programs to promote equity and maximise the benefits of donation and transplantation </w:t>
      </w:r>
      <w:r w:rsidRPr="00947FB9">
        <w:rPr>
          <w:rFonts w:ascii="Calibri" w:hAnsi="Calibri" w:cs="Calibri"/>
          <w:sz w:val="22"/>
          <w:szCs w:val="22"/>
        </w:rPr>
        <w:t xml:space="preserve">for all (see </w:t>
      </w:r>
      <w:hyperlink w:anchor="_Ethical_principles_guiding" w:history="1">
        <w:r w:rsidRPr="00947FB9">
          <w:rPr>
            <w:rStyle w:val="Hyperlink"/>
            <w:rFonts w:ascii="Calibri" w:hAnsi="Calibri" w:cs="Calibri"/>
            <w:sz w:val="22"/>
            <w:szCs w:val="22"/>
          </w:rPr>
          <w:t xml:space="preserve">Chapter </w:t>
        </w:r>
        <w:r w:rsidR="00947FB9" w:rsidRPr="00947FB9">
          <w:rPr>
            <w:rStyle w:val="Hyperlink"/>
            <w:rFonts w:ascii="Calibri" w:hAnsi="Calibri" w:cs="Calibri"/>
            <w:sz w:val="22"/>
            <w:szCs w:val="22"/>
          </w:rPr>
          <w:t>3</w:t>
        </w:r>
        <w:r w:rsidRPr="00947FB9">
          <w:rPr>
            <w:rStyle w:val="Hyperlink"/>
            <w:rFonts w:ascii="Calibri" w:hAnsi="Calibri" w:cs="Calibri"/>
            <w:sz w:val="22"/>
            <w:szCs w:val="22"/>
          </w:rPr>
          <w:t>.1</w:t>
        </w:r>
      </w:hyperlink>
      <w:r w:rsidRPr="00947FB9">
        <w:rPr>
          <w:rFonts w:ascii="Calibri" w:hAnsi="Calibri" w:cs="Calibri"/>
          <w:sz w:val="22"/>
          <w:szCs w:val="22"/>
        </w:rPr>
        <w:t>).</w:t>
      </w:r>
      <w:r w:rsidRPr="006720E4">
        <w:rPr>
          <w:rFonts w:ascii="Calibri" w:hAnsi="Calibri" w:cs="Calibri"/>
          <w:sz w:val="22"/>
          <w:szCs w:val="22"/>
        </w:rPr>
        <w:t xml:space="preserve"> Recommendations for responding to </w:t>
      </w:r>
      <w:r w:rsidRPr="00947FB9">
        <w:rPr>
          <w:rFonts w:ascii="Calibri" w:hAnsi="Calibri" w:cs="Calibri"/>
          <w:sz w:val="22"/>
          <w:szCs w:val="22"/>
        </w:rPr>
        <w:t xml:space="preserve">requests for conditional donation are provided in </w:t>
      </w:r>
      <w:hyperlink w:anchor="_Responding_to_requests"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.3.4.3</w:t>
        </w:r>
      </w:hyperlink>
      <w:r w:rsidRPr="00947FB9">
        <w:rPr>
          <w:rFonts w:ascii="Calibri" w:hAnsi="Calibri" w:cs="Calibri"/>
          <w:sz w:val="22"/>
          <w:szCs w:val="22"/>
        </w:rPr>
        <w:t>.</w:t>
      </w:r>
    </w:p>
    <w:p w14:paraId="782B6AEB" w14:textId="1C96223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Some have argued that allowing conditional donations, for example by potential deceased donors or potential non-directed living donors, should be permitted in some circumstances. Specifically, they argue that if a person cannot be persuaded to agree to unconditional non-directed donation, then it is better to accept their conditional donation than to miss the opportunity for donation altogether. </w:t>
      </w:r>
    </w:p>
    <w:p w14:paraId="34B1B694" w14:textId="46AAF15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Proponents of this view claim that if conditional donation is allowed, some people in need of transplantation will still benefit directly from the donation, and those who are excluded from benefiting directly may indirectly benefit because they will be competing with fewer people for the other available transplants. At the very least, it is said, no one will be disadvantaged by permitting conditional donation, because those who are excluded would not otherwise benefit because the donation will not proceed if conditional donation is not permitted. </w:t>
      </w:r>
    </w:p>
    <w:p w14:paraId="20B61353" w14:textId="26F894C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However, the potential wider and long-term risks of permitting conditional donations are considered to outweigh any potential benefits in individual cases. Specifically, allowing conditional donations could exacerbate inequities in access to transplants and reduce the utility or benefits of donation overall for communities. </w:t>
      </w:r>
    </w:p>
    <w:p w14:paraId="04101C8A" w14:textId="4D764C1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Furthermore, restricting donations to particular groups on the basis of criteria such as ethnicity, age, gender, religion or similar factors constitutes unfair discrimination </w:t>
      </w:r>
      <w:r w:rsidRPr="00D11BFA">
        <w:rPr>
          <w:rFonts w:ascii="Calibri" w:hAnsi="Calibri" w:cs="Calibri"/>
          <w:sz w:val="22"/>
          <w:szCs w:val="22"/>
        </w:rPr>
        <w:t xml:space="preserve">as discussed in </w:t>
      </w:r>
      <w:hyperlink w:anchor="_The_concept_of_1" w:history="1">
        <w:r w:rsidRPr="00D11BFA">
          <w:rPr>
            <w:rStyle w:val="Hyperlink"/>
            <w:rFonts w:ascii="Calibri" w:hAnsi="Calibri" w:cs="Calibri"/>
            <w:sz w:val="22"/>
            <w:szCs w:val="22"/>
          </w:rPr>
          <w:t xml:space="preserve">Chapter </w:t>
        </w:r>
        <w:r w:rsidR="00D11BFA" w:rsidRPr="00D11BFA">
          <w:rPr>
            <w:rStyle w:val="Hyperlink"/>
            <w:rFonts w:ascii="Calibri" w:hAnsi="Calibri" w:cs="Calibri"/>
            <w:sz w:val="22"/>
            <w:szCs w:val="22"/>
          </w:rPr>
          <w:t>8</w:t>
        </w:r>
        <w:r w:rsidRPr="00D11BFA">
          <w:rPr>
            <w:rStyle w:val="Hyperlink"/>
            <w:rFonts w:ascii="Calibri" w:hAnsi="Calibri" w:cs="Calibri"/>
            <w:sz w:val="22"/>
            <w:szCs w:val="22"/>
          </w:rPr>
          <w:t>.1.</w:t>
        </w:r>
      </w:hyperlink>
      <w:r w:rsidRPr="006720E4">
        <w:rPr>
          <w:rFonts w:ascii="Calibri" w:hAnsi="Calibri" w:cs="Calibri"/>
          <w:sz w:val="22"/>
          <w:szCs w:val="22"/>
        </w:rPr>
        <w:t xml:space="preserve"> Restrictions of this kind may also therefore violate anti-discrimination laws.</w:t>
      </w:r>
    </w:p>
    <w:p w14:paraId="79239540"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Discriminatory restrictions may undermine public trust in the integrity of donation and allocation programs, and hence discourage participation in donation activities. Permitting conditional donations could also lead more people to consider and request conditional donations, and risk undermining the efficiency of the donation systems. For example, routine discrimination could lead to some groups effectively being excluded from deceased donor organ transplantation opportunities, which in turn may encourage those groups to restrict donations to their own members, eventually resulting in a fragmented and unfeasible deceased organ donation program. </w:t>
      </w:r>
    </w:p>
    <w:p w14:paraId="65219E27" w14:textId="77777777" w:rsidR="006C6EBA" w:rsidRPr="006720E4" w:rsidRDefault="006C6EBA" w:rsidP="00EA22AE">
      <w:pPr>
        <w:pStyle w:val="Heading4"/>
        <w:spacing w:after="120"/>
      </w:pPr>
      <w:bookmarkStart w:id="5335" w:name="_Responding_to_requests"/>
      <w:bookmarkStart w:id="5336" w:name="_Toc74081670"/>
      <w:bookmarkStart w:id="5337" w:name="_Toc74172447"/>
      <w:bookmarkStart w:id="5338" w:name="_Toc74172981"/>
      <w:bookmarkStart w:id="5339" w:name="_Toc82773764"/>
      <w:bookmarkStart w:id="5340" w:name="_Toc82774117"/>
      <w:bookmarkEnd w:id="5335"/>
      <w:r w:rsidRPr="006720E4">
        <w:lastRenderedPageBreak/>
        <w:t>Responding to requests for conditional non-directed donation</w:t>
      </w:r>
      <w:bookmarkEnd w:id="5336"/>
      <w:bookmarkEnd w:id="5337"/>
      <w:bookmarkEnd w:id="5338"/>
      <w:bookmarkEnd w:id="5339"/>
      <w:bookmarkEnd w:id="5340"/>
    </w:p>
    <w:p w14:paraId="55BD193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If a prospective non-directed living donor or deceased donation decision-maker requests that their donation be restricted for use by members of specific groups, or that members of specific groups are excluded from accessing the donation(s), this request should be declined. Those supporting donation decision-making should seek to understand the reasons for the request and should explain the reasons for declining the request.</w:t>
      </w:r>
    </w:p>
    <w:p w14:paraId="527CD454"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For example, some potential donors may not be motivated by a desire to exclude specific individuals or groups but rather by a preference to help members of specific groups via donation. This could be due to perceptions regarding groups that may experience disadvantages in accessing specific kinds of transplants, or due to a perceived affinity between the potential donor and members of a particular group. </w:t>
      </w:r>
    </w:p>
    <w:p w14:paraId="19EA7EB3" w14:textId="296F924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In explaining the reasons for declining a request, health professionals should make clear the ways that all donations may be helpful to members of various groups either directly or indirectly. Many donation decision-makers may be willing to proceed with donation; those who make consent conditional upon restrictions that are not ethically justifiable should be declined.</w:t>
      </w:r>
      <w:bookmarkStart w:id="5341" w:name="_Toc70415016"/>
      <w:bookmarkStart w:id="5342" w:name="_Toc70844336"/>
      <w:bookmarkStart w:id="5343" w:name="_Toc70859048"/>
      <w:bookmarkStart w:id="5344" w:name="_Toc70861149"/>
      <w:bookmarkStart w:id="5345" w:name="_Toc70876635"/>
      <w:bookmarkStart w:id="5346" w:name="_Toc72615275"/>
      <w:bookmarkStart w:id="5347" w:name="_Toc73129999"/>
      <w:bookmarkStart w:id="5348" w:name="_Toc73301868"/>
      <w:bookmarkStart w:id="5349" w:name="_Toc73302374"/>
      <w:bookmarkStart w:id="5350" w:name="_Toc73303507"/>
      <w:bookmarkStart w:id="5351" w:name="_Toc73303714"/>
      <w:bookmarkStart w:id="5352" w:name="_Toc74080848"/>
      <w:bookmarkStart w:id="5353" w:name="_Toc74081156"/>
      <w:bookmarkStart w:id="5354" w:name="_Toc74081386"/>
      <w:bookmarkStart w:id="5355" w:name="_Toc74081671"/>
      <w:bookmarkStart w:id="5356" w:name="_Toc74171217"/>
      <w:bookmarkStart w:id="5357" w:name="_Toc74172448"/>
      <w:bookmarkStart w:id="5358" w:name="_Toc74172982"/>
      <w:bookmarkStart w:id="5359" w:name="_Toc74238891"/>
      <w:bookmarkStart w:id="5360" w:name="_Toc78304823"/>
    </w:p>
    <w:p w14:paraId="540B46E2" w14:textId="384B38F5" w:rsidR="006C6EBA" w:rsidRPr="006720E4" w:rsidRDefault="006C6EBA" w:rsidP="00EA22AE">
      <w:pPr>
        <w:pStyle w:val="Heading2"/>
        <w:spacing w:after="120"/>
      </w:pPr>
      <w:bookmarkStart w:id="5361" w:name="_Uterus_transplantation_1"/>
      <w:bookmarkStart w:id="5362" w:name="_Toc70328756"/>
      <w:bookmarkStart w:id="5363" w:name="_Toc70333986"/>
      <w:bookmarkStart w:id="5364" w:name="_Toc70414924"/>
      <w:bookmarkStart w:id="5365" w:name="_Toc70844242"/>
      <w:bookmarkStart w:id="5366" w:name="_Toc70859043"/>
      <w:bookmarkStart w:id="5367" w:name="_Toc70861144"/>
      <w:bookmarkStart w:id="5368" w:name="_Toc70876630"/>
      <w:bookmarkStart w:id="5369" w:name="_Toc72615264"/>
      <w:bookmarkStart w:id="5370" w:name="_Toc73128947"/>
      <w:bookmarkStart w:id="5371" w:name="_Toc73129988"/>
      <w:bookmarkStart w:id="5372" w:name="_Toc74080837"/>
      <w:bookmarkStart w:id="5373" w:name="_Toc74081145"/>
      <w:bookmarkStart w:id="5374" w:name="_Toc74081375"/>
      <w:bookmarkStart w:id="5375" w:name="_Toc74081656"/>
      <w:bookmarkStart w:id="5376" w:name="_Toc74171206"/>
      <w:bookmarkStart w:id="5377" w:name="_Toc74172433"/>
      <w:bookmarkStart w:id="5378" w:name="_Toc74172967"/>
      <w:bookmarkStart w:id="5379" w:name="_Toc74238880"/>
      <w:bookmarkStart w:id="5380" w:name="_Toc78304819"/>
      <w:bookmarkStart w:id="5381" w:name="_Toc79330925"/>
      <w:bookmarkStart w:id="5382" w:name="_Toc79331305"/>
      <w:bookmarkStart w:id="5383" w:name="_Toc79406531"/>
      <w:bookmarkStart w:id="5384" w:name="_Toc82773765"/>
      <w:bookmarkStart w:id="5385" w:name="_Toc82774118"/>
      <w:bookmarkStart w:id="5386" w:name="_Toc128314253"/>
      <w:bookmarkStart w:id="5387" w:name="_Toc135131497"/>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r w:rsidRPr="006720E4">
        <w:t>Ethical considerations in umbilical cord blood banking</w:t>
      </w:r>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p>
    <w:p w14:paraId="4FAB2C3C" w14:textId="66FEA64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Some of the ethical considerations set out in these guidelines have specific implications in the context of donation of umbilical cord blood, in part due to the conceptual complexities of such donation outlined in the following section. These considerations are briefly outlined below.</w:t>
      </w:r>
    </w:p>
    <w:p w14:paraId="74CCD55B" w14:textId="523E635C" w:rsidR="006C6EBA" w:rsidRPr="006720E4" w:rsidRDefault="006C6EBA" w:rsidP="00EA22AE">
      <w:pPr>
        <w:pStyle w:val="Heading3"/>
        <w:spacing w:after="120"/>
      </w:pPr>
      <w:bookmarkStart w:id="5388" w:name="_Toc74080838"/>
      <w:bookmarkStart w:id="5389" w:name="_Toc74081146"/>
      <w:bookmarkStart w:id="5390" w:name="_Toc74081376"/>
      <w:bookmarkStart w:id="5391" w:name="_Toc74081657"/>
      <w:bookmarkStart w:id="5392" w:name="_Toc74171207"/>
      <w:bookmarkStart w:id="5393" w:name="_Toc74172434"/>
      <w:bookmarkStart w:id="5394" w:name="_Toc74172968"/>
      <w:bookmarkStart w:id="5395" w:name="_Toc74238881"/>
      <w:bookmarkStart w:id="5396" w:name="_Toc79406532"/>
      <w:bookmarkStart w:id="5397" w:name="_Toc82773766"/>
      <w:bookmarkStart w:id="5398" w:name="_Toc82774119"/>
      <w:r w:rsidRPr="006720E4">
        <w:t>Conceptual complexities of umbilical cord blood donation</w:t>
      </w:r>
      <w:bookmarkEnd w:id="5388"/>
      <w:bookmarkEnd w:id="5389"/>
      <w:bookmarkEnd w:id="5390"/>
      <w:bookmarkEnd w:id="5391"/>
      <w:bookmarkEnd w:id="5392"/>
      <w:bookmarkEnd w:id="5393"/>
      <w:bookmarkEnd w:id="5394"/>
      <w:bookmarkEnd w:id="5395"/>
      <w:bookmarkEnd w:id="5396"/>
      <w:bookmarkEnd w:id="5397"/>
      <w:bookmarkEnd w:id="5398"/>
    </w:p>
    <w:p w14:paraId="712202E9" w14:textId="29BC689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Umbilical cord blood donation is a form of living donation occurring in the context of a therapeutic procedure for the donor, in that blood is taken from the umbilical cord associated with a living infant and woman during the final stages of childbirth. The infant is typically separated from the umbilical cord during the childbirth procedure, and hence removal of blood from the cord for the purpose of donation may be considered akin to removal of amnion tissue from the placenta following childbirth, or of other tissues during therapeutic procedures. Umbilical cord blood may provide valuable HSCs for use in </w:t>
      </w:r>
      <w:r w:rsidRPr="00692B2F">
        <w:rPr>
          <w:rFonts w:ascii="Calibri" w:hAnsi="Calibri" w:cs="Calibri"/>
          <w:sz w:val="22"/>
          <w:szCs w:val="22"/>
        </w:rPr>
        <w:t xml:space="preserve">transplantation (see </w:t>
      </w:r>
      <w:hyperlink w:anchor="_Cells_for_transplantation" w:history="1">
        <w:r w:rsidR="00947FB9" w:rsidRPr="00692B2F">
          <w:rPr>
            <w:rStyle w:val="Hyperlink"/>
            <w:rFonts w:ascii="Calibri" w:hAnsi="Calibri" w:cs="Calibri"/>
            <w:sz w:val="22"/>
            <w:szCs w:val="22"/>
          </w:rPr>
          <w:t>Chapter 2.</w:t>
        </w:r>
        <w:r w:rsidR="00692B2F" w:rsidRPr="00692B2F">
          <w:rPr>
            <w:rStyle w:val="Hyperlink"/>
            <w:rFonts w:ascii="Calibri" w:hAnsi="Calibri" w:cs="Calibri"/>
            <w:sz w:val="22"/>
            <w:szCs w:val="22"/>
          </w:rPr>
          <w:t>1.1</w:t>
        </w:r>
      </w:hyperlink>
      <w:r w:rsidR="00947FB9" w:rsidRPr="00692B2F">
        <w:rPr>
          <w:rFonts w:ascii="Calibri" w:hAnsi="Calibri" w:cs="Calibri"/>
          <w:sz w:val="22"/>
          <w:szCs w:val="22"/>
        </w:rPr>
        <w:t>).</w:t>
      </w:r>
    </w:p>
    <w:p w14:paraId="40D6926A" w14:textId="5354077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There may be philosophical or legal debate regarding whether the infant or the woman delivering the infant should rightly be considered the donor of the umbilical cord or its blood, given the complex biological relationship between woman and foetus and structures such as the placenta and the umbilical cord.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{"citationItems":[{"id":"ITEM-1","itemData":{"DOI":"10.1111/ajt.16101","ISSN":"16006143","PMID":"32506647","abstract":"The National Kidney Registry (NKR) Advanced Donation Program enables living donors the opportunity to donate altruistically, or in advance of a potential recipient's transplant, and to receive a voucher that can be redeemed for a future transplant facilitated by the NKR. Family vouchers allow a donor to identify multiple individuals within their immediate family, with the first person in that group in need of a transplant being prioritized to receive a kidney. An increase in vouchers introduces concerns that demand for future voucher redemptions could exceed the supply of available donors and kidneys. A Monte Carlo simulation model was constructed to estimate the annual number of voucher redemptions relative to the number of kidneys available over a 50-year time horizon under several projected scenarios for growth of the program. In all simulated scenarios, the number of available kidneys exceeded voucher redemptions every year. While not able to account for all real-life scenarios, this simulation study found that the NKR should be able to satisfy the likely redemption of increasing numbers of vouchers under a range of possible scenarios over a 50-year time horizon. This modeling exercise suggests that a donor family's future needs can be satisfied through the voucher program.","author":[{"dropping-particle":"","family":"Cooper","given":"Matthew","non-dropping-particle":"","parse-names":false,"suffix":""},{"dropping-particle":"","family":"Leeser","given":"David B.","non-dropping-particle":"","parse-names":false,"suffix":""},{"dropping-particle":"","family":"Flechner","given":"Stuart M.","non-dropping-particle":"","parse-names":false,"suffix":""},{"dropping-particle":"","family":"Beaumont","given":"Jennifer L.","non-dropping-particle":"","parse-names":false,"suffix":""},{"dropping-particle":"","family":"Waterman","given":"Amy D.","non-dropping-particle":"","parse-names":false,"suffix":""},{"dropping-particle":"","family":"Shannon","given":"Patrick W.","non-dropping-particle":"","parse-names":false,"suffix":""},{"dropping-particle":"","family":"Ronin","given":"Matthew","non-dropping-particle":"","parse-names":false,"suffix":""},{"dropping-particle":"","family":"Hil","given":"Garet","non-dropping-particle":"","parse-names":false,"suffix":""},{"dropping-particle":"","family":"Veale","given":"Jeffrey L.","non-dropping-particle":"","parse-names":false,"suffix":""}],"container-title":"American Journal of Transplantation","id":"ITEM-1","issue":"3","issued":{"date-parts":[["2021"]]},"page":"1128-1137","title":"Ensuring the need is met: A 50-year simulation study of the National Kidney Registry’s family voucher program","type":"article-journal","volume":"21"},"uris":["http://www.mendeley.com/documents/?uuid=41749da1-e152-4f99-9f06-4c9b158a79f1"]}],"mendeley":{"formattedCitation":"(190)","plainTextFormattedCitation":"(190)","previouslyFormattedCitation":"(190)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(190)</w:t>
      </w:r>
      <w:r w:rsidRPr="006720E4">
        <w:rPr>
          <w:rFonts w:ascii="Calibri" w:hAnsi="Calibri" w:cs="Calibri"/>
          <w:sz w:val="22"/>
          <w:szCs w:val="22"/>
        </w:rPr>
        <w:fldChar w:fldCharType="end"/>
      </w:r>
      <w:r w:rsidRPr="006720E4">
        <w:rPr>
          <w:rFonts w:ascii="Calibri" w:hAnsi="Calibri" w:cs="Calibri"/>
          <w:sz w:val="22"/>
          <w:szCs w:val="22"/>
        </w:rPr>
        <w:t xml:space="preserve"> Most commonly, the infant is considered the donor of cord blood, and the mother will provide consent on behalf of their child with regards to donation.</w:t>
      </w:r>
    </w:p>
    <w:p w14:paraId="02BBCA66" w14:textId="23CEFC4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contrast to other forms of living donation discussed in these guidelines, umbilical cord blood donation requires a decision whether to obtain and store cord blood for use for future autologous use or living directed donation, or to donate for allogeneic use in a </w:t>
      </w:r>
      <w:r w:rsidRPr="00947FB9">
        <w:rPr>
          <w:rFonts w:ascii="Calibri" w:hAnsi="Calibri" w:cs="Calibri"/>
          <w:sz w:val="22"/>
          <w:szCs w:val="22"/>
        </w:rPr>
        <w:t xml:space="preserve">public bank (see </w:t>
      </w:r>
      <w:hyperlink w:anchor="_Decision-making_regarding_public"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.4.2</w:t>
        </w:r>
      </w:hyperlink>
      <w:r w:rsidRPr="00947FB9">
        <w:rPr>
          <w:rFonts w:ascii="Calibri" w:hAnsi="Calibri" w:cs="Calibri"/>
          <w:sz w:val="22"/>
          <w:szCs w:val="22"/>
        </w:rPr>
        <w:t>).</w:t>
      </w:r>
    </w:p>
    <w:p w14:paraId="79504F04" w14:textId="61056633" w:rsidR="006C6EBA" w:rsidRPr="006720E4" w:rsidRDefault="006C6EBA" w:rsidP="00EA22AE">
      <w:pPr>
        <w:pStyle w:val="Heading3"/>
        <w:spacing w:after="120"/>
      </w:pPr>
      <w:bookmarkStart w:id="5399" w:name="_Decision-making_regarding_public"/>
      <w:bookmarkStart w:id="5400" w:name="_Toc74080839"/>
      <w:bookmarkStart w:id="5401" w:name="_Toc74081147"/>
      <w:bookmarkStart w:id="5402" w:name="_Toc74081377"/>
      <w:bookmarkStart w:id="5403" w:name="_Toc74081658"/>
      <w:bookmarkStart w:id="5404" w:name="_Toc74171208"/>
      <w:bookmarkStart w:id="5405" w:name="_Toc74172435"/>
      <w:bookmarkStart w:id="5406" w:name="_Toc74172969"/>
      <w:bookmarkStart w:id="5407" w:name="_Toc74238882"/>
      <w:bookmarkStart w:id="5408" w:name="_Toc79406533"/>
      <w:bookmarkStart w:id="5409" w:name="_Toc82773767"/>
      <w:bookmarkStart w:id="5410" w:name="_Toc82774120"/>
      <w:bookmarkEnd w:id="5399"/>
      <w:r w:rsidRPr="006720E4">
        <w:t>Decision-making regarding public or private banking of umbilical cord blood</w:t>
      </w:r>
      <w:bookmarkEnd w:id="5400"/>
      <w:bookmarkEnd w:id="5401"/>
      <w:bookmarkEnd w:id="5402"/>
      <w:bookmarkEnd w:id="5403"/>
      <w:bookmarkEnd w:id="5404"/>
      <w:bookmarkEnd w:id="5405"/>
      <w:bookmarkEnd w:id="5406"/>
      <w:bookmarkEnd w:id="5407"/>
      <w:bookmarkEnd w:id="5408"/>
      <w:bookmarkEnd w:id="5409"/>
      <w:bookmarkEnd w:id="5410"/>
      <w:r w:rsidRPr="006720E4">
        <w:t xml:space="preserve"> </w:t>
      </w:r>
    </w:p>
    <w:p w14:paraId="18F453DB" w14:textId="65E6514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Information provided to prospective parents regarding the possibility of umbilical cord blood donation make clear the choices available to them, namely that they have the option of donating cord blood to a public bank that is part of the </w:t>
      </w:r>
      <w:proofErr w:type="spellStart"/>
      <w:r w:rsidRPr="006720E4">
        <w:rPr>
          <w:rFonts w:ascii="Calibri" w:hAnsi="Calibri" w:cs="Calibri"/>
          <w:sz w:val="22"/>
          <w:szCs w:val="22"/>
        </w:rPr>
        <w:t>AusCord</w:t>
      </w:r>
      <w:proofErr w:type="spellEnd"/>
      <w:r w:rsidRPr="006720E4">
        <w:rPr>
          <w:rFonts w:ascii="Calibri" w:hAnsi="Calibri" w:cs="Calibri"/>
          <w:sz w:val="22"/>
          <w:szCs w:val="22"/>
        </w:rPr>
        <w:t xml:space="preserve"> network, to a private bank, or not donating at all.</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{"citationItems":[{"id":"ITEM-1","itemData":{"DOI":"10.5694/mja12.11668","ISSN":"0025729X","PMID":"23984790","abstract":"Cord blood banking raises ethical and legal issues which highlight the need for careful regulatory approaches to the emerging bioeconomy. • Consent processes for both private and public banking should be inclusive and representative of the different familial interests in the cord blood. Property law is a potentially useful way of understanding the mechanisms for donation to both public and private banks.Increasing tensions between public and private models of banking may require the adoption of hybrid forms of banking.","author":[{"dropping-particle":"","family":"Stewart","given":"Cameron L.","non-dropping-particle":"","parse-names":false,"suffix":""},{"dropping-particle":"","family":"Aparicio","given":"Lorena C.","non-dropping-particle":"","parse-names":false,"suffix":""},{"dropping-particle":"","family":"Kerridge","given":"Ian H.","non-dropping-particle":"","parse-names":false,"suffix":""}],"container-title":"Medical Journal of Australia","id":"ITEM-1","issue":"4","issued":{"date-parts":[["2013"]]},"page":"290-292","title":"Ethical and legal issues raised by cord blood banking - The challenges of the new bioeconomy","type":"article-journal","volume":"199"},"uris":["http://www.mendeley.com/documents/?uuid=38e98056-6e09-4846-b7a5-31e14a1016fb"]}],"mendeley":{"formattedCitation":"(191)","plainTextFormattedCitation":"(191)","previouslyFormattedCitation":"(191)"},"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(191)</w:t>
      </w:r>
      <w:r w:rsidRPr="006720E4">
        <w:rPr>
          <w:rFonts w:ascii="Calibri" w:hAnsi="Calibri" w:cs="Calibri"/>
          <w:sz w:val="22"/>
          <w:szCs w:val="22"/>
        </w:rPr>
        <w:fldChar w:fldCharType="end"/>
      </w:r>
      <w:r w:rsidRPr="006720E4">
        <w:rPr>
          <w:rFonts w:ascii="Calibri" w:hAnsi="Calibri" w:cs="Calibri"/>
          <w:sz w:val="22"/>
          <w:szCs w:val="22"/>
        </w:rPr>
        <w:t xml:space="preserve"> </w:t>
      </w:r>
    </w:p>
    <w:p w14:paraId="7041A54A" w14:textId="456C61A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If the choice is made to store cord blood in a private bank, this means that the family can access the donation more readily in the event that it is needed for an autologous HSC transplant for the child in future, or if it is needed for an allogeneic transplant in a family member for whom it is a match. If the donation is instead made to a public bank, it may be used in the treatment of any suitably </w:t>
      </w:r>
      <w:r w:rsidRPr="006720E4">
        <w:rPr>
          <w:rFonts w:ascii="Calibri" w:hAnsi="Calibri" w:cs="Calibri"/>
          <w:sz w:val="22"/>
          <w:szCs w:val="22"/>
        </w:rPr>
        <w:lastRenderedPageBreak/>
        <w:t xml:space="preserve">matched recipient to whom it is allocated via the ABMDR, and may only be accessed for personal use in exceptional </w:t>
      </w:r>
      <w:r w:rsidRPr="00947FB9">
        <w:rPr>
          <w:rFonts w:ascii="Calibri" w:hAnsi="Calibri" w:cs="Calibri"/>
          <w:sz w:val="22"/>
          <w:szCs w:val="22"/>
        </w:rPr>
        <w:t xml:space="preserve">circumstances (see </w:t>
      </w:r>
      <w:hyperlink w:anchor="_Exceptional_access_to"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.4.3</w:t>
        </w:r>
      </w:hyperlink>
      <w:r w:rsidRPr="00947FB9">
        <w:rPr>
          <w:rFonts w:ascii="Calibri" w:hAnsi="Calibri" w:cs="Calibri"/>
          <w:sz w:val="22"/>
          <w:szCs w:val="22"/>
        </w:rPr>
        <w:t>).</w:t>
      </w:r>
      <w:r w:rsidRPr="00947FB9">
        <w:rPr>
          <w:rFonts w:ascii="Calibri" w:hAnsi="Calibri" w:cs="Calibri"/>
          <w:sz w:val="22"/>
          <w:szCs w:val="22"/>
        </w:rPr>
        <w:fldChar w:fldCharType="begin" w:fldLock="1"/>
      </w:r>
      <w:r w:rsidR="00EB088B">
        <w:rPr>
          <w:rFonts w:ascii="Calibri" w:hAnsi="Calibri" w:cs="Calibri"/>
          <w:sz w:val="22"/>
          <w:szCs w:val="22"/>
        </w:rPr>
        <w:instrText>ADDIN CSL_CITATION {"citationItems":[{"id":"ITEM-1","itemData":{"URL":"https://www.schn.health.nsw.gov.au/files/attachments/auscord-iq-003_v001_about_auscord_booklet.pdf","author":[{"dropping-particle":"","family":"AusCord","given":"","non-dropping-particle":"","parse-names":false,"suffix":""}],"id":"ITEM-1","issued":{"date-parts":[["2018"]]},"title":"About AusCord and Public Cord Blood Banking","type":"webpage"},"uris":["http://www.mendeley.com/documents/?uuid=a2a0822a-d26d-4c8d-882d-18b7d514e3a8"]}],"mendeley":{"formattedCitation":"(192)","plainTextFormattedCitation":"(192)","previouslyFormattedCitation":"(192)"},"properties":{"noteIndex":0},"schema":"https://github.com/citation-style-language/schema/raw/master/csl-citation.json"}</w:instrText>
      </w:r>
      <w:r w:rsidRPr="00947FB9">
        <w:rPr>
          <w:rFonts w:ascii="Calibri" w:hAnsi="Calibri" w:cs="Calibri"/>
          <w:sz w:val="22"/>
          <w:szCs w:val="22"/>
        </w:rPr>
        <w:fldChar w:fldCharType="separate"/>
      </w:r>
      <w:r w:rsidR="00BA3D76" w:rsidRPr="00BA3D76">
        <w:rPr>
          <w:rFonts w:ascii="Calibri" w:hAnsi="Calibri" w:cs="Calibri"/>
          <w:noProof/>
          <w:sz w:val="22"/>
          <w:szCs w:val="22"/>
        </w:rPr>
        <w:t>(192)</w:t>
      </w:r>
      <w:r w:rsidRPr="00947FB9">
        <w:rPr>
          <w:rFonts w:ascii="Calibri" w:hAnsi="Calibri" w:cs="Calibri"/>
          <w:sz w:val="22"/>
          <w:szCs w:val="22"/>
        </w:rPr>
        <w:fldChar w:fldCharType="end"/>
      </w:r>
    </w:p>
    <w:p w14:paraId="216EF295" w14:textId="4B7F06E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Several commentators including professional medical societies have expressed concern regarding the potential high costs borne by the parents associated with private cord blood storage and the low probability that children or families will benefit from such storage unless there is a known clinical indication for future HSC transplantation within the family.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URL":"https://www.schn.health.nsw.gov.au/files/attachments/auscord-iq-003_v001_about_auscord_booklet.pdf","author":[{"dropping-particle":"","family":"AusCord","given":"","non-dropping-particle":"","parse-names":false,"suffix":""}],"id":"ITEM-1","issued":{"date-parts":[["2018"]]},"title":"About AusCord and Public Cord Blood Banking","type":"webpage"},"uris":["http://www.mendeley.com/documents/?uuid=a2a0822a-d26d-4c8d-882d-18b7d514e3a8"]}],"mendeley":{"formattedCitation":"(192)","plainTextFormattedCitation":"(192)","previouslyFormattedCitation":"(192)"},"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(192)</w:t>
      </w:r>
      <w:r w:rsidRPr="006720E4">
        <w:rPr>
          <w:rFonts w:ascii="Calibri" w:hAnsi="Calibri" w:cs="Calibri"/>
          <w:sz w:val="22"/>
          <w:szCs w:val="22"/>
        </w:rPr>
        <w:fldChar w:fldCharType="end"/>
      </w:r>
      <w:r w:rsidRPr="006720E4">
        <w:rPr>
          <w:rFonts w:ascii="Calibri" w:hAnsi="Calibri" w:cs="Calibri"/>
          <w:sz w:val="22"/>
          <w:szCs w:val="22"/>
        </w:rPr>
        <w:t xml:space="preserve"> Concerns have also been expressed regarding equity of access to private banking, and about the oversight of some private banks internationally and the potential for for-profit banks to exploit families financially by overstating the potential benefits of storing cord blood in the absence of a known indication. </w:t>
      </w:r>
    </w:p>
    <w:p w14:paraId="385D0AC8" w14:textId="6798CE7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Professional guidance on cord blood banking generally recommends that parents make an informed choice regarding donation to a public or private – “family-directed”- bank. Education regarding the choices available should include the provision of information about the potential benefits of public cord blood banking, which is statistically more likely to provide benefits to members of a family who may one day require an HSC transplant than private banking – except when there is a known indication for transplantation within the family.</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{"citationItems":[{"id":"ITEM-1","itemData":{"DOI":"10.1097/01.ogx.0000531866.75606.5a","ISSN":"15339866","author":[{"dropping-particle":"","family":"Shearer","given":"William T.","non-dropping-particle":"","parse-names":false,"suffix":""},{"dropping-particle":"","family":"Lubin","given":"Bertram H.","non-dropping-particle":"","parse-names":false,"suffix":""},{"dropping-particle":"","family":"Cairo","given":"Mitchell S.","non-dropping-particle":"","parse-names":false,"suffix":""},{"dropping-particle":"","family":"Notarangelo","given":"Luigi D.","non-dropping-particle":"","parse-names":false,"suffix":""}],"container-title":"Obstetrical and Gynecological Survey","id":"ITEM-1","issue":"3","issued":{"date-parts":[["2018"]]},"page":"135-136","title":"Cord Blood Banking for Potential Future Transplantation","type":"article-journal","volume":"73"},"uris":["http://www.mendeley.com/documents/?uuid=981f5615-8906-494f-9fb5-01d66e767f2f"]}],"mendeley":{"formattedCitation":"(193)","plainTextFormattedCitation":"(193)","previouslyFormattedCitation":"(193)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(193)</w:t>
      </w:r>
      <w:r w:rsidRPr="006720E4">
        <w:rPr>
          <w:rFonts w:ascii="Calibri" w:hAnsi="Calibri" w:cs="Calibri"/>
          <w:sz w:val="22"/>
          <w:szCs w:val="22"/>
        </w:rPr>
        <w:fldChar w:fldCharType="end"/>
      </w:r>
      <w:r w:rsidRPr="006720E4">
        <w:rPr>
          <w:rFonts w:ascii="Calibri" w:hAnsi="Calibri" w:cs="Calibri"/>
          <w:sz w:val="22"/>
          <w:szCs w:val="22"/>
        </w:rPr>
        <w:t xml:space="preserve"> Parents’ expectations regarding the future potential benefits of stem cell-derived treatments should also be explored to ensure these are evidence-based. </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{"citationItems":[{"id":"ITEM-1","itemData":{"DOI":"10.1097/01.ogx.0000531866.75606.5a","ISSN":"15339866","author":[{"dropping-particle":"","family":"Shearer","given":"William T.","non-dropping-particle":"","parse-names":false,"suffix":""},{"dropping-particle":"","family":"Lubin","given":"Bertram H.","non-dropping-particle":"","parse-names":false,"suffix":""},{"dropping-particle":"","family":"Cairo","given":"Mitchell S.","non-dropping-particle":"","parse-names":false,"suffix":""},{"dropping-particle":"","family":"Notarangelo","given":"Luigi D.","non-dropping-particle":"","parse-names":false,"suffix":""}],"container-title":"Obstetrical and Gynecological Survey","id":"ITEM-1","issue":"3","issued":{"date-parts":[["2018"]]},"page":"135-136","title":"Cord Blood Banking for Potential Future Transplantation","type":"article-journal","volume":"73"},"uris":["http://www.mendeley.com/documents/?uuid=981f5615-8906-494f-9fb5-01d66e767f2f"]}],"mendeley":{"formattedCitation":"(193)","plainTextFormattedCitation":"(193)","previouslyFormattedCitation":"(193)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(193)</w:t>
      </w:r>
      <w:r w:rsidRPr="006720E4">
        <w:rPr>
          <w:rFonts w:ascii="Calibri" w:hAnsi="Calibri" w:cs="Calibri"/>
          <w:sz w:val="22"/>
          <w:szCs w:val="22"/>
        </w:rPr>
        <w:fldChar w:fldCharType="end"/>
      </w:r>
      <w:bookmarkStart w:id="5411" w:name="_Toc79330926"/>
      <w:bookmarkStart w:id="5412" w:name="_Toc79331306"/>
      <w:bookmarkStart w:id="5413" w:name="_Toc79406534"/>
      <w:bookmarkStart w:id="5414" w:name="_Toc79331182"/>
      <w:bookmarkStart w:id="5415" w:name="_Toc79406535"/>
      <w:bookmarkStart w:id="5416" w:name="_Toc79331183"/>
      <w:bookmarkStart w:id="5417" w:name="_Toc79406536"/>
      <w:bookmarkStart w:id="5418" w:name="_Toc74080840"/>
      <w:bookmarkStart w:id="5419" w:name="_Toc74081148"/>
      <w:bookmarkStart w:id="5420" w:name="_Toc74081378"/>
      <w:bookmarkStart w:id="5421" w:name="_Toc74081659"/>
      <w:bookmarkStart w:id="5422" w:name="_Toc74171209"/>
      <w:bookmarkStart w:id="5423" w:name="_Toc74172436"/>
      <w:bookmarkStart w:id="5424" w:name="_Toc74172970"/>
      <w:bookmarkStart w:id="5425" w:name="_Toc74238883"/>
      <w:bookmarkEnd w:id="5411"/>
      <w:bookmarkEnd w:id="5412"/>
      <w:bookmarkEnd w:id="5413"/>
      <w:bookmarkEnd w:id="5414"/>
      <w:bookmarkEnd w:id="5415"/>
      <w:bookmarkEnd w:id="5416"/>
      <w:bookmarkEnd w:id="5417"/>
    </w:p>
    <w:p w14:paraId="64736D86" w14:textId="4F131161" w:rsidR="006C6EBA" w:rsidRPr="006720E4" w:rsidRDefault="006C6EBA" w:rsidP="00EA22AE">
      <w:pPr>
        <w:pStyle w:val="Heading3"/>
        <w:spacing w:after="120"/>
      </w:pPr>
      <w:bookmarkStart w:id="5426" w:name="_Exceptional_access_to"/>
      <w:bookmarkStart w:id="5427" w:name="_Toc82773768"/>
      <w:bookmarkStart w:id="5428" w:name="_Toc82774121"/>
      <w:bookmarkEnd w:id="5426"/>
      <w:r w:rsidRPr="006720E4">
        <w:t>Exceptional access to umbilical cord blood stored in a public bank for personal use</w:t>
      </w:r>
      <w:bookmarkEnd w:id="5427"/>
      <w:bookmarkEnd w:id="5428"/>
    </w:p>
    <w:p w14:paraId="3B3DA9D6" w14:textId="298E9B05"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umbilical cord blood donations are made unconditionally to public cord blood banks for public use in treatment of approved conditions, donors have no legal entitlement to access the donation. It is important that prospective parents making a decision about cord blood banking do not make a decision in favour of public cord banking on the assumption that they will be able to access the donation for personal use in future. </w:t>
      </w:r>
    </w:p>
    <w:p w14:paraId="47A94FC2" w14:textId="5EDDCE0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Donated cord blood is therefore not stored in public banks for future autologous use. However, in exceptional circumstances, public cord blood banks in Australia may consider releasing donated cord blood for personal use by the donor or their family, if the donation has not been used at the time a request for release is made. In assessing a request for release, decision-makers should consider:</w:t>
      </w:r>
    </w:p>
    <w:p w14:paraId="45659739" w14:textId="18876999" w:rsidR="006C6EBA" w:rsidRPr="006720E4" w:rsidRDefault="006C6EBA" w:rsidP="00C3783C">
      <w:pPr>
        <w:pStyle w:val="ListParagraph"/>
        <w:numPr>
          <w:ilvl w:val="0"/>
          <w:numId w:val="110"/>
        </w:numPr>
        <w:spacing w:after="120"/>
        <w:contextualSpacing w:val="0"/>
        <w:rPr>
          <w:rFonts w:cs="Calibri"/>
          <w:szCs w:val="22"/>
        </w:rPr>
      </w:pPr>
      <w:r w:rsidRPr="006720E4">
        <w:rPr>
          <w:rFonts w:cs="Calibri"/>
          <w:szCs w:val="22"/>
        </w:rPr>
        <w:t>If the intended use is for treatment of an approved condition.  That is, the donation is expected to be used in accordance with the standards normally applied when releasing any HSC donation to a matching recipient for use in transplantation. Alternatively, the cord blood may be released for use in a formally approved clinical trial of autologous HSC.</w:t>
      </w:r>
    </w:p>
    <w:p w14:paraId="65674610" w14:textId="77777777" w:rsidR="006C6EBA" w:rsidRPr="006720E4" w:rsidRDefault="006C6EBA" w:rsidP="00C3783C">
      <w:pPr>
        <w:pStyle w:val="ListParagraph"/>
        <w:numPr>
          <w:ilvl w:val="0"/>
          <w:numId w:val="110"/>
        </w:numPr>
        <w:spacing w:after="120"/>
        <w:contextualSpacing w:val="0"/>
        <w:rPr>
          <w:rFonts w:cs="Calibri"/>
          <w:szCs w:val="22"/>
        </w:rPr>
      </w:pPr>
      <w:r w:rsidRPr="006720E4">
        <w:rPr>
          <w:rFonts w:cs="Calibri"/>
          <w:szCs w:val="22"/>
        </w:rPr>
        <w:t>If retrieval and allocation of the stored donation is clinically and economically feasible.</w:t>
      </w:r>
    </w:p>
    <w:p w14:paraId="45F7C448" w14:textId="5415EF9A" w:rsidR="006C6EBA" w:rsidRPr="006720E4" w:rsidRDefault="006C6EBA" w:rsidP="00C3783C">
      <w:pPr>
        <w:pStyle w:val="ListParagraph"/>
        <w:numPr>
          <w:ilvl w:val="0"/>
          <w:numId w:val="110"/>
        </w:numPr>
        <w:spacing w:after="120"/>
        <w:contextualSpacing w:val="0"/>
        <w:rPr>
          <w:rFonts w:cs="Calibri"/>
          <w:szCs w:val="22"/>
        </w:rPr>
      </w:pPr>
      <w:r w:rsidRPr="006720E4">
        <w:rPr>
          <w:rFonts w:cs="Calibri"/>
          <w:szCs w:val="22"/>
        </w:rPr>
        <w:t>The utility or potential therapeutic value of the donated cord blood unit, as determined by the size of the donation and the relative rarity of its HLA type.</w:t>
      </w:r>
    </w:p>
    <w:p w14:paraId="4D31CA48" w14:textId="54A16A3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These considerations are necessary to uphold the values and goals of public HSC donation programs, including the aim to maximise the benefits of donations and equity of opportunity for HSC transplantation. </w:t>
      </w:r>
    </w:p>
    <w:p w14:paraId="0A2A1AFB" w14:textId="77777777" w:rsidR="006C6EBA" w:rsidRPr="006720E4" w:rsidRDefault="006C6EBA" w:rsidP="00EA22AE">
      <w:pPr>
        <w:pStyle w:val="Heading3"/>
        <w:spacing w:after="120"/>
      </w:pPr>
      <w:bookmarkStart w:id="5429" w:name="_‘Saviour_siblings’"/>
      <w:bookmarkStart w:id="5430" w:name="_Toc79406537"/>
      <w:bookmarkStart w:id="5431" w:name="_Toc82773769"/>
      <w:bookmarkStart w:id="5432" w:name="_Toc82774122"/>
      <w:bookmarkEnd w:id="5429"/>
      <w:r w:rsidRPr="006720E4">
        <w:t>‘Saviour siblings’</w:t>
      </w:r>
      <w:bookmarkEnd w:id="5418"/>
      <w:bookmarkEnd w:id="5419"/>
      <w:bookmarkEnd w:id="5420"/>
      <w:bookmarkEnd w:id="5421"/>
      <w:bookmarkEnd w:id="5422"/>
      <w:bookmarkEnd w:id="5423"/>
      <w:bookmarkEnd w:id="5424"/>
      <w:bookmarkEnd w:id="5425"/>
      <w:bookmarkEnd w:id="5430"/>
      <w:bookmarkEnd w:id="5431"/>
      <w:bookmarkEnd w:id="5432"/>
    </w:p>
    <w:p w14:paraId="0C59B51A" w14:textId="03A7E8D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﻿As noted in the 2007 NHMRC Guidelines for living donation:</w:t>
      </w:r>
    </w:p>
    <w:p w14:paraId="68855679" w14:textId="06E73937"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 xml:space="preserve">Saviour siblings is a term used to describe children who are conceived to provide matching cord blood or bone marrow for an existing sibling who is in need of transplantation and who has no suitable living donor within the family. Where local legislation permits, in-vitro fertilisation and pre-implantation genetic diagnosis is used to select embryos that will provide a good tissue match for their existing sibling for implantation. The genetic similarity between a child conceived in this way and an existing sibling means that the child will be a </w:t>
      </w:r>
      <w:r w:rsidRPr="006720E4">
        <w:rPr>
          <w:rFonts w:ascii="Calibri" w:hAnsi="Calibri" w:cs="Calibri"/>
          <w:sz w:val="22"/>
          <w:szCs w:val="22"/>
        </w:rPr>
        <w:lastRenderedPageBreak/>
        <w:t>suitable cord blood or bone marrow donor for the older sibling. Embryos can also be tested and a child born to be a saviour child for a sick parent.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{"citationItems":[{"id":"ITEM-1","itemData":{"DOI":"10.1186/s12910-020-00494-2","ISSN":"14726939","PMID":"32611408","abstract":"Background: Private umbilical cord blood banking is a for-profit industry in which parents pay to store blood for potential future use. Governments have noted the tendency for private banks to oversell the potential for cord blood use, especially in relation to speculative cell therapies not yet supported by clinical evidence. We assessed the regulatory landscape governing private cord bank marketing in Canada. Main body: Because the problematic marketing of private cord blood banking for future use often relates to speculative future cell therapies that do not exist and are not being advertised for current clinical use, most private blood bank marketing seems to fall outside Health Canada's regulatory scope. However, this problematic marketing is regulated by the Competition Bureau pursuant to the Competition Act. While representations relating to future hypothetical treatments may not always be subject to the legal requirement for claim substantiation, the law also prohibits individuals and companies from knowingly or recklessly making representations that are \"false or misleading in a material respect.\"A representation is materially false or misleading when it could \"influence a consumer's behavior or purchasing decisions,\"and consumers are likely to be considered to be \"credulous and inexperienced\"for the purposes of assessing an advertisement's general impression. Because all of the potential benefit of the banking is derived from the potential future use of the biological material for health interventions directed toward the customers and their relatives, and because we know the best available medical evidence indicates a very low probability of utility in this context, we can say with confidence that some private cord blood banking claims are materially misleading. Moreover, to the extent that medical professionals are involved in private bank interactions with customers or hold ownership stakes in private banks, they are subject to professional codes, standards of practice, and potentially fiduciary obligations that further prohibit misleading marketing. Conclusions: Private cord blood bank marketing that advertises hypothetical future treatments can be misleading and may influence consumer behaviour. This marketing may breach existing advertising law. Regulatory bodies should enforce the law in order to help prevent public health and personal financial harm.","author":[{"dropping-particle":"","family":"Murdoch","given":"Blake","non-dropping-particle":"","parse-names":false,"suffix":""},{"dropping-particle":"","family":"Marcon","given":"Alessandro R.","non-dropping-particle":"","parse-names":false,"suffix":""},{"dropping-particle":"","family":"Caulfield","given":"Timothy","non-dropping-particle":"","parse-names":false,"suffix":""}],"container-title":"BMC Medical Ethics","id":"ITEM-1","issue":"1","issued":{"date-parts":[["2020"]]},"page":"4-9","publisher":"BMC Medical Ethics","title":"The law and problematic marketing by private umbilical cord blood banks","type":"article-journal","volume":"21"},"uris":["http://www.mendeley.com/documents/?uuid=9ab95f9a-279a-4fe4-85a8-7e5840532f61"]}],"mendeley":{"formattedCitation":"(194)","plainTextFormattedCitation":"(194)","previouslyFormattedCitation":"(194)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(194)</w:t>
      </w:r>
      <w:r w:rsidRPr="006720E4">
        <w:rPr>
          <w:rFonts w:ascii="Calibri" w:hAnsi="Calibri" w:cs="Calibri"/>
          <w:sz w:val="22"/>
          <w:szCs w:val="22"/>
        </w:rPr>
        <w:fldChar w:fldCharType="end"/>
      </w:r>
    </w:p>
    <w:p w14:paraId="5E534A5B" w14:textId="2030CDB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2017 NHMRC guidelines on assisted reproduction provide further advice with regards to creation of ‘saviour siblings’ and notably permit the use of pre-implantation genetic testing of embryos for the purpose of selecting “an embryo with compatible tissue for subsequent stem cell therapy intended for a parent, sibling or other relative”</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{"citationItems":[{"id":"ITEM-1","itemData":{"ISBN":"1864963174","author":[{"dropping-particle":"","family":"National Health and Medical Research Council (NHMRC)","given":"","non-dropping-particle":"","parse-names":false,"suffix":""}],"id":"ITEM-1","issued":{"date-parts":[["2007"]]},"title":"Organ and Tissue Donation by Living Donors: Guidelines for Ethical Practice for Health Professionals","type":"report"},"uris":["http://www.mendeley.com/documents/?uuid=e27df8fe-6a22-4d01-8d7c-92c8609a9fe2"]}],"mendeley":{"formattedCitation":"(195)","plainTextFormattedCitation":"(195)","previouslyFormattedCitation":"(195)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(195)</w:t>
      </w:r>
      <w:r w:rsidRPr="006720E4">
        <w:rPr>
          <w:rFonts w:ascii="Calibri" w:hAnsi="Calibri" w:cs="Calibri"/>
          <w:sz w:val="22"/>
          <w:szCs w:val="22"/>
        </w:rPr>
        <w:fldChar w:fldCharType="end"/>
      </w:r>
      <w:r w:rsidRPr="006720E4">
        <w:rPr>
          <w:rFonts w:ascii="Calibri" w:hAnsi="Calibri" w:cs="Calibri"/>
          <w:sz w:val="22"/>
          <w:szCs w:val="22"/>
        </w:rPr>
        <w:t>.</w:t>
      </w:r>
    </w:p>
    <w:p w14:paraId="24D5F3E2" w14:textId="4955BA2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ethical implications of creating saviour siblings are complex.</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{"citationItems":[{"id":"ITEM-1","itemData":{"ISBN":"9788578110796","ISSN":"1098-6596","PMID":"25246403","author":[{"dropping-particle":"","family":"National Health and Medical Research Council (NHMRC)","given":"","non-dropping-particle":"","parse-names":false,"suffix":""}],"id":"ITEM-1","issued":{"date-parts":[["2017"]]},"title":"Ethical guidelines on the use of assisted technology in clinical practice and research","type":"report"},"uris":["http://www.mendeley.com/documents/?uuid=eb53c000-5324-4706-90ce-7766d33421e1"]}],"mendeley":{"formattedCitation":"(196)","plainTextFormattedCitation":"(196)","previouslyFormattedCitation":"(196)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(196)</w:t>
      </w:r>
      <w:r w:rsidRPr="006720E4">
        <w:rPr>
          <w:rFonts w:ascii="Calibri" w:hAnsi="Calibri" w:cs="Calibri"/>
          <w:sz w:val="22"/>
          <w:szCs w:val="22"/>
        </w:rPr>
        <w:fldChar w:fldCharType="end"/>
      </w:r>
      <w:bookmarkStart w:id="5433" w:name="_Toc63683526"/>
      <w:bookmarkStart w:id="5434" w:name="_Toc70241876"/>
      <w:bookmarkStart w:id="5435" w:name="_Toc70243511"/>
      <w:bookmarkStart w:id="5436" w:name="_Toc70328787"/>
      <w:bookmarkStart w:id="5437" w:name="_Toc70334017"/>
      <w:bookmarkStart w:id="5438" w:name="_Toc70415006"/>
      <w:bookmarkStart w:id="5439" w:name="_Toc70844326"/>
      <w:bookmarkStart w:id="5440" w:name="_Toc70859049"/>
      <w:bookmarkStart w:id="5441" w:name="_Toc70861150"/>
      <w:bookmarkStart w:id="5442" w:name="_Toc70876636"/>
      <w:bookmarkStart w:id="5443" w:name="_Toc72615276"/>
      <w:bookmarkStart w:id="5444" w:name="_Toc73130000"/>
      <w:bookmarkStart w:id="5445" w:name="_Toc73301869"/>
      <w:bookmarkStart w:id="5446" w:name="_Toc73302375"/>
      <w:bookmarkStart w:id="5447" w:name="_Toc73303508"/>
      <w:bookmarkStart w:id="5448" w:name="_Toc73303715"/>
      <w:bookmarkStart w:id="5449" w:name="_Toc74080849"/>
      <w:bookmarkStart w:id="5450" w:name="_Toc74081157"/>
      <w:bookmarkStart w:id="5451" w:name="_Toc74081387"/>
      <w:bookmarkStart w:id="5452" w:name="_Toc74081672"/>
      <w:bookmarkStart w:id="5453" w:name="_Toc74171218"/>
      <w:bookmarkStart w:id="5454" w:name="_Toc74172449"/>
      <w:bookmarkStart w:id="5455" w:name="_Toc74172983"/>
      <w:bookmarkStart w:id="5456" w:name="_Toc74238892"/>
      <w:bookmarkStart w:id="5457" w:name="_Toc78304824"/>
      <w:r w:rsidRPr="006720E4">
        <w:rPr>
          <w:rFonts w:ascii="Calibri" w:hAnsi="Calibri" w:cs="Calibri"/>
          <w:sz w:val="22"/>
          <w:szCs w:val="22"/>
        </w:rPr>
        <w:t xml:space="preserve"> Regardless of the circumstances in which a child who is a potential living donor was created, the ethical principles outlined in these guidelines with regards to living donation by children remain the same (see </w:t>
      </w:r>
      <w:hyperlink w:anchor="_Living_donation_by" w:history="1">
        <w:r w:rsidRPr="00947FB9">
          <w:rPr>
            <w:rStyle w:val="Hyperlink"/>
            <w:rFonts w:ascii="Calibri" w:hAnsi="Calibri" w:cs="Calibri"/>
            <w:sz w:val="22"/>
            <w:szCs w:val="22"/>
          </w:rPr>
          <w:t xml:space="preserve">Chapter </w:t>
        </w:r>
        <w:r w:rsidR="00947FB9" w:rsidRPr="00947FB9">
          <w:rPr>
            <w:rStyle w:val="Hyperlink"/>
            <w:rFonts w:ascii="Calibri" w:hAnsi="Calibri" w:cs="Calibri"/>
            <w:sz w:val="22"/>
            <w:szCs w:val="22"/>
          </w:rPr>
          <w:t>5</w:t>
        </w:r>
        <w:r w:rsidRPr="00947FB9">
          <w:rPr>
            <w:rStyle w:val="Hyperlink"/>
            <w:rFonts w:ascii="Calibri" w:hAnsi="Calibri" w:cs="Calibri"/>
            <w:sz w:val="22"/>
            <w:szCs w:val="22"/>
          </w:rPr>
          <w:t>.5</w:t>
        </w:r>
      </w:hyperlink>
      <w:r w:rsidRPr="00947FB9">
        <w:rPr>
          <w:rFonts w:ascii="Calibri" w:hAnsi="Calibri" w:cs="Calibri"/>
          <w:sz w:val="22"/>
          <w:szCs w:val="22"/>
        </w:rPr>
        <w:t>. This means that</w:t>
      </w:r>
      <w:r w:rsidRPr="006720E4">
        <w:rPr>
          <w:rFonts w:ascii="Calibri" w:hAnsi="Calibri" w:cs="Calibri"/>
          <w:sz w:val="22"/>
          <w:szCs w:val="22"/>
        </w:rPr>
        <w:t xml:space="preserve"> the best interests of the child, including the potential future interests of an infant or child from whom umbilical cord blood, or other forms of HSCs may be obtained, should be considered when making donation decisions on </w:t>
      </w:r>
      <w:r w:rsidRPr="00947FB9">
        <w:rPr>
          <w:rFonts w:ascii="Calibri" w:hAnsi="Calibri" w:cs="Calibri"/>
          <w:sz w:val="22"/>
          <w:szCs w:val="22"/>
        </w:rPr>
        <w:t xml:space="preserve">their behalf (see </w:t>
      </w:r>
      <w:bookmarkStart w:id="5458" w:name="_Chapter_12_-"/>
      <w:bookmarkEnd w:id="5458"/>
      <w:r w:rsidRPr="00947FB9">
        <w:rPr>
          <w:rFonts w:ascii="Calibri" w:hAnsi="Calibri" w:cs="Calibri"/>
          <w:sz w:val="22"/>
          <w:szCs w:val="22"/>
        </w:rPr>
        <w:fldChar w:fldCharType="begin"/>
      </w:r>
      <w:r w:rsidRPr="00947FB9">
        <w:rPr>
          <w:rFonts w:ascii="Calibri" w:hAnsi="Calibri" w:cs="Calibri"/>
          <w:sz w:val="22"/>
          <w:szCs w:val="22"/>
        </w:rPr>
        <w:instrText xml:space="preserve"> HYPERLINK  \l "_Children:_Best_interests_1" </w:instrText>
      </w:r>
      <w:r w:rsidRPr="00947FB9">
        <w:rPr>
          <w:rFonts w:ascii="Calibri" w:hAnsi="Calibri" w:cs="Calibri"/>
          <w:sz w:val="22"/>
          <w:szCs w:val="22"/>
        </w:rPr>
      </w:r>
      <w:r w:rsidRPr="00947FB9">
        <w:rPr>
          <w:rFonts w:ascii="Calibri" w:hAnsi="Calibri" w:cs="Calibri"/>
          <w:sz w:val="22"/>
          <w:szCs w:val="22"/>
        </w:rPr>
        <w:fldChar w:fldCharType="separate"/>
      </w:r>
      <w:r w:rsidRPr="00947FB9">
        <w:rPr>
          <w:rStyle w:val="Hyperlink"/>
          <w:rFonts w:ascii="Calibri" w:hAnsi="Calibri" w:cs="Calibri"/>
          <w:sz w:val="22"/>
          <w:szCs w:val="22"/>
        </w:rPr>
        <w:t xml:space="preserve">Chapter </w:t>
      </w:r>
      <w:r w:rsidR="00947FB9" w:rsidRPr="00947FB9">
        <w:rPr>
          <w:rStyle w:val="Hyperlink"/>
          <w:rFonts w:ascii="Calibri" w:hAnsi="Calibri" w:cs="Calibri"/>
          <w:sz w:val="22"/>
          <w:szCs w:val="22"/>
        </w:rPr>
        <w:t>5</w:t>
      </w:r>
      <w:r w:rsidRPr="00947FB9">
        <w:rPr>
          <w:rStyle w:val="Hyperlink"/>
          <w:rFonts w:ascii="Calibri" w:hAnsi="Calibri" w:cs="Calibri"/>
          <w:sz w:val="22"/>
          <w:szCs w:val="22"/>
        </w:rPr>
        <w:t>.3.1</w:t>
      </w:r>
      <w:r w:rsidRPr="00947FB9">
        <w:rPr>
          <w:rFonts w:ascii="Calibri" w:hAnsi="Calibri" w:cs="Calibri"/>
          <w:sz w:val="22"/>
          <w:szCs w:val="22"/>
        </w:rPr>
        <w:fldChar w:fldCharType="end"/>
      </w:r>
      <w:r w:rsidRPr="00947FB9">
        <w:rPr>
          <w:rFonts w:ascii="Calibri" w:hAnsi="Calibri" w:cs="Calibri"/>
          <w:sz w:val="22"/>
          <w:szCs w:val="22"/>
        </w:rPr>
        <w:t>)</w:t>
      </w:r>
      <w:r w:rsidR="00947FB9">
        <w:rPr>
          <w:rFonts w:ascii="Calibri" w:hAnsi="Calibri" w:cs="Calibri"/>
          <w:sz w:val="22"/>
          <w:szCs w:val="22"/>
        </w:rPr>
        <w:t>.</w:t>
      </w:r>
    </w:p>
    <w:p w14:paraId="4F6BE43B" w14:textId="77777777" w:rsidR="006C6EBA" w:rsidRPr="006720E4" w:rsidRDefault="006C6EBA" w:rsidP="00EA22AE">
      <w:pPr>
        <w:pStyle w:val="Heading2"/>
        <w:spacing w:after="120"/>
      </w:pPr>
      <w:bookmarkStart w:id="5459" w:name="_Uterus_transplantation"/>
      <w:bookmarkStart w:id="5460" w:name="_Toc79330927"/>
      <w:bookmarkStart w:id="5461" w:name="_Toc79331307"/>
      <w:bookmarkStart w:id="5462" w:name="_Toc79406538"/>
      <w:bookmarkStart w:id="5463" w:name="_Toc82773770"/>
      <w:bookmarkStart w:id="5464" w:name="_Toc82774123"/>
      <w:bookmarkStart w:id="5465" w:name="_Toc128314254"/>
      <w:bookmarkStart w:id="5466" w:name="_Toc135131498"/>
      <w:bookmarkEnd w:id="5459"/>
      <w:r w:rsidRPr="006720E4">
        <w:t>Uterus transplantation</w:t>
      </w:r>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60"/>
      <w:bookmarkEnd w:id="5461"/>
      <w:bookmarkEnd w:id="5462"/>
      <w:bookmarkEnd w:id="5463"/>
      <w:bookmarkEnd w:id="5464"/>
      <w:bookmarkEnd w:id="5465"/>
      <w:bookmarkEnd w:id="5466"/>
    </w:p>
    <w:p w14:paraId="791F7DB4" w14:textId="4B5BBF4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Uterus transplantation is a potential treatment for absolute uterine factor infertility, which means that a person is unable to carry a pregnancy through to term due to the absence of a functional uterus. Donation and transplantation of the uterus are relatively new clinical procedures that are still considered experimental.</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{"citationItems":[{"id":"ITEM-1","itemData":{"abstract":"Anencephaly is a neural tube defect (NTD) that occurs when the cephalic (head) end of the neural tube fails to close, usually between the 23rd and 26th days of pregnancy, resulting in the absence of a major portion of the brain, skull, and scalp. It is a very rare diagnosis, with only a small number of anencephalic babies being carried to term each year in the UK. Approximately a third of these babies will not breathe at birth, and all die in the neonatal period. UK Donation Ethics Committee has been approached for advice about the ethical issues surrounding organ donation from infants with anencephaly. Whilst this document focuses on pregnancies and infants that are affected by anencephaly, the principles might equally apply to other prenatally diagnosed abnormalities that are associated with death in the newborn period.","author":[{"dropping-particle":"","family":"UK Donation Ethics Committee","given":"","non-dropping-particle":"","parse-names":false,"suffix":""}],"id":"ITEM-1","issue":"February","issued":{"date-parts":[["2016"]]},"number-of-pages":"1-11","title":"Organ donation from infants with anencephaly-guidance from the UK Donation Ethics Committee","type":"report"},"uris":["http://www.mendeley.com/documents/?uuid=043165e5-d7f3-4daa-892e-dbc00d621ad4"]}],"mendeley":{"formattedCitation":"(197)","plainTextFormattedCitation":"(197)","previouslyFormattedCitation":"(197)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(197)</w:t>
      </w:r>
      <w:r w:rsidRPr="006720E4">
        <w:rPr>
          <w:rFonts w:ascii="Calibri" w:hAnsi="Calibri" w:cs="Calibri"/>
          <w:sz w:val="22"/>
          <w:szCs w:val="22"/>
        </w:rPr>
        <w:fldChar w:fldCharType="end"/>
      </w:r>
      <w:r w:rsidRPr="006720E4">
        <w:rPr>
          <w:rFonts w:ascii="Calibri" w:hAnsi="Calibri" w:cs="Calibri"/>
          <w:sz w:val="22"/>
          <w:szCs w:val="22"/>
        </w:rPr>
        <w:t xml:space="preserve"> Several successful cases of</w:t>
      </w:r>
      <w:r w:rsidR="00947FB9">
        <w:rPr>
          <w:rFonts w:ascii="Calibri" w:hAnsi="Calibri" w:cs="Calibri"/>
          <w:sz w:val="22"/>
          <w:szCs w:val="22"/>
        </w:rPr>
        <w:t xml:space="preserve"> childbirth following</w:t>
      </w:r>
      <w:r w:rsidRPr="006720E4">
        <w:rPr>
          <w:rFonts w:ascii="Calibri" w:hAnsi="Calibri" w:cs="Calibri"/>
          <w:sz w:val="22"/>
          <w:szCs w:val="22"/>
        </w:rPr>
        <w:t xml:space="preserve"> uterus transplant</w:t>
      </w:r>
      <w:r w:rsidR="00947FB9">
        <w:rPr>
          <w:rFonts w:ascii="Calibri" w:hAnsi="Calibri" w:cs="Calibri"/>
          <w:sz w:val="22"/>
          <w:szCs w:val="22"/>
        </w:rPr>
        <w:t>ation</w:t>
      </w:r>
      <w:r w:rsidRPr="006720E4">
        <w:rPr>
          <w:rFonts w:ascii="Calibri" w:hAnsi="Calibri" w:cs="Calibri"/>
          <w:sz w:val="22"/>
          <w:szCs w:val="22"/>
        </w:rPr>
        <w:t xml:space="preserve"> have occurred using living donors and, more recently, some using organs from deceased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{"citationItems":[{"id":"ITEM-1","itemData":{"DOI":"10.1111/tri.13548","ISBN":"4103280638","ISSN":"14322277","PMID":"31674693","abstract":"The first uterus transplantation was performed in 2000. As key milestones are reached (long-lasting graft survival in 2011, and first birth from a transplanted womb in 2014), the ethical debate around uterus transplant evolves. We performed a systematic review of articles on uterus transplantation. Ethical themes were extracted and categorized according to four bioethical principles. Papers were divided into time periods separated by key events in uterus transplant history: Phase I (first technical achievement, 2002–2011), Phase II (clinical achievement, 2012–2014), and Phase III (after the first childbirth, 2015–2018). Eighty-one articles were included. The majority of ethics papers were published in Phase III (65%, P &lt; 0.0001), that is after the first birth. Eighty percent of papers discussed nonmaleficence making it the most discussed principle. The first birth acted as a pivotal point: nonmaleficence was discussed by a lower proportion of articles (P = 0.0073), as was beneficence (P = 0.0309). However, discussion of justice increased to become the most discussed principle of the time period (P = 0.0085). The ethical debate surrounding uterus transplantation has evolved around landmark events that signify scientific progress. As safety and efficacy become evident, the focus of ethical debate shifts from clinical equipoise to socioeconomic challenges and equitable access to uterus transplantation.","author":[{"dropping-particle":"","family":"Ngaage","given":"Ledibabari M.","non-dropping-particle":"","parse-names":false,"suffix":""},{"dropping-particle":"","family":"Ike","given":"Samantha","non-dropping-particle":"","parse-names":false,"suffix":""},{"dropping-particle":"","family":"Elegbede","given":"Adekunle","non-dropping-particle":"","parse-names":false,"suffix":""},{"dropping-particle":"","family":"Vercler","given":"Christian J.","non-dropping-particle":"","parse-names":false,"suffix":""},{"dropping-particle":"","family":"Gebran","given":"Selim","non-dropping-particle":"","parse-names":false,"suffix":""},{"dropping-particle":"","family":"Liang","given":"Fan","non-dropping-particle":"","parse-names":false,"suffix":""},{"dropping-particle":"","family":"Rada","given":"Erin M.","non-dropping-particle":"","parse-names":false,"suffix":""},{"dropping-particle":"","family":"Cooney","given":"Carisa","non-dropping-particle":"","parse-names":false,"suffix":""},{"dropping-particle":"","family":"Brandacher","given":"Gerald","non-dropping-particle":"","parse-names":false,"suffix":""},{"dropping-particle":"","family":"Redett","given":"Richard J.","non-dropping-particle":"","parse-names":false,"suffix":""},{"dropping-particle":"","family":"Johannesson","given":"Liza","non-dropping-particle":"","parse-names":false,"suffix":""},{"dropping-particle":"","family":"Rasko","given":"Yvonne M.","non-dropping-particle":"","parse-names":false,"suffix":""}],"container-title":"Transplant International","id":"ITEM-1","issue":"3","issued":{"date-parts":[["2020"]]},"page":"260-269","title":"The changing paradigm of ethics in uterus transplantation: a systematic review","type":"article-journal","volume":"33"},"uris":["http://www.mendeley.com/documents/?uuid=305c449c-3409-4f14-8e8f-d27c1589ad90"]}],"mendeley":{"formattedCitation":"(198)","plainTextFormattedCitation":"(198)","previouslyFormattedCitation":"(198)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(198)</w:t>
      </w:r>
      <w:r w:rsidRPr="006720E4">
        <w:rPr>
          <w:rFonts w:ascii="Calibri" w:hAnsi="Calibri" w:cs="Calibri"/>
          <w:sz w:val="22"/>
          <w:szCs w:val="22"/>
        </w:rPr>
        <w:fldChar w:fldCharType="end"/>
      </w:r>
      <w:r w:rsidRPr="006720E4">
        <w:rPr>
          <w:rFonts w:ascii="Calibri" w:hAnsi="Calibri" w:cs="Calibri"/>
          <w:sz w:val="22"/>
          <w:szCs w:val="22"/>
        </w:rPr>
        <w:t xml:space="preserve"> </w:t>
      </w:r>
    </w:p>
    <w:p w14:paraId="48264D2A" w14:textId="4461C26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It is expected that more people will seek the opportunity for uterus transplantation as uterus transplantation programs expand and success rates increase. While the evidence base for uterus donation and transplantation procedures is growing, it is important that the limitations of current knowledge and experience in the field are recognized. This means that prospective candidates for uterus transplantation or living uterus donation should be acknowledged as potential participants in research. Ethical design and oversight of trials should be consistent with Australian standards for the ethical conduct of research,</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{"citationItems":[{"id":"ITEM-1","itemData":{"DOI":"10.1111/ajo.13364","ISSN":"1479828X","abstract":"Absolute uterine factor infertility (AUFI) is defined as the absence of a uterus or the presence of a non-functional uterus. Before the first live birth from a uterus transplant in 2014, the only fertility options for women with AUFI were surrogacy and adoption. In November 2019, our team was granted approval for the first uterus transplant trial in Australia using known living donors. Our program is based on that of our overseas collaborators in Dallas, Texas; this team will also be proctoring us for our first two cases.","author":[{"dropping-particle":"","family":"Georgevsky","given":"Dana","non-dropping-particle":"","parse-names":false,"suffix":""},{"dropping-particle":"","family":"Li","given":"Ying","non-dropping-particle":"","parse-names":false,"suffix":""},{"dropping-particle":"","family":"Pather","given":"Selvan","non-dropping-particle":"","parse-names":false,"suffix":""},{"dropping-particle":"","family":"Tejada-Berges","given":"Trevor","non-dropping-particle":"","parse-names":false,"suffix":""},{"dropping-particle":"","family":"Robinson","given":"David","non-dropping-particle":"","parse-names":false,"suffix":""},{"dropping-particle":"","family":"Laurence","given":"Jerome","non-dropping-particle":"","parse-names":false,"suffix":""},{"dropping-particle":"","family":"Campbell","given":"Neil","non-dropping-particle":"","parse-names":false,"suffix":""},{"dropping-particle":"","family":"Wyburn","given":"Kate","non-dropping-particle":"","parse-names":false,"suffix":""},{"dropping-particle":"","family":"Liyanagama","given":"Keith","non-dropping-particle":"","parse-names":false,"suffix":""},{"dropping-particle":"","family":"Narayan","given":"Rajit","non-dropping-particle":"","parse-names":false,"suffix":""},{"dropping-particle":"","family":"Lutz","given":"Tracey","non-dropping-particle":"","parse-names":false,"suffix":""},{"dropping-particle":"","family":"Chan","given":"Agnes","non-dropping-particle":"","parse-names":false,"suffix":""},{"dropping-particle":"","family":"Heaney","given":"Sally Ann","non-dropping-particle":"","parse-names":false,"suffix":""},{"dropping-particle":"","family":"Kitzing","given":"Yu Xuan","non-dropping-particle":"","parse-names":false,"suffix":""},{"dropping-particle":"","family":"Anderson","given":"Lyndal","non-dropping-particle":"","parse-names":false,"suffix":""},{"dropping-particle":"","family":"Testa","given":"Giuliano","non-dropping-particle":"","parse-names":false,"suffix":""},{"dropping-particle":"","family":"Johannesson","given":"Liza","non-dropping-particle":"","parse-names":false,"suffix":""},{"dropping-particle":"","family":"Marren","given":"Anthony","non-dropping-particle":"","parse-names":false,"suffix":""}],"container-title":"Australian and New Zealand Journal of Obstetrics and Gynaecology","id":"ITEM-1","issued":{"date-parts":[["2021"]]},"title":"Uterus transplantation and pregnancy induction: Approved protocol at the Royal Prince Alfred Hospital","type":"article-journal"},"uris":["http://www.mendeley.com/documents/?uuid=5d222237-00dd-4835-963b-f83ce9bd0335"]}],"mendeley":{"formattedCitation":"(199)","plainTextFormattedCitation":"(199)","previouslyFormattedCitation":"(199)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(199)</w:t>
      </w:r>
      <w:r w:rsidRPr="006720E4">
        <w:rPr>
          <w:rFonts w:ascii="Calibri" w:hAnsi="Calibri" w:cs="Calibri"/>
          <w:sz w:val="22"/>
          <w:szCs w:val="22"/>
        </w:rPr>
        <w:fldChar w:fldCharType="end"/>
      </w:r>
      <w:r w:rsidRPr="006720E4">
        <w:rPr>
          <w:rFonts w:ascii="Calibri" w:hAnsi="Calibri" w:cs="Calibri"/>
          <w:sz w:val="22"/>
          <w:szCs w:val="22"/>
        </w:rPr>
        <w:t xml:space="preserve"> and of clinical </w:t>
      </w:r>
      <w:r w:rsidRPr="00947FB9">
        <w:rPr>
          <w:rFonts w:ascii="Calibri" w:hAnsi="Calibri" w:cs="Calibri"/>
          <w:sz w:val="22"/>
          <w:szCs w:val="22"/>
        </w:rPr>
        <w:t xml:space="preserve">innovations (see </w:t>
      </w:r>
      <w:hyperlink w:anchor="_Intersections_between_donation_2" w:history="1">
        <w:r w:rsidRPr="00947FB9">
          <w:rPr>
            <w:rStyle w:val="Hyperlink"/>
            <w:rFonts w:ascii="Calibri" w:hAnsi="Calibri" w:cs="Calibri"/>
            <w:sz w:val="22"/>
            <w:szCs w:val="22"/>
          </w:rPr>
          <w:t>Chapter 1</w:t>
        </w:r>
        <w:r w:rsidR="00947FB9" w:rsidRPr="00947FB9">
          <w:rPr>
            <w:rStyle w:val="Hyperlink"/>
            <w:rFonts w:ascii="Calibri" w:hAnsi="Calibri" w:cs="Calibri"/>
            <w:sz w:val="22"/>
            <w:szCs w:val="22"/>
          </w:rPr>
          <w:t>2</w:t>
        </w:r>
        <w:r w:rsidRPr="00947FB9">
          <w:rPr>
            <w:rStyle w:val="Hyperlink"/>
            <w:rFonts w:ascii="Calibri" w:hAnsi="Calibri" w:cs="Calibri"/>
            <w:sz w:val="22"/>
            <w:szCs w:val="22"/>
          </w:rPr>
          <w:t>.7</w:t>
        </w:r>
      </w:hyperlink>
      <w:r w:rsidRPr="00947FB9">
        <w:rPr>
          <w:rFonts w:ascii="Calibri" w:hAnsi="Calibri" w:cs="Calibri"/>
          <w:sz w:val="22"/>
          <w:szCs w:val="22"/>
        </w:rPr>
        <w:t>). Expert</w:t>
      </w:r>
      <w:r w:rsidRPr="006720E4">
        <w:rPr>
          <w:rFonts w:ascii="Calibri" w:hAnsi="Calibri" w:cs="Calibri"/>
          <w:sz w:val="22"/>
          <w:szCs w:val="22"/>
        </w:rPr>
        <w:t xml:space="preserve"> independent advice on additional ethical and clinical complexities relating to donation and transplantation may be needed to inform ethics review. In 2019, the first trial of living donor uterus transplantation in Australia was approved, and</w:t>
      </w:r>
      <w:r w:rsidR="00063C6D">
        <w:rPr>
          <w:rFonts w:ascii="Calibri" w:hAnsi="Calibri" w:cs="Calibri"/>
          <w:sz w:val="22"/>
          <w:szCs w:val="22"/>
        </w:rPr>
        <w:t xml:space="preserve"> the first</w:t>
      </w:r>
      <w:r w:rsidRPr="006720E4">
        <w:rPr>
          <w:rFonts w:ascii="Calibri" w:hAnsi="Calibri" w:cs="Calibri"/>
          <w:sz w:val="22"/>
          <w:szCs w:val="22"/>
        </w:rPr>
        <w:t xml:space="preserve"> </w:t>
      </w:r>
      <w:r w:rsidR="00947FB9">
        <w:rPr>
          <w:rFonts w:ascii="Calibri" w:hAnsi="Calibri" w:cs="Calibri"/>
          <w:sz w:val="22"/>
          <w:szCs w:val="22"/>
        </w:rPr>
        <w:t>tr</w:t>
      </w:r>
      <w:r w:rsidR="00063C6D">
        <w:rPr>
          <w:rFonts w:ascii="Calibri" w:hAnsi="Calibri" w:cs="Calibri"/>
          <w:sz w:val="22"/>
          <w:szCs w:val="22"/>
        </w:rPr>
        <w:t>ansplant was performed in 2023</w:t>
      </w:r>
      <w:r w:rsidRPr="006720E4">
        <w:rPr>
          <w:rFonts w:ascii="Calibri" w:hAnsi="Calibri" w:cs="Calibri"/>
          <w:sz w:val="22"/>
          <w:szCs w:val="22"/>
        </w:rPr>
        <w: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{"citationItems":[{"id":"ITEM-1","itemData":{"DOI":"10.1111/1471-0528.15863","ISBN":"0000000000","ISSN":"14710528","PMID":"31410987","abstract":"Uterine transplantation restores reproductive anatomy in women with absolute uterine factor infertility and allows the opportunity to conceive, experience gestation, and acquire motherhood. The number of cases being performed is increasing exponentially, with detailed outcomes from 45 cases, including nine live births, now available. In light of the data presented herein, including detailed surgical, immunosuppressive and obstetric outcomes, the feasibility of uterine transplantation is now difficult to refute. However, it is associated with significant risk with more than one-quarter of grafts removed because of complications, and one in ten donors suffering complications requiring surgical repair. Tweetable abstract: Uterine transplantation is feasible in women with uterine factor infertility, but is associated with significant risk of complication.","author":[{"dropping-particle":"","family":"Jones","given":"B. P.","non-dropping-particle":"","parse-names":false,"suffix":""},{"dropping-particle":"","family":"Saso","given":"S.","non-dropping-particle":"","parse-names":false,"suffix":""},{"dropping-particle":"","family":"Bracewell-Milnes","given":"T.","non-dropping-particle":"","parse-names":false,"suffix":""},{"dropping-particle":"","family":"Thum","given":"M. Y.","non-dropping-particle":"","parse-names":false,"suffix":""},{"dropping-particle":"","family":"Nicopoullos","given":"J.","non-dropping-particle":"","parse-names":false,"suffix":""},{"dropping-particle":"","family":"Diaz-Garcia","given":"C.","non-dropping-particle":"","parse-names":false,"suffix":""},{"dropping-particle":"","family":"Friend","given":"P.","non-dropping-particle":"","parse-names":false,"suffix":""},{"dropping-particle":"","family":"Ghaem-Maghami","given":"S.","non-dropping-particle":"","parse-names":false,"suffix":""},{"dropping-particle":"","family":"Testa","given":"G.","non-dropping-particle":"","parse-names":false,"suffix":""},{"dropping-particle":"","family":"Johannesson","given":"L.","non-dropping-particle":"","parse-names":false,"suffix":""},{"dropping-particle":"","family":"Quiroga","given":"I.","non-dropping-particle":"","parse-names":false,"suffix":""},{"dropping-particle":"","family":"Yazbek","given":"J.","non-dropping-particle":"","parse-names":false,"suffix":""},{"dropping-particle":"","family":"Smith","given":"J. R.","non-dropping-particle":"","parse-names":false,"suffix":""}],"container-title":"BJOG: An International Journal of Obstetrics and Gynaecology","id":"ITEM-1","issue":"11","issued":{"date-parts":[["2019"]]},"page":"1310-1319","title":"Human uterine transplantation: a review of outcomes from the first 45 cases","type":"article-journal","volume":"126"},"uris":["http://www.mendeley.com/documents/?uuid=ab748f03-cf1d-4f0f-9be4-3aa36f1fec35"]},{"id":"ITEM-2","itemData":{"DOI":"10.1097/AOG.0000000000004244","ISBN":"0000000000","ISSN":"1873233X","PMID":"33416285","abstract":"OBJECTIVE: To describe aggregated pregnancy outcomes after uterus transplantation from a single, experienced center. METHODS: This prospective study reports on live births among 20 women who received a uterus transplant from 2016 to 2019 at Baylor University Medical Center at Dallas. These live births occurred between November 2017 and September 2020. The main measures were live birth, maternal complications, and fetal and newborn outcomes. RESULTS: There were six graft failures (four surgical complications and two with poor perfusion postoperatively). Of the 14 technically successful transplants, at least one live birth occurred in 11 patients. Thus far, the live birth rate per attempted transplant is 55%, and the live-birth rate per technically successful transplant is 79%. Ten uteri were from nondirected living donors and one uterus was from a deceased donor. In vitro fertilization was performed to achieve pregnancy. Ten recipients delivered one neonate, and one recipient delivered two neonates. One organ rejection episode was detected during pregnancy and was resolved with steroids. The median birth weight was 2,890 g (range 1,770-3,140 g [median 68th percentile]). Maternal weight gain was higher than Institute of Medicine recommendations. Maternal medical complications were observed in five recipients (elevated creatinine level, gestational diabetes, gestational hypertension [n=2], and preeclampsia). In five recipients, maternal medical or obstetric complications led to an unplanned preterm delivery (elevated creatinine level, preeclampsia; preterm labor [n=3]). The median gestational age at delivery was 36 6/7 weeks (range 30 6/7-38 weeks). All neonates were liveborn, with Apgar scores of 8 or higher at 5 minutes. CONCLUSION: Over the first 3 years, our program experienced a live-birth rate per attempted transplant of 55% and a live-birth rate per technically successful transplant of 79%. In our experience, uterus transplantation resulted in a third-trimester live birth in all cases in which pregnancies reached 20 weeks of gestation. Maternal medical and obstetric complications can occur; however, these were manageable by applying principles of generally accepted obstetric practice. CLINICAL TRIAL REGISTRATION: ClinicalTrials.gov, NCT02656550.","author":[{"dropping-particle":"","family":"Johannesson","given":"Liza","non-dropping-particle":"","parse-names":false,"suffix":""},{"dropping-particle":"","family":"Testa","given":"Giuliano","non-dropping-particle":"","parse-names":false,"suffix":""},{"dropping-particle":"","family":"Putman","given":"J. Michael","non-dropping-particle":"","parse-names":false,"suffix":""},{"dropping-particle":"","family":"McKenna","given":"Gregory J.","non-dropping-particle":"","parse-names":false,"suffix":""},{"dropping-particle":"","family":"Koon","given":"E. Colin","non-dropping-particle":"","parse-names":false,"suffix":""},{"dropping-particle":"","family":"York","given":"Jackie R.","non-dropping-particle":"","parse-names":false,"suffix":""},{"dropping-particle":"","family":"Bayer","given":"Johanna","non-dropping-particle":"","parse-names":false,"suffix":""},{"dropping-particle":"","family":"Zhang","given":"Lilly","non-dropping-particle":"","parse-names":false,"suffix":""},{"dropping-particle":"","family":"Rubeo","given":"Zachary S.","non-dropping-particle":"","parse-names":false,"suffix":""},{"dropping-particle":"","family":"Gunby","given":"Robert T.","non-dropping-particle":"","parse-names":false,"suffix":""},{"dropping-particle":"","family":"Gregg","given":"Anthony R.","non-dropping-particle":"","parse-names":false,"suffix":""}],"container-title":"Obstetrics and gynecology","id":"ITEM-2","issue":"2","issued":{"date-parts":[["2021"]]},"page":"241-249","title":"Twelve Live Births After Uterus Transplantation in the Dallas UtErus Transplant Study","type":"article-journal","volume":"137"},"uris":["http://www.mendeley.com/documents/?uuid=91550a6d-9fac-4dea-9560-0112eb6e7d2d"]},{"id":"ITEM-3","itemData":{"DOI":"10.1016/j.ajog.2020.03.001","ISSN":"10976868","PMID":"32151611","abstract":"Uterus transplantation is the only known potential treatment for absolute uterine factor infertility. It offers a unique setting for the investigation of immunologic adaptations of pregnancy in the context of the pharmacologic-induced tolerance of solid organ transplants, thus providing valuable insights into the early maternal-fetal interface. Until recently, all live births resulting from uterus transplantation involved living donors, with only 1 prior birth from a deceased donor. The Cleveland Clinic clinical trial of uterus transplantation opened in 2015. In 2017, a 35 year old woman with congenital absence of the uterus was matched to a 24 year old parous deceased brain-dead donor. Transplantation of the uterus was performed with vaginal anastomosis and vascular anastomoses bilaterally from internal iliac vessels of the donor to the external iliac vessels of the recipient. Induction and maintenance immunosuppression were achieved and subsequently modified in anticipation of pregnancy 6 months after transplant. Prior to planned embryo transfer, ectocervical biopsy revealed ulceration and a significant diffuse, plasma cell–rich mixed inflammatory cell infiltrate, with histology interpreted as grade 3 rejection suspicious for an antibody-mediated component. Aggressive immunosuppressive regimen targeting both cellular and humoral rejection was initiated. After 3 months of treatment, there was no histologic evidence of rejection, and after 3 months from complete clearance of rejection, an uneventful embryo transfer was performed and a pregnancy was established. At 21 weeks, central placenta previa with accreta was diagnosed. A healthy neonate was delivered by cesarean hysterectomy at 34 weeks’ gestation. In summary, this paper highlights the first live birth in North America resulting from a deceased donor uterus transplant. This achievement underscores the capacity of the transplanted uterus to recover from a severe, prolonged rejection and yet produce a viable neonate. This is the first delivery from our ongoing clinical trial in uterus transplantation, including the first reported incidence of severe mixed cellular/humoral rejection as well as the first reported placenta accreta.","author":[{"dropping-particle":"","family":"Flyckt","given":"Rebecca","non-dropping-particle":"","parse-names":false,"suffix":""},{"dropping-particle":"","family":"Falcone","given":"Tommaso","non-dropping-particle":"","parse-names":false,"suffix":""},{"dropping-particle":"","family":"Quintini","given":"Cristiano","non-dropping-particle":"","parse-names":false,"suffix":""},{"dropping-particle":"","family":"Perni","given":"Uma","non-dropping-particle":"","parse-names":false,"suffix":""},{"dropping-particle":"","family":"Eghtesad","given":"Bijan","non-dropping-particle":"","parse-names":false,"suffix":""},{"dropping-particle":"","family":"Richards","given":"Elliott G.","non-dropping-particle":"","parse-names":false,"suffix":""},{"dropping-particle":"","family":"Farrell","given":"Ruth M.","non-dropping-particle":"","parse-names":false,"suffix":""},{"dropping-particle":"","family":"Hashimoto","given":"Koji","non-dropping-particle":"","parse-names":false,"suffix":""},{"dropping-particle":"","family":"Miller","given":"Charles","non-dropping-particle":"","parse-names":false,"suffix":""},{"dropping-particle":"","family":"Ricci","given":"Stephanie","non-dropping-particle":"","parse-names":false,"suffix":""},{"dropping-particle":"","family":"Ferrando","given":"Cecile A.","non-dropping-particle":"","parse-names":false,"suffix":""},{"dropping-particle":"","family":"D'Amico","given":"Giuseppe","non-dropping-particle":"","parse-names":false,"suffix":""},{"dropping-particle":"","family":"Maikhor","given":"Shana","non-dropping-particle":"","parse-names":false,"suffix":""},{"dropping-particle":"","family":"Priebe","given":"Debra","non-dropping-particle":"","parse-names":false,"suffix":""},{"dropping-particle":"","family":"Chiesa-Vottero","given":"Andres","non-dropping-particle":"","parse-names":false,"suffix":""},{"dropping-particle":"","family":"Heerema-McKenney","given":"Amy","non-dropping-particle":"","parse-names":false,"suffix":""},{"dropping-particle":"","family":"Mawhorter","given":"Steven","non-dropping-particle":"","parse-names":false,"suffix":""},{"dropping-particle":"","family":"Feldman","given":"Myra K.","non-dropping-particle":"","parse-names":false,"suffix":""},{"dropping-particle":"","family":"Tzakis","given":"Andreas","non-dropping-particle":"","parse-names":false,"suffix":""}],"container-title":"American Journal of Obstetrics and Gynecology","id":"ITEM-3","issue":"2","issued":{"date-parts":[["2020"]]},"page":"143-151","publisher":"Elsevier Inc.","title":"First birth from a deceased donor uterus in the United States: from severe graft rejection to successful cesarean delivery","type":"article-journal","volume":"223"},"uris":["http://www.mendeley.com/documents/?uuid=2e5abc42-a399-47a5-a792-5b37df80af86"]},{"id":"ITEM-4","itemData":{"DOI":"10.1111/ajo.13678","ISSN":"1479828X","abstract":"Aims: The aim is to report the results of Australia's first uterus transplantation (UTx). Methods: Following long-standing collaboration between the Swedish and Australian teams, Human Research Ethics approval was obtained to perform six UTx procedures in a collaborative multi-site research study (Western Sydney Local District Health 2019/ETH13038), including Royal Hospital for Women, Prince of Wales Hospital, and Westmead Hospital in New Souh Wales. Surgeries were approved in both the live donor (LD) and deceased donor models in collaboration with the inaugural Swedish UTx team. Results: This is the first UTx procedure to occur in Australia, involving a mother donating her uterus to her daughter. The total operative time for the donor was 9 h 54 min. Concurrently, recipient surgery was synchronised to minimise graft ischaemic time, and the total operative time for the recipient was 6 h 12 min. Surgery was by laparotomy in the LD and recipient. The total warm ischaemic time of the graft was 1 h 53 min, and the cold ischaemic time was 2 h 17 min (total ischaemic time 4 h 10 min). The patient's first menstruation occurred 33 days after the UTx procedure. Conclusion: Twenty-five years of Swedish and Australian collaboration has led to Australia's first successfully performed UTx surgery at The Royal Hospital for Women, Sydney, Australia.","author":[{"dropping-particle":"","family":"Deans","given":"Rebecca","non-dropping-particle":"","parse-names":false,"suffix":""},{"dropping-particle":"","family":"Pittman","given":"Jana","non-dropping-particle":"","parse-names":false,"suffix":""},{"dropping-particle":"","family":"Gerstl","given":"Brigitte","non-dropping-particle":"","parse-names":false,"suffix":""},{"dropping-particle":"","family":"Haghighi","given":"Koroush","non-dropping-particle":"","parse-names":false,"suffix":""},{"dropping-particle":"","family":"Pleass","given":"Henry","non-dropping-particle":"","parse-names":false,"suffix":""},{"dropping-particle":"","family":"KÄhler","given":"Pernilla Dahm","non-dropping-particle":"","parse-names":false,"suffix":""},{"dropping-particle":"","family":"Kvarnström","given":"Niclas","non-dropping-particle":"","parse-names":false,"suffix":""},{"dropping-particle":"","family":"Hseih","given":"Wayne","non-dropping-particle":"","parse-names":false,"suffix":""},{"dropping-particle":"","family":"Keung","given":"Karen","non-dropping-particle":"","parse-names":false,"suffix":""},{"dropping-particle":"","family":"Luxton","given":"Grant","non-dropping-particle":"","parse-names":false,"suffix":""},{"dropping-particle":"","family":"Yong","given":"Kenneth","non-dropping-particle":"","parse-names":false,"suffix":""},{"dropping-particle":"","family":"Caldas","given":"Rita","non-dropping-particle":"","parse-names":false,"suffix":""},{"dropping-particle":"","family":"Byun","given":"Lily","non-dropping-particle":"","parse-names":false,"suffix":""},{"dropping-particle":"","family":"Loo","given":"Christine","non-dropping-particle":"","parse-names":false,"suffix":""},{"dropping-particle":"","family":"Tippett","given":"John","non-dropping-particle":"","parse-names":false,"suffix":""},{"dropping-particle":"","family":"Caponas","given":"George","non-dropping-particle":"","parse-names":false,"suffix":""},{"dropping-particle":"","family":"Moses","given":"Daniel","non-dropping-particle":"","parse-names":false,"suffix":""},{"dropping-particle":"","family":"Wan","given":"King Man","non-dropping-particle":"","parse-names":false,"suffix":""},{"dropping-particle":"","family":"Arulpragasam","given":"Kaushalya","non-dropping-particle":"","parse-names":false,"suffix":""},{"dropping-particle":"","family":"Kiely","given":"Neill","non-dropping-particle":"","parse-names":false,"suffix":""},{"dropping-particle":"","family":"Brännström","given":"Mats","non-dropping-particle":"","parse-names":false,"suffix":""},{"dropping-particle":"","family":"Abbott","given":"Jason","non-dropping-particle":"","parse-names":false,"suffix":""}],"container-title":"Australian and New Zealand Journal of Obstetrics and Gynaecology","id":"ITEM-4","issued":{"date-parts":[["2023"]]},"title":"The first Australian uterus transplantation procedure: A result of a long-term Australian-Swedish research collaboration","type":"article-journal"},"uris":["http://www.mendeley.com/documents/?uuid=4fd7f3b5-fd28-4c86-a3a5-68f2c0be5c8b"]}],"mendeley":{"formattedCitation":"(200–203)","plainTextFormattedCitation":"(200–203)","previouslyFormattedCitation":"(200–203)"},"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(200–203)</w:t>
      </w:r>
      <w:r w:rsidRPr="006720E4">
        <w:rPr>
          <w:rFonts w:ascii="Calibri" w:hAnsi="Calibri" w:cs="Calibri"/>
          <w:sz w:val="22"/>
          <w:szCs w:val="22"/>
        </w:rPr>
        <w:fldChar w:fldCharType="end"/>
      </w:r>
    </w:p>
    <w:p w14:paraId="006B17F5" w14:textId="0CAAAB1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Uterus transplantation should be recognised as a kind of Assisted Reproductive Treatment (ART), and should therefore be guided by relevant ethical considerations applicable to ART, e.g. in the NHMRC Guidelines,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{"citationItems":[{"id":"ITEM-1","itemData":{"ISBN":"9788578110796","ISSN":"1098-6596","PMID":"25246403","author":[{"dropping-particle":"","family":"National Health and Medical Research Council (NHMRC)","given":"","non-dropping-particle":"","parse-names":false,"suffix":""}],"id":"ITEM-1","issued":{"date-parts":[["2017"]]},"title":"Ethical guidelines on the use of assisted technology in clinical practice and research","type":"report"},"uris":["http://www.mendeley.com/documents/?uuid=eb53c000-5324-4706-90ce-7766d33421e1"]}],"mendeley":{"formattedCitation":"(196)","plainTextFormattedCitation":"(196)","previouslyFormattedCitation":"(196)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(196)</w:t>
      </w:r>
      <w:r w:rsidRPr="006720E4">
        <w:rPr>
          <w:rFonts w:ascii="Calibri" w:hAnsi="Calibri" w:cs="Calibri"/>
          <w:sz w:val="22"/>
          <w:szCs w:val="22"/>
        </w:rPr>
        <w:fldChar w:fldCharType="end"/>
      </w:r>
      <w:r w:rsidRPr="006720E4">
        <w:rPr>
          <w:rFonts w:ascii="Calibri" w:hAnsi="Calibri" w:cs="Calibri"/>
          <w:sz w:val="22"/>
          <w:szCs w:val="22"/>
        </w:rPr>
        <w:t xml:space="preserve"> in addition to those specific to donation and transplantation as outlined in the following sections.</w:t>
      </w:r>
    </w:p>
    <w:p w14:paraId="2782C15C" w14:textId="77777777" w:rsidR="006C6EBA" w:rsidRPr="006720E4" w:rsidRDefault="006C6EBA" w:rsidP="00EA22AE">
      <w:pPr>
        <w:pStyle w:val="Heading3"/>
        <w:spacing w:after="120"/>
      </w:pPr>
      <w:bookmarkStart w:id="5467" w:name="_Toc74080853"/>
      <w:bookmarkStart w:id="5468" w:name="_Toc74081161"/>
      <w:bookmarkStart w:id="5469" w:name="_Toc74081391"/>
      <w:bookmarkStart w:id="5470" w:name="_Toc74081676"/>
      <w:bookmarkStart w:id="5471" w:name="_Toc74171222"/>
      <w:bookmarkStart w:id="5472" w:name="_Toc74172453"/>
      <w:bookmarkStart w:id="5473" w:name="_Toc74172987"/>
      <w:bookmarkStart w:id="5474" w:name="_Toc74238896"/>
      <w:bookmarkStart w:id="5475" w:name="_Toc79406539"/>
      <w:bookmarkStart w:id="5476" w:name="_Toc82773771"/>
      <w:bookmarkStart w:id="5477" w:name="_Toc82774124"/>
      <w:r w:rsidRPr="006720E4">
        <w:t>Uterus transplant recipients</w:t>
      </w:r>
      <w:bookmarkEnd w:id="5467"/>
      <w:bookmarkEnd w:id="5468"/>
      <w:bookmarkEnd w:id="5469"/>
      <w:bookmarkEnd w:id="5470"/>
      <w:bookmarkEnd w:id="5471"/>
      <w:bookmarkEnd w:id="5472"/>
      <w:bookmarkEnd w:id="5473"/>
      <w:bookmarkEnd w:id="5474"/>
      <w:bookmarkEnd w:id="5475"/>
      <w:bookmarkEnd w:id="5476"/>
      <w:bookmarkEnd w:id="5477"/>
    </w:p>
    <w:p w14:paraId="5E40B878" w14:textId="3B0F213B"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 number of specific ethical issues may arise in the context of uterus transplantation, in addition to the usual ethical considerations in organ transplantation outlined in these guidelines and the ethical considerations of uterus transplantation as an experimental procedure.</w:t>
      </w:r>
    </w:p>
    <w:p w14:paraId="73F1B4F6" w14:textId="4E7A9998" w:rsidR="006C6EBA" w:rsidRPr="006720E4" w:rsidRDefault="006C6EBA" w:rsidP="00EA22AE">
      <w:pPr>
        <w:pStyle w:val="Heading4"/>
        <w:spacing w:after="120"/>
      </w:pPr>
      <w:bookmarkStart w:id="5478" w:name="_Determining_access_to"/>
      <w:bookmarkStart w:id="5479" w:name="_Toc74081677"/>
      <w:bookmarkStart w:id="5480" w:name="_Toc74172454"/>
      <w:bookmarkStart w:id="5481" w:name="_Toc74172988"/>
      <w:bookmarkStart w:id="5482" w:name="_Toc82773772"/>
      <w:bookmarkStart w:id="5483" w:name="_Toc82774125"/>
      <w:bookmarkEnd w:id="5478"/>
      <w:r w:rsidRPr="006720E4">
        <w:t>Determining access to uterus transplantation</w:t>
      </w:r>
      <w:bookmarkEnd w:id="5479"/>
      <w:bookmarkEnd w:id="5480"/>
      <w:bookmarkEnd w:id="5481"/>
      <w:bookmarkEnd w:id="5482"/>
      <w:bookmarkEnd w:id="5483"/>
    </w:p>
    <w:p w14:paraId="1AB82FF7" w14:textId="08F94DE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 eligibility criteria for access to uterus transplantation should be guided by the same considerations outlined in </w:t>
      </w:r>
      <w:hyperlink w:anchor="_Risks_and_benefits_1" w:history="1">
        <w:r w:rsidR="00063C6D" w:rsidRPr="00063C6D">
          <w:rPr>
            <w:rStyle w:val="Hyperlink"/>
            <w:rFonts w:ascii="Calibri" w:hAnsi="Calibri" w:cs="Calibri"/>
            <w:sz w:val="22"/>
            <w:szCs w:val="22"/>
          </w:rPr>
          <w:t>Chapter 6</w:t>
        </w:r>
      </w:hyperlink>
      <w:r w:rsidR="00063C6D" w:rsidRPr="00063C6D">
        <w:rPr>
          <w:rFonts w:ascii="Calibri" w:hAnsi="Calibri" w:cs="Calibri"/>
          <w:sz w:val="22"/>
          <w:szCs w:val="22"/>
        </w:rPr>
        <w:t xml:space="preserve"> </w:t>
      </w:r>
      <w:r w:rsidRPr="006720E4">
        <w:rPr>
          <w:rFonts w:ascii="Calibri" w:hAnsi="Calibri" w:cs="Calibri"/>
          <w:sz w:val="22"/>
          <w:szCs w:val="22"/>
        </w:rPr>
        <w:t xml:space="preserve">with regards to evaluation of potential benefits and risks, and with regards to equity of access if resources are limited, as discussed in </w:t>
      </w:r>
      <w:hyperlink w:anchor="_Equity_in_opportunities" w:history="1">
        <w:r w:rsidR="00063C6D" w:rsidRPr="00063C6D">
          <w:rPr>
            <w:rStyle w:val="Hyperlink"/>
            <w:rFonts w:ascii="Calibri" w:hAnsi="Calibri" w:cs="Calibri"/>
            <w:sz w:val="22"/>
            <w:szCs w:val="22"/>
          </w:rPr>
          <w:t>Chapter 8</w:t>
        </w:r>
        <w:r w:rsidRPr="00063C6D">
          <w:rPr>
            <w:rStyle w:val="Hyperlink"/>
            <w:rFonts w:ascii="Calibri" w:hAnsi="Calibri" w:cs="Calibri"/>
            <w:sz w:val="22"/>
            <w:szCs w:val="22"/>
          </w:rPr>
          <w:t>.</w:t>
        </w:r>
      </w:hyperlink>
      <w:r w:rsidRPr="006720E4">
        <w:rPr>
          <w:rFonts w:ascii="Calibri" w:hAnsi="Calibri" w:cs="Calibri"/>
          <w:sz w:val="22"/>
          <w:szCs w:val="22"/>
        </w:rPr>
        <w:t xml:space="preserve"> </w:t>
      </w:r>
    </w:p>
    <w:p w14:paraId="2714CE1B" w14:textId="7DB1533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possibility of providing uterus transplantation in the future to people who are infertile following gender confirmation surgery, including for the purpose of alleviating gender dysphoria  has been discussed.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10.1097/TP.0000000000002830","ISBN":"0000000000","ISSN":"00411337","PMID":"31764888","author":[{"dropping-particle":"","family":"Kristek","given":"Jakub","non-dropping-particle":"","parse-names":false,"suffix":""},{"dropping-particle":"","family":"Johannesson","given":"Liza","non-dropping-particle":"","parse-names":false,"suffix":""},{"dropping-particle":"","family":"Testa","given":"Giuliano","non-dropping-particle":"","parse-names":false,"suffix":""},{"dropping-particle":"","family":"Chmel","given":"Roman","non-dropping-particle":"","parse-names":false,"suffix":""},{"dropping-particle":"","family":"Olausson","given":"Michael","non-dropping-particle":"","parse-names":false,"suffix":""},{"dropping-particle":"","family":"Kvarnström","given":"Niclas","non-dropping-particle":"","parse-names":false,"suffix":""},{"dropping-particle":"","family":"Karydis","given":"Nikolaos","non-dropping-particle":"","parse-names":false,"suffix":""},{"dropping-particle":"","family":"Fronek","given":"Jiri","non-dropping-particle":"","parse-names":false,"suffix":""}],"container-title":"Transplantation","id":"ITEM-1","issue":"12","issued":{"date-parts":[["2019"]]},"page":"2449-2452","title":"Limited Availability of Deceased Uterus Donors: A Transatlantic Perspective","type":"article-journal","volume":"103"},"uris":["http://www.mendeley.com/documents/?uuid=a616986a-fc7b-48c0-b621-2d1ec1aecc45"]}],"mendeley":{"formattedCitation":"(204)","plainTextFormattedCitation":"(204)","previouslyFormattedCitation":"(204)"},"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(204)</w:t>
      </w:r>
      <w:r w:rsidRPr="006720E4">
        <w:rPr>
          <w:rFonts w:ascii="Calibri" w:hAnsi="Calibri" w:cs="Calibri"/>
          <w:sz w:val="22"/>
          <w:szCs w:val="22"/>
        </w:rPr>
        <w:fldChar w:fldCharType="end"/>
      </w:r>
      <w:r w:rsidRPr="006720E4">
        <w:rPr>
          <w:rFonts w:ascii="Calibri" w:hAnsi="Calibri" w:cs="Calibri"/>
          <w:sz w:val="22"/>
          <w:szCs w:val="22"/>
        </w:rPr>
        <w:t xml:space="preserve"> The potential interests of </w:t>
      </w:r>
      <w:r w:rsidR="00063C6D">
        <w:rPr>
          <w:rFonts w:ascii="Calibri" w:hAnsi="Calibri" w:cs="Calibri"/>
          <w:sz w:val="22"/>
          <w:szCs w:val="22"/>
        </w:rPr>
        <w:t xml:space="preserve">persons who are </w:t>
      </w:r>
      <w:r w:rsidRPr="006720E4">
        <w:rPr>
          <w:rFonts w:ascii="Calibri" w:hAnsi="Calibri" w:cs="Calibri"/>
          <w:sz w:val="22"/>
          <w:szCs w:val="22"/>
        </w:rPr>
        <w:t xml:space="preserve">transgender should be considered when </w:t>
      </w:r>
      <w:r w:rsidRPr="00063C6D">
        <w:rPr>
          <w:rFonts w:ascii="Calibri" w:hAnsi="Calibri" w:cs="Calibri"/>
          <w:sz w:val="22"/>
          <w:szCs w:val="22"/>
        </w:rPr>
        <w:lastRenderedPageBreak/>
        <w:t>developing guidelines for access to uterus transplantation and allocation of deceased donor uteri (</w:t>
      </w:r>
      <w:hyperlink w:anchor="_Allocation_of_uteri_1" w:history="1">
        <w:r w:rsidRPr="00063C6D">
          <w:rPr>
            <w:rStyle w:val="Hyperlink"/>
            <w:rFonts w:ascii="Calibri" w:hAnsi="Calibri" w:cs="Calibri"/>
            <w:sz w:val="22"/>
            <w:szCs w:val="22"/>
          </w:rPr>
          <w:t>Chapter 1</w:t>
        </w:r>
        <w:r w:rsidR="00063C6D" w:rsidRPr="00063C6D">
          <w:rPr>
            <w:rStyle w:val="Hyperlink"/>
            <w:rFonts w:ascii="Calibri" w:hAnsi="Calibri" w:cs="Calibri"/>
            <w:sz w:val="22"/>
            <w:szCs w:val="22"/>
          </w:rPr>
          <w:t>2</w:t>
        </w:r>
        <w:r w:rsidRPr="00063C6D">
          <w:rPr>
            <w:rStyle w:val="Hyperlink"/>
            <w:rFonts w:ascii="Calibri" w:hAnsi="Calibri" w:cs="Calibri"/>
            <w:sz w:val="22"/>
            <w:szCs w:val="22"/>
          </w:rPr>
          <w:t>.5.3.1</w:t>
        </w:r>
      </w:hyperlink>
      <w:r w:rsidRPr="00063C6D">
        <w:rPr>
          <w:rFonts w:ascii="Calibri" w:hAnsi="Calibri" w:cs="Calibri"/>
          <w:sz w:val="22"/>
          <w:szCs w:val="22"/>
        </w:rPr>
        <w:t>).</w:t>
      </w:r>
      <w:r w:rsidRPr="006720E4">
        <w:rPr>
          <w:rFonts w:ascii="Calibri" w:hAnsi="Calibri" w:cs="Calibri"/>
          <w:sz w:val="22"/>
          <w:szCs w:val="22"/>
        </w:rPr>
        <w:t xml:space="preserve"> </w:t>
      </w:r>
    </w:p>
    <w:p w14:paraId="64339E33" w14:textId="67CABE2B" w:rsidR="006C6EBA" w:rsidRPr="006720E4" w:rsidRDefault="006C6EBA" w:rsidP="00EA22AE">
      <w:pPr>
        <w:pStyle w:val="Heading4"/>
        <w:spacing w:after="120"/>
      </w:pPr>
      <w:bookmarkStart w:id="5484" w:name="_Allocation_of_uteri"/>
      <w:bookmarkStart w:id="5485" w:name="_Toc74081678"/>
      <w:bookmarkStart w:id="5486" w:name="_Toc74172455"/>
      <w:bookmarkStart w:id="5487" w:name="_Toc74172989"/>
      <w:bookmarkStart w:id="5488" w:name="_Toc82773773"/>
      <w:bookmarkStart w:id="5489" w:name="_Toc82774126"/>
      <w:bookmarkEnd w:id="5484"/>
      <w:r w:rsidRPr="006720E4">
        <w:t>Decision-making regarding attempted pregnancies and uterus graft removal</w:t>
      </w:r>
      <w:bookmarkEnd w:id="5485"/>
      <w:bookmarkEnd w:id="5486"/>
      <w:bookmarkEnd w:id="5487"/>
      <w:bookmarkEnd w:id="5488"/>
      <w:bookmarkEnd w:id="5489"/>
    </w:p>
    <w:p w14:paraId="2B48F3CE" w14:textId="178E162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For most organ and tissue transplants, the primary goal of transplantation is to maintain a functional graft for as long as possible, so long as the burdens or complications of the transplant are outweighed by the functional benefits. In contrast, uterus transplantation – at least currently – is performed for instrumental reasons. The goal of transplantation is thus to maintain a functional uterine graft only as long as necessary to achieve the primary goal of gestating and delivering a child or children. Once this goal is achieved, the significant burdens and risks associated with ongoing immunosuppression to maintain the graft mean that graft removal is necessary.</w:t>
      </w:r>
    </w:p>
    <w:p w14:paraId="28BDE12E" w14:textId="6E6277D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Dilemmas may arise if the transplant recipient wishes to retain a graft for the purpose of attempting gestation despite health professionals’ concerns that the risks outweigh the potential benefits. The timing of attempted pregnancies and graft removal should be carefully considered using a process of shared decision-making that centres the interests and preferences of the transplant recipient while acknowledging the potential limitations of risks that may be accepted.</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{"citationItems":[{"id":"ITEM-1","itemData":{"DOI":"10.1001/jamanetworkopen.2020.34561","ISSN":"25743805","PMID":"33471119","abstract":"Importance: Uterus transplant has been demonstrated to be a viable fertility-restoring treatment for women categorized as female at birth with absolute uterine factor infertility. Recent advancements, as well as considerations of fairness and equality in reproductive care, have now led to the possibility of uterus transplant being undertaken in transgender women. Objective: To investigate the reproductive aspirations of transgender women and their perceptions of uterus transplant. Design, Setting, and Participants: This cross-sectional survey study used a 27-item electronic questionnaire to investigate the reproductive aspirations of 182 transgender women older than 16 years, including their perceptions of and motivations for uterus transplant, between May 1 and November 1, 2019. Main Outcomes and Measures: Perceptions of and motivations for uterus transplant, including perceived significance of the ability to gestate, menstruate, and have a physiologically functioning vagina. Results: A total of 182 transgender women completed the questionnaire; most women (109 [60%]) were aged 20 to 29 years. Most did not have children prior to transitioning (167 [92%]) and expressed a desire to have children in the future (171 [94%]). In addition, most respondents agreed or strongly agreed that the ability to gestate and give birth to children (171 [94%]) and menstruate (161 [88%]) would enhance perceptions of their femininity. Similarly, high proportions strongly agreed or agreed that having a transplanted, functioning vagina would improve their sexual experience (163 [90%]), improve their quality of life (163 [90%]), and help them to feel like more of a woman (168 [92%]). Nearly all respondents (180 [99%]) believed that uterus transplant would lead to greater happiness in transgender women. More than three-quarters of the respondents (140 [77%]) strongly agreed or agreed that they would be more inclined to cryopreserve sperm if uterus transplant became a realistic option. Conclusions and Relevance: This study provides insights into the reproductive aspirations of transgender women and reports on their multifaceted motivation to undergo uterus transplant. The survey responses suggest that transgender women would choose to have female physiologic experiences, such as menstruation and gestation, as well as potentially having a physiologically functioning transplanted vagina. If proven feasible and safe in this setting, uterus transplant may facilitate the achievement …","author":[{"dropping-particle":"","family":"Jones","given":"Benjamin P.","non-dropping-particle":"","parse-names":false,"suffix":""},{"dropping-particle":"","family":"Rajamanoharan","given":"Abirami","non-dropping-particle":"","parse-names":false,"suffix":""},{"dropping-particle":"","family":"Vali","given":"Saaliha","non-dropping-particle":"","parse-names":false,"suffix":""},{"dropping-particle":"","family":"Williams","given":"Nicola J.","non-dropping-particle":"","parse-names":false,"suffix":""},{"dropping-particle":"","family":"Saso","given":"Srdjan","non-dropping-particle":"","parse-names":false,"suffix":""},{"dropping-particle":"","family":"Thum","given":"Meen Yau","non-dropping-particle":"","parse-names":false,"suffix":""},{"dropping-particle":"","family":"Ghaem-Maghami","given":"Sadaf","non-dropping-particle":"","parse-names":false,"suffix":""},{"dropping-particle":"","family":"Quiroga","given":"Isabel","non-dropping-particle":"","parse-names":false,"suffix":""},{"dropping-particle":"","family":"Diaz-Garcia","given":"Cesar","non-dropping-particle":"","parse-names":false,"suffix":""},{"dropping-particle":"","family":"Thomas","given":"Philip","non-dropping-particle":"","parse-names":false,"suffix":""},{"dropping-particle":"","family":"Wilkinson","given":"Stephen","non-dropping-particle":"","parse-names":false,"suffix":""},{"dropping-particle":"","family":"Yazbek","given":"Joseph","non-dropping-particle":"","parse-names":false,"suffix":""},{"dropping-particle":"","family":"Smith","given":"J. Richard","non-dropping-particle":"","parse-names":false,"suffix":""}],"container-title":"JAMA Network Open","id":"ITEM-1","issue":"1","issued":{"date-parts":[["2021"]]},"page":"1-11","title":"Perceptions and Motivations for Uterus Transplant in Transgender Women","type":"article-journal","volume":"4"},"uris":["http://www.mendeley.com/documents/?uuid=2d6b935c-1aa5-46c9-8d3a-057e2487a002"]}],"mendeley":{"formattedCitation":"(205)","plainTextFormattedCitation":"(205)","previouslyFormattedCitation":"(205)"},"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(205)</w:t>
      </w:r>
      <w:r w:rsidRPr="006720E4">
        <w:rPr>
          <w:rFonts w:ascii="Calibri" w:hAnsi="Calibri" w:cs="Calibri"/>
          <w:sz w:val="22"/>
          <w:szCs w:val="22"/>
        </w:rPr>
        <w:fldChar w:fldCharType="end"/>
      </w:r>
      <w:r w:rsidRPr="006720E4">
        <w:rPr>
          <w:rFonts w:ascii="Calibri" w:hAnsi="Calibri" w:cs="Calibri"/>
          <w:sz w:val="22"/>
          <w:szCs w:val="22"/>
        </w:rPr>
        <w:t xml:space="preserve"> While the transplant recipient must consent to graft removal, health professionals are not obliged to perform ART procedures in the transplant recipient to facilitate pregnancy and gestation, if the risks to the recipient or </w:t>
      </w:r>
      <w:r w:rsidRPr="00BD74BE">
        <w:rPr>
          <w:rFonts w:ascii="Calibri" w:hAnsi="Calibri" w:cs="Calibri"/>
          <w:sz w:val="22"/>
          <w:szCs w:val="22"/>
        </w:rPr>
        <w:t xml:space="preserve">potential children (see </w:t>
      </w:r>
      <w:hyperlink w:anchor="_Consideration_of_the" w:history="1">
        <w:r w:rsidRPr="00BD74BE">
          <w:rPr>
            <w:rStyle w:val="Hyperlink"/>
            <w:rFonts w:ascii="Calibri" w:hAnsi="Calibri" w:cs="Calibri"/>
            <w:sz w:val="22"/>
            <w:szCs w:val="22"/>
          </w:rPr>
          <w:t>Chapter 1</w:t>
        </w:r>
        <w:r w:rsidR="00063C6D" w:rsidRPr="00BD74BE">
          <w:rPr>
            <w:rStyle w:val="Hyperlink"/>
            <w:rFonts w:ascii="Calibri" w:hAnsi="Calibri" w:cs="Calibri"/>
            <w:sz w:val="22"/>
            <w:szCs w:val="22"/>
          </w:rPr>
          <w:t>2</w:t>
        </w:r>
        <w:r w:rsidRPr="00BD74BE">
          <w:rPr>
            <w:rStyle w:val="Hyperlink"/>
            <w:rFonts w:ascii="Calibri" w:hAnsi="Calibri" w:cs="Calibri"/>
            <w:sz w:val="22"/>
            <w:szCs w:val="22"/>
          </w:rPr>
          <w:t>.5.4</w:t>
        </w:r>
      </w:hyperlink>
      <w:r w:rsidRPr="00BD74BE">
        <w:rPr>
          <w:rFonts w:ascii="Calibri" w:hAnsi="Calibri" w:cs="Calibri"/>
          <w:sz w:val="22"/>
          <w:szCs w:val="22"/>
        </w:rPr>
        <w:t>) are disproportionate</w:t>
      </w:r>
      <w:r w:rsidRPr="006720E4">
        <w:rPr>
          <w:rFonts w:ascii="Calibri" w:hAnsi="Calibri" w:cs="Calibri"/>
          <w:sz w:val="22"/>
          <w:szCs w:val="22"/>
        </w:rPr>
        <w:t xml:space="preserve">.  </w:t>
      </w:r>
    </w:p>
    <w:p w14:paraId="17747628" w14:textId="70FEDAD6" w:rsidR="006C6EBA" w:rsidRPr="006720E4" w:rsidRDefault="006C6EBA" w:rsidP="00EA22AE">
      <w:pPr>
        <w:pStyle w:val="Heading3"/>
        <w:spacing w:after="120"/>
      </w:pPr>
      <w:bookmarkStart w:id="5490" w:name="_Living_uterus_donation"/>
      <w:bookmarkStart w:id="5491" w:name="_Toc74080851"/>
      <w:bookmarkStart w:id="5492" w:name="_Toc74081159"/>
      <w:bookmarkStart w:id="5493" w:name="_Toc74081389"/>
      <w:bookmarkStart w:id="5494" w:name="_Toc74081674"/>
      <w:bookmarkStart w:id="5495" w:name="_Toc74171220"/>
      <w:bookmarkStart w:id="5496" w:name="_Toc74172451"/>
      <w:bookmarkStart w:id="5497" w:name="_Toc74172985"/>
      <w:bookmarkStart w:id="5498" w:name="_Toc74238894"/>
      <w:bookmarkStart w:id="5499" w:name="_Toc70415008"/>
      <w:bookmarkStart w:id="5500" w:name="_Toc70844328"/>
      <w:bookmarkStart w:id="5501" w:name="_Toc72615278"/>
      <w:bookmarkStart w:id="5502" w:name="_Toc73130002"/>
      <w:bookmarkStart w:id="5503" w:name="_Toc73301871"/>
      <w:bookmarkStart w:id="5504" w:name="_Toc73302377"/>
      <w:bookmarkStart w:id="5505" w:name="_Toc73303510"/>
      <w:bookmarkStart w:id="5506" w:name="_Toc73303717"/>
      <w:bookmarkStart w:id="5507" w:name="_Toc79406540"/>
      <w:bookmarkStart w:id="5508" w:name="_Toc82773774"/>
      <w:bookmarkStart w:id="5509" w:name="_Toc82774127"/>
      <w:bookmarkEnd w:id="5490"/>
      <w:r w:rsidRPr="006720E4">
        <w:t>Living uterus donation</w:t>
      </w:r>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p>
    <w:p w14:paraId="69E5AB34" w14:textId="07A00A4D"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In addition to the considerations of participation in trials of living donor uterus transplantation from a research ethics perspective, the usual considerations with regards to living donation explored throughout these guidelines also apply to living uterus donors. </w:t>
      </w:r>
    </w:p>
    <w:p w14:paraId="2AE5DF74" w14:textId="1B0C20E6"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Evaluation of the potential benefits and risks of living uterus donation may involve additional complexities with regards to the potential psychosocial impact on donors of the transplant recipient bearing a child.</w:t>
      </w:r>
      <w:r w:rsidRPr="006720E4">
        <w:rPr>
          <w:rFonts w:ascii="Calibri" w:hAnsi="Calibri" w:cs="Calibri"/>
          <w:sz w:val="22"/>
          <w:szCs w:val="22"/>
        </w:rPr>
        <w:fldChar w:fldCharType="begin" w:fldLock="1"/>
      </w:r>
      <w:r w:rsidR="002B5DD4">
        <w:rPr>
          <w:rFonts w:ascii="Calibri" w:hAnsi="Calibri" w:cs="Calibri"/>
          <w:sz w:val="22"/>
          <w:szCs w:val="22"/>
        </w:rPr>
        <w:instrText>ADDIN CSL_CITATION {"citationItems":[{"id":"ITEM-1","itemData":{"ISBN":"1864962690","abstract":"(Chapter 4.7 adresses Aboriginal and Torres Islander poeples specifically. Pages 77 - 80). Its content reflects the outcome of wide consultation with Australian communities who participate in, design, conduct, fund, manage and publish human research. Research governance The National Statement should be seen in the broader context of overall governance of research. It not only provides guidelines for researchers, Human Research Ethics Committees (HRECs) and others conducting ethical review of research, but also emphasises institutions’ responsibilities for the quality, safety and ethical acceptability of research that they sponsor or permit to be carried out under their auspices. Responsibility for the ethical design, review and conduct of human research is in fact exercised at many levels, by: researchers (and where relevant their supervisors); HRECs and others conducting","author":[{"dropping-particle":"","family":"National Health and Medical Research Council (NHMRC)","given":"","non-dropping-particle":"","parse-names":false,"suffix":""}],"id":"ITEM-1","issued":{"date-parts":[["0"]]},"title":"Conduct in human research national statement on ethical conduct in human research","type":"report"},"uris":["http://www.mendeley.com/documents/?uuid=75db90a3-b445-477e-9a4e-65a9f9f71f9d"]}],"mendeley":{"formattedCitation":"(17)","plainTextFormattedCitation":"(17)","previouslyFormattedCitation":"(17)"},"properties":{"noteIndex":0},"schema":"https://github.com/citation-style-language/schema/raw/master/csl-citation.json"}</w:instrText>
      </w:r>
      <w:r w:rsidRPr="006720E4">
        <w:rPr>
          <w:rFonts w:ascii="Calibri" w:hAnsi="Calibri" w:cs="Calibri"/>
          <w:sz w:val="22"/>
          <w:szCs w:val="22"/>
        </w:rPr>
        <w:fldChar w:fldCharType="separate"/>
      </w:r>
      <w:r w:rsidR="00485565" w:rsidRPr="006720E4">
        <w:rPr>
          <w:rFonts w:ascii="Calibri" w:hAnsi="Calibri" w:cs="Calibri"/>
          <w:noProof/>
          <w:sz w:val="22"/>
          <w:szCs w:val="22"/>
        </w:rPr>
        <w:t>(17)</w:t>
      </w:r>
      <w:r w:rsidRPr="006720E4">
        <w:rPr>
          <w:rFonts w:ascii="Calibri" w:hAnsi="Calibri" w:cs="Calibri"/>
          <w:sz w:val="22"/>
          <w:szCs w:val="22"/>
        </w:rPr>
        <w:fldChar w:fldCharType="end"/>
      </w:r>
      <w:r w:rsidRPr="006720E4">
        <w:rPr>
          <w:rFonts w:ascii="Calibri" w:hAnsi="Calibri" w:cs="Calibri"/>
          <w:sz w:val="22"/>
          <w:szCs w:val="22"/>
        </w:rPr>
        <w:t xml:space="preserve"> The burdens and risks of the major surgery currently required for living donation of the uterus must be weighed against the potential benefits for the donor, which are likely to include benefits relating to a possibility of successful transplantation and delivery of a child by the recipient. </w:t>
      </w:r>
    </w:p>
    <w:p w14:paraId="4FBA3EC1" w14:textId="3454004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Relationships between living uterus donors and transplant recipients may have additional psychosocial complexities given that the purpose of donation and transplantation in this context is to facilitate the birth of a child. Many living uterus donors notably share a close relationship with recipients as sisters or mothers of recipients. Guidelines used in evaluation and counselling of gamete (egg and sperm) donors and gestational surrogates may be helpful in guiding care of uterus donors and recipients.</w:t>
      </w:r>
    </w:p>
    <w:p w14:paraId="3706553F" w14:textId="361BA720"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success of deceased donor uterus transplantation has raised questions regarding the justifiability of living uterus donation, given that the risks to the living donor may be avoided by use of deceased donors.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{"citationItems":[{"id":"ITEM-1","itemData":{"DOI":"10.1111/ajt.14086","ISSN":"16006143","PMID":"27754594","abstract":"The uterus is the most recent addition to the list of organs that can be successfully transplanted in humans. This article analyzes living donor uterus transplantation according to the ethical principle of equipoise. A comparison is made between living donor uterus transplantation and gestational surrogate motherhood. Both are solutions to absolute uterine infertility that allow the transfer of genetic material from intended parents to a child. The analysis concludes that living donor uterus transplantation does not violate the ethical principle of equipoise and should be considered an ethically acceptable solution to absolute uterine infertility.","author":[{"dropping-particle":"","family":"Testa","given":"Giuliano","non-dropping-particle":"","parse-names":false,"suffix":""},{"dropping-particle":"","family":"Koon","given":"E. C.","non-dropping-particle":"","parse-names":false,"suffix":""},{"dropping-particle":"","family":"Johannesson","given":"L.","non-dropping-particle":"","parse-names":false,"suffix":""}],"container-title":"American Journal of Transplantation","id":"ITEM-1","issue":"4","issued":{"date-parts":[["2017"]]},"page":"912-916","title":"Living Donor Uterus Transplant and Surrogacy: Ethical Analysis According to the Principle of Equipoise","type":"article-journal","volume":"17"},"uris":["http://www.mendeley.com/documents/?uuid=68ffb10e-d7a1-4126-97ff-da3eed48df55"]},{"id":"ITEM-2","itemData":{"DOI":"10.1080/15265161.2018.1478018.Uterus","ISBN":"2163684814","abstract":"Research teams have made considerable progress in treating absolute uterine factor infertility through uterus transplantation, though studies have differed on the choice of either deceased or living donors. While researchers continue to analyze the medical feasibility of both approaches, little attention has been paid to the ethics of using deceased versus living donors as well as the protections that must be in place for each. Both types of uterus donation also pose unique regulatory challenges, including how to allocate donated organs; whether the donor / donor’s family has any rights to the uterus and resulting child; how to manage contact between the donor / donor’s family, recipient, and resulting child; and how to track outcomes moving forward.","author":[{"dropping-particle":"","family":"Bruno","given":"Bethany","non-dropping-particle":"","parse-names":false,"suffix":""},{"dropping-particle":"","family":"Arora","given":"Kavita Shah","non-dropping-particle":"","parse-names":false,"suffix":""}],"container-title":"American Journal of Bioethics","id":"ITEM-2","issue":"7","issued":{"date-parts":[["2018"]]},"page":"6-15","title":"Uterus Transplantation: The Ethics of Using Deceased vs. Living Donors","type":"article-journal","volume":"18"},"uris":["http://www.mendeley.com/documents/?uuid=41970704-7ced-4601-8019-82d88f1df5c9"]}],"mendeley":{"formattedCitation":"(206,207)","plainTextFormattedCitation":"(206,207)","previouslyFormattedCitation":"(206,207)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(206,207)</w:t>
      </w:r>
      <w:r w:rsidRPr="006720E4">
        <w:rPr>
          <w:rFonts w:ascii="Calibri" w:hAnsi="Calibri" w:cs="Calibri"/>
          <w:sz w:val="22"/>
          <w:szCs w:val="22"/>
        </w:rPr>
        <w:fldChar w:fldCharType="end"/>
      </w:r>
      <w:r w:rsidRPr="006720E4">
        <w:rPr>
          <w:rFonts w:ascii="Calibri" w:hAnsi="Calibri" w:cs="Calibri"/>
          <w:sz w:val="22"/>
          <w:szCs w:val="22"/>
        </w:rPr>
        <w:t xml:space="preserve"> The currently limited activity in uterus transplantation means that there may be sufficient deceased donors available for transplants without requiring living donors. However, use of living donors has some potential advantages with regards to planning of transplantation and potentially with regards to clinical outcomes, and there may be insufficient numbers of clinically suitable deceased uterus donors if demand for uterus transplant expands.</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{"citationItems":[{"id":"ITEM-1","itemData":{"DOI":"10.1080/15265161.2018.1478018.Uterus","ISBN":"2163684814","abstract":"Research teams have made considerable progress in treating absolute uterine factor infertility through uterus transplantation, though studies have differed on the choice of either deceased or living donors. While researchers continue to analyze the medical feasibility of both approaches, little attention has been paid to the ethics of using deceased versus living donors as well as the protections that must be in place for each. Both types of uterus donation also pose unique regulatory challenges, including how to allocate donated organs; whether the donor / donor’s family has any rights to the uterus and resulting child; how to manage contact between the donor / donor’s family, recipient, and resulting child; and how to track outcomes moving forward.","author":[{"dropping-particle":"","family":"Bruno","given":"Bethany","non-dropping-particle":"","parse-names":false,"suffix":""},{"dropping-particle":"","family":"Arora","given":"Kavita Shah","non-dropping-particle":"","parse-names":false,"suffix":""}],"container-title":"American Journal of Bioethics","id":"ITEM-1","issue":"7","issued":{"date-parts":[["2018"]]},"page":"6-15","title":"Uterus Transplantation: The Ethics of Using Deceased vs. Living Donors","type":"article-journal","volume":"18"},"uris":["http://www.mendeley.com/documents/?uuid=41970704-7ced-4601-8019-82d88f1df5c9"]}],"mendeley":{"formattedCitation":"(207)","plainTextFormattedCitation":"(207)","previouslyFormattedCitation":"(207)"},"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(207)</w:t>
      </w:r>
      <w:r w:rsidRPr="006720E4">
        <w:rPr>
          <w:rFonts w:ascii="Calibri" w:hAnsi="Calibri" w:cs="Calibri"/>
          <w:sz w:val="22"/>
          <w:szCs w:val="22"/>
        </w:rPr>
        <w:fldChar w:fldCharType="end"/>
      </w:r>
    </w:p>
    <w:p w14:paraId="09011148" w14:textId="05C2C8F9" w:rsidR="006C6EBA" w:rsidRPr="006720E4" w:rsidRDefault="006C6EBA" w:rsidP="00EA22AE">
      <w:pPr>
        <w:pStyle w:val="Heading3"/>
        <w:spacing w:after="120"/>
      </w:pPr>
      <w:bookmarkStart w:id="5510" w:name="_Deceased_uterus_donation"/>
      <w:bookmarkStart w:id="5511" w:name="_Toc74080852"/>
      <w:bookmarkStart w:id="5512" w:name="_Toc74081160"/>
      <w:bookmarkStart w:id="5513" w:name="_Toc74081390"/>
      <w:bookmarkStart w:id="5514" w:name="_Toc74081675"/>
      <w:bookmarkStart w:id="5515" w:name="_Toc74171221"/>
      <w:bookmarkStart w:id="5516" w:name="_Toc74172452"/>
      <w:bookmarkStart w:id="5517" w:name="_Toc74172986"/>
      <w:bookmarkStart w:id="5518" w:name="_Toc74238895"/>
      <w:bookmarkStart w:id="5519" w:name="_Toc79406541"/>
      <w:bookmarkStart w:id="5520" w:name="_Toc82773775"/>
      <w:bookmarkStart w:id="5521" w:name="_Toc82774128"/>
      <w:bookmarkEnd w:id="5510"/>
      <w:r w:rsidRPr="006720E4">
        <w:t>Deceased uterus donation</w:t>
      </w:r>
      <w:bookmarkEnd w:id="5511"/>
      <w:bookmarkEnd w:id="5512"/>
      <w:bookmarkEnd w:id="5513"/>
      <w:bookmarkEnd w:id="5514"/>
      <w:bookmarkEnd w:id="5515"/>
      <w:bookmarkEnd w:id="5516"/>
      <w:bookmarkEnd w:id="5517"/>
      <w:bookmarkEnd w:id="5518"/>
      <w:bookmarkEnd w:id="5519"/>
      <w:bookmarkEnd w:id="5520"/>
      <w:bookmarkEnd w:id="5521"/>
      <w:r w:rsidRPr="006720E4">
        <w:t xml:space="preserve"> </w:t>
      </w:r>
    </w:p>
    <w:p w14:paraId="09009DE6" w14:textId="5BD6A471"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As a novel procedure that typically garners considerable public attention, uterus transplantation using uteri from deceased donors should entail additional considerations in </w:t>
      </w:r>
      <w:r w:rsidRPr="006720E4">
        <w:rPr>
          <w:rFonts w:ascii="Calibri" w:hAnsi="Calibri" w:cs="Calibri"/>
          <w:b/>
          <w:bCs/>
          <w:sz w:val="22"/>
          <w:szCs w:val="22"/>
        </w:rPr>
        <w:t>deceased donation decision-making.</w:t>
      </w:r>
      <w:r w:rsidRPr="006720E4">
        <w:rPr>
          <w:rFonts w:ascii="Calibri" w:hAnsi="Calibri" w:cs="Calibri"/>
          <w:sz w:val="22"/>
          <w:szCs w:val="22"/>
        </w:rPr>
        <w:t xml:space="preserve"> Donation decision-makers should have the option of declining or choosing to approve removal of the uterus for use in transplantation; they should also be made aware if there is </w:t>
      </w:r>
      <w:r w:rsidRPr="006720E4">
        <w:rPr>
          <w:rFonts w:ascii="Calibri" w:hAnsi="Calibri" w:cs="Calibri"/>
          <w:sz w:val="22"/>
          <w:szCs w:val="22"/>
        </w:rPr>
        <w:lastRenderedPageBreak/>
        <w:t xml:space="preserve">a risk that anonymity may be lost, and the identity of the donor or recipient may be revealed. If anonymity is lost or waived, specific counselling may be required to support donor families, particularly with regards to the potential psychological impact of learning that a child has been born as a result of the donation. </w:t>
      </w:r>
    </w:p>
    <w:p w14:paraId="77B63081" w14:textId="29355E56" w:rsidR="006C6EBA" w:rsidRPr="00063C6D" w:rsidRDefault="006C6EBA" w:rsidP="00EA22AE">
      <w:pPr>
        <w:spacing w:after="120"/>
        <w:rPr>
          <w:rFonts w:ascii="Calibri" w:hAnsi="Calibri" w:cs="Calibri"/>
          <w:sz w:val="22"/>
          <w:szCs w:val="22"/>
        </w:rPr>
      </w:pPr>
      <w:r w:rsidRPr="006720E4">
        <w:rPr>
          <w:rFonts w:ascii="Calibri" w:hAnsi="Calibri" w:cs="Calibri"/>
          <w:sz w:val="22"/>
          <w:szCs w:val="22"/>
        </w:rPr>
        <w:t xml:space="preserve">As uterus transplantation programs expand, specific criteria and allocation frameworks may be </w:t>
      </w:r>
      <w:r w:rsidRPr="00063C6D">
        <w:rPr>
          <w:rFonts w:ascii="Calibri" w:hAnsi="Calibri" w:cs="Calibri"/>
          <w:sz w:val="22"/>
          <w:szCs w:val="22"/>
        </w:rPr>
        <w:t xml:space="preserve">required to ensure equity in the allocation of deceased donor uteri, as discussed in </w:t>
      </w:r>
      <w:hyperlink w:anchor="_Allocation_of_uteri_1" w:history="1">
        <w:r w:rsidRPr="00063C6D">
          <w:rPr>
            <w:rStyle w:val="Hyperlink"/>
            <w:rFonts w:ascii="Calibri" w:hAnsi="Calibri" w:cs="Calibri"/>
            <w:sz w:val="22"/>
            <w:szCs w:val="22"/>
          </w:rPr>
          <w:t>Chapter 1</w:t>
        </w:r>
        <w:r w:rsidR="00063C6D" w:rsidRPr="00063C6D">
          <w:rPr>
            <w:rStyle w:val="Hyperlink"/>
            <w:rFonts w:ascii="Calibri" w:hAnsi="Calibri" w:cs="Calibri"/>
            <w:sz w:val="22"/>
            <w:szCs w:val="22"/>
          </w:rPr>
          <w:t>2</w:t>
        </w:r>
        <w:r w:rsidRPr="00063C6D">
          <w:rPr>
            <w:rStyle w:val="Hyperlink"/>
            <w:rFonts w:ascii="Calibri" w:hAnsi="Calibri" w:cs="Calibri"/>
            <w:sz w:val="22"/>
            <w:szCs w:val="22"/>
          </w:rPr>
          <w:t>.5.3.1</w:t>
        </w:r>
      </w:hyperlink>
      <w:r w:rsidRPr="00063C6D">
        <w:rPr>
          <w:rFonts w:ascii="Calibri" w:hAnsi="Calibri" w:cs="Calibri"/>
          <w:sz w:val="22"/>
          <w:szCs w:val="22"/>
        </w:rPr>
        <w:t xml:space="preserve">. </w:t>
      </w:r>
    </w:p>
    <w:p w14:paraId="236FCEA9" w14:textId="77777777" w:rsidR="006C6EBA" w:rsidRPr="00063C6D" w:rsidRDefault="006C6EBA" w:rsidP="00EA22AE">
      <w:pPr>
        <w:pStyle w:val="Heading4"/>
        <w:spacing w:after="120"/>
      </w:pPr>
      <w:bookmarkStart w:id="5522" w:name="_Allocation_of_uteri_1"/>
      <w:bookmarkStart w:id="5523" w:name="_Toc74081679"/>
      <w:bookmarkStart w:id="5524" w:name="_Toc74172456"/>
      <w:bookmarkStart w:id="5525" w:name="_Toc74172990"/>
      <w:bookmarkStart w:id="5526" w:name="_Toc82773776"/>
      <w:bookmarkStart w:id="5527" w:name="_Toc82774129"/>
      <w:bookmarkEnd w:id="5522"/>
      <w:r w:rsidRPr="00063C6D">
        <w:t>Allocation of uteri from deceased donors</w:t>
      </w:r>
      <w:bookmarkEnd w:id="5523"/>
      <w:bookmarkEnd w:id="5524"/>
      <w:bookmarkEnd w:id="5525"/>
      <w:bookmarkEnd w:id="5526"/>
      <w:bookmarkEnd w:id="5527"/>
      <w:r w:rsidRPr="00063C6D">
        <w:t xml:space="preserve"> </w:t>
      </w:r>
    </w:p>
    <w:p w14:paraId="1357DE5F" w14:textId="36DFC38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Specific guidelines for allocation of uteri from deceased donors should be developed. As a time-limited or ephemeral transplant procedure that aims to restore organ function for the purpose of achieving a specific goal – that of delivering a child or children – it may be reasonable to consider some non-clinical factors in organ allocation. For example, clinically suitable individuals with congenital absolute uterine factor infertility might be prioritised to receive a uterus transplant over other individuals who have successfully borne children prior to developing uterine factor infertility.</w:t>
      </w:r>
    </w:p>
    <w:p w14:paraId="2CFAA619" w14:textId="4E6C0F9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There is limited ethical guidance available with regards to specific allocation of ART resources including donor gametes. Use of ART is typically treated as a private domain in which the ability of individuals to access specific resources, including resources of human origin, is often largely determined by their personal financial resources or their ability to recruit living gamete donors or gestational surrogates. Nevertheless, the NHMRC outlines important principles that should help to guide the development of allocation guidelines for uterus transplantation. In particular, </w:t>
      </w:r>
    </w:p>
    <w:p w14:paraId="26C2E0C7" w14:textId="342F4985"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﻿3.7 Processes and policies for determining an individual’s or a couple’s eligibility to access ART services must be just, equitable, transparent and respectful of human dignity and the natural human rights of all persons, including the right to not be unlawfully or unreasonably discriminated against.</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10.1111/1471-0528.16685","ISSN":"14710528","PMID":"33660932","author":[{"dropping-particle":"","family":"Johannesson","given":"L.","non-dropping-particle":"","parse-names":false,"suffix":""},{"dropping-particle":"","family":"Wall","given":"A.","non-dropping-particle":"","parse-names":false,"suffix":""},{"dropping-particle":"","family":"Warren","given":"A. M.","non-dropping-particle":"","parse-names":false,"suffix":""},{"dropping-particle":"","family":"Gregg","given":"A. R.","non-dropping-particle":"","parse-names":false,"suffix":""},{"dropping-particle":"","family":"Testa","given":"G.","non-dropping-particle":"","parse-names":false,"suffix":""}],"container-title":"BJOG: An International Journal of Obstetrics and Gynaecology","id":"ITEM-1","issue":"Table 1","issued":{"date-parts":[["2021"]]},"page":"1-5","title":"Decisions on second pregnancy after uterus transplantation and timing for removal of the uterus—DUETS (Dallas UtErus Transplant Study)","type":"article-journal"},"uris":["http://www.mendeley.com/documents/?uuid=bfcc15b3-a470-4662-be03-a84ea0bb0cce"]}],"mendeley":{"formattedCitation":"(208)","plainTextFormattedCitation":"(208)","previouslyFormattedCitation":"(208)"},"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(208)</w:t>
      </w:r>
      <w:r w:rsidRPr="006720E4">
        <w:rPr>
          <w:rFonts w:ascii="Calibri" w:hAnsi="Calibri" w:cs="Calibri"/>
          <w:sz w:val="22"/>
          <w:szCs w:val="22"/>
        </w:rPr>
        <w:fldChar w:fldCharType="end"/>
      </w:r>
    </w:p>
    <w:p w14:paraId="1D360803" w14:textId="22A0203A" w:rsidR="006C6EBA" w:rsidRPr="006720E4" w:rsidRDefault="006C6EBA" w:rsidP="00EA22AE">
      <w:pPr>
        <w:pStyle w:val="Heading3"/>
        <w:spacing w:after="120"/>
      </w:pPr>
      <w:bookmarkStart w:id="5528" w:name="_Consideration_of_the"/>
      <w:bookmarkStart w:id="5529" w:name="_Toc74080854"/>
      <w:bookmarkStart w:id="5530" w:name="_Toc74081162"/>
      <w:bookmarkStart w:id="5531" w:name="_Toc74081392"/>
      <w:bookmarkStart w:id="5532" w:name="_Toc74081680"/>
      <w:bookmarkStart w:id="5533" w:name="_Toc74171223"/>
      <w:bookmarkStart w:id="5534" w:name="_Toc74172457"/>
      <w:bookmarkStart w:id="5535" w:name="_Toc74172991"/>
      <w:bookmarkStart w:id="5536" w:name="_Toc74238897"/>
      <w:bookmarkStart w:id="5537" w:name="_Toc79406542"/>
      <w:bookmarkStart w:id="5538" w:name="_Toc82773777"/>
      <w:bookmarkStart w:id="5539" w:name="_Toc82774130"/>
      <w:bookmarkEnd w:id="5528"/>
      <w:r w:rsidRPr="006720E4">
        <w:t>Consideration of the interests of children produced via uterus transplantation</w:t>
      </w:r>
      <w:bookmarkEnd w:id="5529"/>
      <w:bookmarkEnd w:id="5530"/>
      <w:bookmarkEnd w:id="5531"/>
      <w:bookmarkEnd w:id="5532"/>
      <w:bookmarkEnd w:id="5533"/>
      <w:bookmarkEnd w:id="5534"/>
      <w:bookmarkEnd w:id="5535"/>
      <w:bookmarkEnd w:id="5536"/>
      <w:bookmarkEnd w:id="5537"/>
      <w:bookmarkEnd w:id="5538"/>
      <w:bookmarkEnd w:id="5539"/>
    </w:p>
    <w:p w14:paraId="3CDE2D23" w14:textId="46DEC769"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As with other forms of ART, uterus transplantation and the associated procedures aimed at facilitating gestation and delivery of a child have implications not only for those undergoing fertility treatment but also for those children who may be created via the treatment.</w:t>
      </w:r>
    </w:p>
    <w:p w14:paraId="32766D95" w14:textId="6B94DDFC"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This means that when evaluating the risks and potential benefits of uterus transplantation, the potential benefits and risks of the various procedures for children who may be born via uterus transplantation must also be considered. </w:t>
      </w:r>
    </w:p>
    <w:p w14:paraId="0456CD1E" w14:textId="4914FA64" w:rsidR="006C6EBA" w:rsidRPr="006720E4" w:rsidRDefault="006C6EBA" w:rsidP="00EA22AE">
      <w:pPr>
        <w:pStyle w:val="Heading2"/>
        <w:spacing w:after="120"/>
      </w:pPr>
      <w:bookmarkStart w:id="5540" w:name="_Intersections_between_donation"/>
      <w:bookmarkStart w:id="5541" w:name="_Ethical_considerations_of"/>
      <w:bookmarkStart w:id="5542" w:name="_Toc74080855"/>
      <w:bookmarkStart w:id="5543" w:name="_Toc74081163"/>
      <w:bookmarkStart w:id="5544" w:name="_Toc74081393"/>
      <w:bookmarkStart w:id="5545" w:name="_Toc74081681"/>
      <w:bookmarkStart w:id="5546" w:name="_Toc74171224"/>
      <w:bookmarkStart w:id="5547" w:name="_Toc74172458"/>
      <w:bookmarkStart w:id="5548" w:name="_Toc74172992"/>
      <w:bookmarkStart w:id="5549" w:name="_Toc74238898"/>
      <w:bookmarkStart w:id="5550" w:name="_Toc78304825"/>
      <w:bookmarkStart w:id="5551" w:name="_Toc79330928"/>
      <w:bookmarkStart w:id="5552" w:name="_Toc79331308"/>
      <w:bookmarkStart w:id="5553" w:name="_Toc79406543"/>
      <w:bookmarkStart w:id="5554" w:name="_Toc82773778"/>
      <w:bookmarkStart w:id="5555" w:name="_Toc82774131"/>
      <w:bookmarkStart w:id="5556" w:name="_Toc128314255"/>
      <w:bookmarkStart w:id="5557" w:name="_Toc135131499"/>
      <w:bookmarkStart w:id="5558" w:name="_Toc70415018"/>
      <w:bookmarkStart w:id="5559" w:name="_Toc70844339"/>
      <w:bookmarkStart w:id="5560" w:name="_Toc70859051"/>
      <w:bookmarkStart w:id="5561" w:name="_Toc70861152"/>
      <w:bookmarkStart w:id="5562" w:name="_Toc70876638"/>
      <w:bookmarkStart w:id="5563" w:name="_Toc72615281"/>
      <w:bookmarkStart w:id="5564" w:name="_Toc73130005"/>
      <w:bookmarkStart w:id="5565" w:name="_Toc73301873"/>
      <w:bookmarkStart w:id="5566" w:name="_Toc73302379"/>
      <w:bookmarkStart w:id="5567" w:name="_Toc73303512"/>
      <w:bookmarkStart w:id="5568" w:name="_Toc73303719"/>
      <w:bookmarkStart w:id="5569" w:name="_Toc63683529"/>
      <w:bookmarkStart w:id="5570" w:name="_Toc70241879"/>
      <w:bookmarkStart w:id="5571" w:name="_Toc70243514"/>
      <w:bookmarkStart w:id="5572" w:name="_Toc70328792"/>
      <w:bookmarkStart w:id="5573" w:name="_Toc70334022"/>
      <w:bookmarkEnd w:id="5540"/>
      <w:bookmarkEnd w:id="5541"/>
      <w:r w:rsidRPr="006720E4">
        <w:t>Ethical considerations of vascular composite allografts</w:t>
      </w:r>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p>
    <w:p w14:paraId="11079F2A" w14:textId="7F70E13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Transplantation of specific vascular composite allografts such as face and limb transplants are rare in Australia and internationally. Like uterus transplants, these transplants require specific ethical guidance to address potential concerns regarding</w:t>
      </w:r>
      <w:r w:rsidR="00063C6D">
        <w:rPr>
          <w:rFonts w:ascii="Calibri" w:hAnsi="Calibri" w:cs="Calibri"/>
          <w:sz w:val="22"/>
          <w:szCs w:val="22"/>
        </w:rPr>
        <w:t>:</w:t>
      </w:r>
    </w:p>
    <w:p w14:paraId="6C71C8A0" w14:textId="77777777" w:rsidR="006C6EBA" w:rsidRPr="006720E4" w:rsidRDefault="006C6EBA" w:rsidP="00C3783C">
      <w:pPr>
        <w:pStyle w:val="ListParagraph"/>
        <w:numPr>
          <w:ilvl w:val="0"/>
          <w:numId w:val="41"/>
        </w:numPr>
        <w:spacing w:after="120"/>
        <w:contextualSpacing w:val="0"/>
        <w:rPr>
          <w:rFonts w:cs="Calibri"/>
          <w:szCs w:val="22"/>
        </w:rPr>
      </w:pPr>
      <w:r w:rsidRPr="006720E4">
        <w:rPr>
          <w:rFonts w:cs="Calibri"/>
          <w:szCs w:val="22"/>
        </w:rPr>
        <w:t xml:space="preserve">the proportionality of risks and potential benefits of the graft, </w:t>
      </w:r>
    </w:p>
    <w:p w14:paraId="642A8F12" w14:textId="694F7A86" w:rsidR="006C6EBA" w:rsidRPr="006720E4" w:rsidRDefault="006C6EBA" w:rsidP="00C3783C">
      <w:pPr>
        <w:pStyle w:val="ListParagraph"/>
        <w:numPr>
          <w:ilvl w:val="0"/>
          <w:numId w:val="41"/>
        </w:numPr>
        <w:spacing w:after="120"/>
        <w:contextualSpacing w:val="0"/>
        <w:rPr>
          <w:rFonts w:cs="Calibri"/>
          <w:szCs w:val="22"/>
        </w:rPr>
      </w:pPr>
      <w:r w:rsidRPr="006720E4">
        <w:rPr>
          <w:rFonts w:cs="Calibri"/>
          <w:szCs w:val="22"/>
        </w:rPr>
        <w:t>preservation of anonymity in deceased donation and the privacy of the transplant recipient,</w:t>
      </w:r>
    </w:p>
    <w:p w14:paraId="4FBF8393" w14:textId="77777777" w:rsidR="006C6EBA" w:rsidRPr="006720E4" w:rsidRDefault="006C6EBA" w:rsidP="00C3783C">
      <w:pPr>
        <w:pStyle w:val="ListParagraph"/>
        <w:numPr>
          <w:ilvl w:val="0"/>
          <w:numId w:val="41"/>
        </w:numPr>
        <w:spacing w:after="120"/>
        <w:contextualSpacing w:val="0"/>
        <w:rPr>
          <w:rFonts w:cs="Calibri"/>
          <w:szCs w:val="22"/>
        </w:rPr>
      </w:pPr>
      <w:r w:rsidRPr="006720E4">
        <w:rPr>
          <w:rFonts w:cs="Calibri"/>
          <w:szCs w:val="22"/>
        </w:rPr>
        <w:t>eligibility criteria for transplantation,</w:t>
      </w:r>
    </w:p>
    <w:p w14:paraId="012776AC" w14:textId="77777777" w:rsidR="006C6EBA" w:rsidRPr="006720E4" w:rsidRDefault="006C6EBA" w:rsidP="00C3783C">
      <w:pPr>
        <w:pStyle w:val="ListParagraph"/>
        <w:numPr>
          <w:ilvl w:val="0"/>
          <w:numId w:val="41"/>
        </w:numPr>
        <w:spacing w:after="120"/>
        <w:contextualSpacing w:val="0"/>
        <w:rPr>
          <w:rFonts w:cs="Calibri"/>
          <w:szCs w:val="22"/>
        </w:rPr>
      </w:pPr>
      <w:r w:rsidRPr="006720E4">
        <w:rPr>
          <w:rFonts w:cs="Calibri"/>
          <w:szCs w:val="22"/>
        </w:rPr>
        <w:t>allocation of donor tissues,</w:t>
      </w:r>
    </w:p>
    <w:p w14:paraId="620056E9" w14:textId="4DE8022C" w:rsidR="006C6EBA" w:rsidRPr="006720E4" w:rsidRDefault="006C6EBA" w:rsidP="00C3783C">
      <w:pPr>
        <w:pStyle w:val="ListParagraph"/>
        <w:numPr>
          <w:ilvl w:val="0"/>
          <w:numId w:val="41"/>
        </w:numPr>
        <w:spacing w:after="120"/>
        <w:contextualSpacing w:val="0"/>
        <w:rPr>
          <w:rFonts w:cs="Calibri"/>
          <w:szCs w:val="22"/>
        </w:rPr>
      </w:pPr>
      <w:r w:rsidRPr="006720E4">
        <w:rPr>
          <w:rFonts w:cs="Calibri"/>
          <w:szCs w:val="22"/>
        </w:rPr>
        <w:t xml:space="preserve">the innovative nature of the procedure, and the implications of this with regards to limitations of knowledge and clinical expertise, and potential conflicts of interest on the part of health professionals and healthcare </w:t>
      </w:r>
      <w:r w:rsidRPr="00063C6D">
        <w:rPr>
          <w:rFonts w:cs="Calibri"/>
          <w:szCs w:val="22"/>
        </w:rPr>
        <w:t xml:space="preserve">institutions (see </w:t>
      </w:r>
      <w:hyperlink w:anchor="_Innovative_transplantation_practice" w:history="1">
        <w:r w:rsidRPr="00063C6D">
          <w:rPr>
            <w:rStyle w:val="Hyperlink"/>
            <w:rFonts w:cs="Calibri"/>
            <w:szCs w:val="22"/>
          </w:rPr>
          <w:t>Chapter 1</w:t>
        </w:r>
        <w:r w:rsidR="00063C6D" w:rsidRPr="00063C6D">
          <w:rPr>
            <w:rStyle w:val="Hyperlink"/>
            <w:rFonts w:cs="Calibri"/>
            <w:szCs w:val="22"/>
          </w:rPr>
          <w:t>2</w:t>
        </w:r>
        <w:r w:rsidRPr="00063C6D">
          <w:rPr>
            <w:rStyle w:val="Hyperlink"/>
            <w:rFonts w:cs="Calibri"/>
            <w:szCs w:val="22"/>
          </w:rPr>
          <w:t>.7.1).</w:t>
        </w:r>
      </w:hyperlink>
    </w:p>
    <w:p w14:paraId="42130BD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When contemplating a novel or rare transplant procedure, health professionals should draw on existing ethical guidelines and discussions from the international experience, in addition to </w:t>
      </w:r>
      <w:r w:rsidRPr="006720E4">
        <w:rPr>
          <w:rFonts w:ascii="Calibri" w:hAnsi="Calibri" w:cs="Calibri"/>
          <w:sz w:val="22"/>
          <w:szCs w:val="22"/>
        </w:rPr>
        <w:lastRenderedPageBreak/>
        <w:t xml:space="preserve">international clinical expertise. Such guidelines and experience will require careful translation in the local </w:t>
      </w:r>
      <w:bookmarkStart w:id="5574" w:name="_Intersections_between_donation_1"/>
      <w:bookmarkStart w:id="5575" w:name="_Toc74080856"/>
      <w:bookmarkStart w:id="5576" w:name="_Toc74081164"/>
      <w:bookmarkStart w:id="5577" w:name="_Toc74081394"/>
      <w:bookmarkStart w:id="5578" w:name="_Toc74081682"/>
      <w:bookmarkStart w:id="5579" w:name="_Toc74171225"/>
      <w:bookmarkStart w:id="5580" w:name="_Toc74172459"/>
      <w:bookmarkStart w:id="5581" w:name="_Toc74172993"/>
      <w:bookmarkStart w:id="5582" w:name="_Toc74238899"/>
      <w:bookmarkStart w:id="5583" w:name="_Toc78304826"/>
      <w:bookmarkStart w:id="5584" w:name="_Toc79330929"/>
      <w:bookmarkStart w:id="5585" w:name="_Toc79331309"/>
      <w:bookmarkStart w:id="5586" w:name="_Toc79406544"/>
      <w:bookmarkEnd w:id="5574"/>
      <w:r w:rsidRPr="006720E4">
        <w:rPr>
          <w:rFonts w:ascii="Calibri" w:hAnsi="Calibri" w:cs="Calibri"/>
          <w:sz w:val="22"/>
          <w:szCs w:val="22"/>
        </w:rPr>
        <w:t>context and specific consideration of the individual(s) in whom the procedure is being considered.</w:t>
      </w:r>
    </w:p>
    <w:p w14:paraId="6FBA7C04" w14:textId="3D3730BA" w:rsidR="006C6EBA" w:rsidRPr="006720E4" w:rsidRDefault="006C6EBA" w:rsidP="00EA22AE">
      <w:pPr>
        <w:pStyle w:val="Heading2"/>
        <w:spacing w:after="120"/>
      </w:pPr>
      <w:bookmarkStart w:id="5587" w:name="_Intersections_between_donation_2"/>
      <w:bookmarkStart w:id="5588" w:name="_Toc82773779"/>
      <w:bookmarkStart w:id="5589" w:name="_Toc82774132"/>
      <w:bookmarkStart w:id="5590" w:name="_Toc128314256"/>
      <w:bookmarkStart w:id="5591" w:name="_Toc135131500"/>
      <w:bookmarkEnd w:id="5587"/>
      <w:r w:rsidRPr="006720E4">
        <w:t>Intersections between donation and transplantation and research</w:t>
      </w:r>
      <w:bookmarkEnd w:id="5558"/>
      <w:bookmarkEnd w:id="5559"/>
      <w:bookmarkEnd w:id="5560"/>
      <w:bookmarkEnd w:id="5561"/>
      <w:bookmarkEnd w:id="5562"/>
      <w:bookmarkEnd w:id="5563"/>
      <w:bookmarkEnd w:id="5564"/>
      <w:bookmarkEnd w:id="5565"/>
      <w:bookmarkEnd w:id="5566"/>
      <w:bookmarkEnd w:id="5567"/>
      <w:bookmarkEnd w:id="5568"/>
      <w:bookmarkEnd w:id="5575"/>
      <w:bookmarkEnd w:id="5576"/>
      <w:bookmarkEnd w:id="5577"/>
      <w:bookmarkEnd w:id="5578"/>
      <w:bookmarkEnd w:id="5579"/>
      <w:bookmarkEnd w:id="5580"/>
      <w:bookmarkEnd w:id="5581"/>
      <w:bookmarkEnd w:id="5582"/>
      <w:bookmarkEnd w:id="5583"/>
      <w:bookmarkEnd w:id="5584"/>
      <w:bookmarkEnd w:id="5585"/>
      <w:bookmarkEnd w:id="5586"/>
      <w:bookmarkEnd w:id="5588"/>
      <w:bookmarkEnd w:id="5589"/>
      <w:bookmarkEnd w:id="5590"/>
      <w:bookmarkEnd w:id="5591"/>
    </w:p>
    <w:p w14:paraId="60348CC7" w14:textId="2E074EC3"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Consideration of ethical issues with regards to research in donation and transplantation or donation of cells, tissues or organs for use in research are beyond the scope of these guidelines, and readers are referred to the NHMRC guidelines for the ethical conduct of human research.</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{"citationItems":[{"id":"ITEM-1","itemData":{"ISBN":"9788578110796","ISSN":"1098-6596","PMID":"25246403","author":[{"dropping-particle":"","family":"National Health and Medical Research Council (NHMRC)","given":"","non-dropping-particle":"","parse-names":false,"suffix":""}],"id":"ITEM-1","issued":{"date-parts":[["2017"]]},"title":"Ethical guidelines on the use of assisted technology in clinical practice and research","type":"report"},"uris":["http://www.mendeley.com/documents/?uuid=eb53c000-5324-4706-90ce-7766d33421e1"]},{"id":"ITEM-2","itemData":{"ISBN":"9781864960136","ISSN":"0164-7989","abstract":"This document updates the 2003 guidelines 'Values and ethics: guidelines on ethical conduct in Aboriginal and Torres Strait Islander health research.' They provide a set of principles to ensure research is safe, respectful, responsible, high quality and of benefit to Aboriginal and Torres Strait Islander people and communities. They work with the National Statement on Ethical Conduct in Human Research and the Australian Code for the Responsible Conduct of Research by providing more specific information. A companion document has been produced, 'Keeping research on track II', which provides advice on how these values and principles can be put into practice in research.","author":[{"dropping-particle":"","family":"National Health and Medical Research Council (NHMRC)","given":"","non-dropping-particle":"","parse-names":false,"suffix":""}],"id":"ITEM-2","issued":{"date-parts":[["2018"]]},"title":"Ethical conduct in research with Aboriginal and Torres Strait Islander Peoples and communities: Guidelines for researchers and stakeholders","type":"report"},"uris":["http://www.mendeley.com/documents/?uuid=bb1b71ff-10f9-4c82-bd6f-ef9944f31fc3"]}],"mendeley":{"formattedCitation":"(16,196)","plainTextFormattedCitation":"(16,196)","previouslyFormattedCitation":"(16,196)"},"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(16,196)</w:t>
      </w:r>
      <w:r w:rsidRPr="006720E4">
        <w:rPr>
          <w:rFonts w:ascii="Calibri" w:hAnsi="Calibri" w:cs="Calibri"/>
          <w:sz w:val="22"/>
          <w:szCs w:val="22"/>
        </w:rPr>
        <w:fldChar w:fldCharType="end"/>
      </w:r>
    </w:p>
    <w:p w14:paraId="5B099AB6" w14:textId="4906374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However, research activities may sometimes intersect with routine donation and transplantation activities in ways that may occasionally create ethical uncertainty, or that may require specific ethical attention. Some of these are briefly highlighted below. Ethical considerations of research involving data collected during routine donation and transplantation activities are also briefly noted </w:t>
      </w:r>
      <w:r w:rsidRPr="00EE04DB">
        <w:rPr>
          <w:rFonts w:ascii="Calibri" w:hAnsi="Calibri" w:cs="Calibri"/>
          <w:sz w:val="22"/>
          <w:szCs w:val="22"/>
        </w:rPr>
        <w:t xml:space="preserve">in </w:t>
      </w:r>
      <w:hyperlink w:anchor="_Use_of_registry" w:history="1">
        <w:r w:rsidRPr="00EE04DB">
          <w:rPr>
            <w:rStyle w:val="Hyperlink"/>
            <w:rFonts w:ascii="Calibri" w:hAnsi="Calibri" w:cs="Calibri"/>
            <w:sz w:val="22"/>
            <w:szCs w:val="22"/>
          </w:rPr>
          <w:t xml:space="preserve">Chapter </w:t>
        </w:r>
        <w:r w:rsidR="00EE04DB" w:rsidRPr="00EE04DB">
          <w:rPr>
            <w:rStyle w:val="Hyperlink"/>
            <w:rFonts w:ascii="Calibri" w:hAnsi="Calibri" w:cs="Calibri"/>
            <w:sz w:val="22"/>
            <w:szCs w:val="22"/>
          </w:rPr>
          <w:t>7</w:t>
        </w:r>
        <w:r w:rsidRPr="00EE04DB">
          <w:rPr>
            <w:rStyle w:val="Hyperlink"/>
            <w:rFonts w:ascii="Calibri" w:hAnsi="Calibri" w:cs="Calibri"/>
            <w:sz w:val="22"/>
            <w:szCs w:val="22"/>
          </w:rPr>
          <w:t>.4.1.1</w:t>
        </w:r>
      </w:hyperlink>
      <w:r w:rsidR="00BD74BE">
        <w:rPr>
          <w:rStyle w:val="Hyperlink"/>
          <w:rFonts w:ascii="Calibri" w:hAnsi="Calibri" w:cs="Calibri"/>
          <w:sz w:val="22"/>
          <w:szCs w:val="22"/>
        </w:rPr>
        <w:t>.</w:t>
      </w:r>
    </w:p>
    <w:p w14:paraId="1A8131F4" w14:textId="2A6E3318" w:rsidR="006C6EBA" w:rsidRPr="006720E4" w:rsidRDefault="006C6EBA" w:rsidP="00EA22AE">
      <w:pPr>
        <w:pStyle w:val="Heading3"/>
        <w:spacing w:after="120"/>
      </w:pPr>
      <w:bookmarkStart w:id="5592" w:name="_Innovative_transplantation_practice"/>
      <w:bookmarkStart w:id="5593" w:name="_Toc73130006"/>
      <w:bookmarkStart w:id="5594" w:name="_Toc73301874"/>
      <w:bookmarkStart w:id="5595" w:name="_Toc73302380"/>
      <w:bookmarkStart w:id="5596" w:name="_Toc73303513"/>
      <w:bookmarkStart w:id="5597" w:name="_Toc73303720"/>
      <w:bookmarkStart w:id="5598" w:name="_Toc74080857"/>
      <w:bookmarkStart w:id="5599" w:name="_Toc74081165"/>
      <w:bookmarkStart w:id="5600" w:name="_Toc74081395"/>
      <w:bookmarkStart w:id="5601" w:name="_Toc74081683"/>
      <w:bookmarkStart w:id="5602" w:name="_Toc74171226"/>
      <w:bookmarkStart w:id="5603" w:name="_Toc74172460"/>
      <w:bookmarkStart w:id="5604" w:name="_Toc74172994"/>
      <w:bookmarkStart w:id="5605" w:name="_Toc74238900"/>
      <w:bookmarkStart w:id="5606" w:name="_Toc79406545"/>
      <w:bookmarkStart w:id="5607" w:name="_Toc82773780"/>
      <w:bookmarkStart w:id="5608" w:name="_Toc82774133"/>
      <w:bookmarkEnd w:id="5592"/>
      <w:r w:rsidRPr="006720E4">
        <w:t>Innovative transplantation practice and research</w:t>
      </w:r>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p>
    <w:p w14:paraId="69661E74" w14:textId="484B63CA"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Donation and transplantation are rapidly evolving fields, with new technologies and techniques emerging or changing as part of efforts to improve the availability of transplants and also the quality of donation and transplantation outcomes. Some new developments may be introduced in clinical practice via medical or surgical innovation pathways rather than via formally conducted clinical trials </w:t>
      </w:r>
      <w:r w:rsidRPr="00EE04DB">
        <w:rPr>
          <w:rFonts w:ascii="Calibri" w:hAnsi="Calibri" w:cs="Calibri"/>
          <w:sz w:val="22"/>
          <w:szCs w:val="22"/>
        </w:rPr>
        <w:t xml:space="preserve">(see </w:t>
      </w:r>
      <w:hyperlink w:anchor="_Ethical_approaches_to" w:history="1">
        <w:r w:rsidRPr="00EE04DB">
          <w:rPr>
            <w:rStyle w:val="Hyperlink"/>
            <w:rFonts w:ascii="Calibri" w:hAnsi="Calibri" w:cs="Calibri"/>
            <w:sz w:val="22"/>
            <w:szCs w:val="22"/>
          </w:rPr>
          <w:t>Chapter 1</w:t>
        </w:r>
        <w:r w:rsidR="00EE04DB" w:rsidRPr="00EE04DB">
          <w:rPr>
            <w:rStyle w:val="Hyperlink"/>
            <w:rFonts w:ascii="Calibri" w:hAnsi="Calibri" w:cs="Calibri"/>
            <w:sz w:val="22"/>
            <w:szCs w:val="22"/>
          </w:rPr>
          <w:t>2</w:t>
        </w:r>
        <w:r w:rsidRPr="00EE04DB">
          <w:rPr>
            <w:rStyle w:val="Hyperlink"/>
            <w:rFonts w:ascii="Calibri" w:hAnsi="Calibri" w:cs="Calibri"/>
            <w:sz w:val="22"/>
            <w:szCs w:val="22"/>
          </w:rPr>
          <w:t>.7.1.1</w:t>
        </w:r>
      </w:hyperlink>
      <w:r w:rsidRPr="00EE04DB">
        <w:rPr>
          <w:rFonts w:ascii="Calibri" w:hAnsi="Calibri" w:cs="Calibri"/>
          <w:sz w:val="22"/>
          <w:szCs w:val="22"/>
        </w:rPr>
        <w:t>).</w:t>
      </w:r>
      <w:r w:rsidRPr="00EE04DB">
        <w:rPr>
          <w:rFonts w:ascii="Calibri" w:hAnsi="Calibri" w:cs="Calibri"/>
          <w:sz w:val="22"/>
          <w:szCs w:val="22"/>
        </w:rPr>
        <w:fldChar w:fldCharType="begin" w:fldLock="1"/>
      </w:r>
      <w:r w:rsidR="002B5DD4" w:rsidRPr="00EE04DB">
        <w:rPr>
          <w:rFonts w:ascii="Calibri" w:hAnsi="Calibri" w:cs="Calibri"/>
          <w:sz w:val="22"/>
          <w:szCs w:val="22"/>
        </w:rPr>
        <w:instrText>ADDIN CSL_CITATION {"citationItems":[{"id":"ITEM-1","itemData":{"ISBN":"1864962690","abstract":"(Chapter 4.7 adresses Aboriginal and Torres Islander poeples specifically. Pages 77 - 80). Its content reflects the outcome of wide consultation with Australian communities who participate in, design, conduct, fund, manage and publish human research. Research governance The National Statement should be seen in the broader context of overall governance of research. It not only provides guidelines for researchers, Human Research Ethics Committees (HRECs) and others conducting ethical review of research, but also emphasises institutions’ responsibilities for the quality, safety and ethical acceptability of research that they sponsor or permit to be carried out under their auspices. Responsibility for the ethical design, review and conduct of human research is in fact exercised at many levels, by: researchers (and where relevant their supervisors); HRECs and others conducting","author":[{"dropping-particle":"","family":"National Health and Medical Research Council (NHMRC)","given":"","non-dropping-particle":"","parse-names":false,"suffix":""}],"id":"ITEM-1","issued":{"date-parts":[["0"]]},"title":"Conduct in human research national statement on ethical conduct in human research","type":"report"},"uris":["http://www.mendeley.com/documents/?uuid=75db90a3-b445-477e-9a4e-65a9f9f71f9d"]}],"mendeley":{"formattedCitation":"(17)","plainTextFormattedCitation":"(17)","previouslyFormattedCitation":"(17)"},"properties":{"noteIndex":0},"schema":"https://github.com/citation-style-language/schema/raw/master/csl-citation.json"}</w:instrText>
      </w:r>
      <w:r w:rsidRPr="00EE04DB">
        <w:rPr>
          <w:rFonts w:ascii="Calibri" w:hAnsi="Calibri" w:cs="Calibri"/>
          <w:sz w:val="22"/>
          <w:szCs w:val="22"/>
        </w:rPr>
        <w:fldChar w:fldCharType="separate"/>
      </w:r>
      <w:r w:rsidR="00485565" w:rsidRPr="00EE04DB">
        <w:rPr>
          <w:rFonts w:ascii="Calibri" w:hAnsi="Calibri" w:cs="Calibri"/>
          <w:noProof/>
          <w:sz w:val="22"/>
          <w:szCs w:val="22"/>
        </w:rPr>
        <w:t>(17)</w:t>
      </w:r>
      <w:r w:rsidRPr="00EE04DB">
        <w:rPr>
          <w:rFonts w:ascii="Calibri" w:hAnsi="Calibri" w:cs="Calibri"/>
          <w:sz w:val="22"/>
          <w:szCs w:val="22"/>
        </w:rPr>
        <w:fldChar w:fldCharType="end"/>
      </w:r>
      <w:r w:rsidRPr="006720E4">
        <w:rPr>
          <w:rFonts w:ascii="Calibri" w:hAnsi="Calibri" w:cs="Calibri"/>
          <w:sz w:val="22"/>
          <w:szCs w:val="22"/>
        </w:rPr>
        <w:t xml:space="preserve"> </w:t>
      </w:r>
    </w:p>
    <w:p w14:paraId="0DAB268E" w14:textId="19E4383F"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As the NHMRC guidelines for research note,</w:t>
      </w:r>
    </w:p>
    <w:p w14:paraId="79F2C3F7" w14:textId="634E7C36"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[T]he distinction between research and innovative clinical practice is [sometimes] unclear. For example, innovative clinical practice occurs on a spectrum from minor changes at the border of established practice that pose little change in risk to patient safety to novel interventions that should only be introduced as part of an ethically approved research protocol.</w:t>
      </w:r>
    </w:p>
    <w:p w14:paraId="7154C547" w14:textId="55000DB7"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 xml:space="preserve">Whether an innovative clinical practice should be undertaken only as clinical research may depend on the extent to which the procedure departs from established practice. Importantly, even if the introduction of an innovative practice falls within existing clinical guidance, its implementation and the associated collection of data for monitoring and reporting may require notification to the institution/s where the practice is taking place. </w:t>
      </w:r>
    </w:p>
    <w:p w14:paraId="5C211A05" w14:textId="10C9A318" w:rsidR="006C6EBA" w:rsidRPr="006720E4" w:rsidRDefault="006C6EBA" w:rsidP="00EA22AE">
      <w:pPr>
        <w:spacing w:after="120"/>
        <w:ind w:left="720"/>
        <w:rPr>
          <w:rFonts w:ascii="Calibri" w:hAnsi="Calibri" w:cs="Calibri"/>
          <w:sz w:val="22"/>
          <w:szCs w:val="22"/>
        </w:rPr>
      </w:pPr>
      <w:r w:rsidRPr="006720E4">
        <w:rPr>
          <w:rFonts w:ascii="Calibri" w:hAnsi="Calibri" w:cs="Calibri"/>
          <w:sz w:val="22"/>
          <w:szCs w:val="22"/>
        </w:rPr>
        <w:t>﻿When it is not clear whether an innovation should be implemented only as research, it may be necessary to seek advice from a Human Research Ethics Committee or other institutional review process on the review required for the new intervention.</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{"citationItems":[{"id":"ITEM-1","itemData":{"DOI":"10.1080/15265161.2019.1602175","ISSN":"15360075","PMID":"31135322","abstract":"Innovative practice occurs when a clinician provides something new, untested, or nonstandard to a patient in the course of clinical care, rather than as part of a research study. Commentators have noted that patients engaged in innovative practice are at significant risk of suffering harm, exploitation, or autonomy violations. By creating a pathway for harmful or nonbeneficial interventions to spread within medical practice without being subjected to rigorous scientific evaluation, innovative practice poses similar risks to the wider community of patients and society as a whole. Given these concerns, how should we control and oversee innovative practice, and in particular, how should we coordinate innovative practice and clinical research? In this article, I argue that an ethical approach overseeing innovative practice must encourage the early transition to rigorous clinical research without delaying or deferring the development of beneficial innovations or violating the autonomy rights of clinicians and their patients.","author":[{"dropping-particle":"","family":"Earl","given":"Jake","non-dropping-particle":"","parse-names":false,"suffix":""}],"container-title":"American Journal of Bioethics","id":"ITEM-1","issue":"6","issued":{"date-parts":[["2019"]]},"page":"7-18","publisher":"Taylor &amp; Francis","title":"Innovative Practice, Clinical Research, and the Ethical Advancement of Medicine","type":"article-journal","volume":"19"},"uris":["http://www.mendeley.com/documents/?uuid=a22ca764-8e4d-40dd-a3cc-eff34e205101"]}],"mendeley":{"formattedCitation":"(209)","plainTextFormattedCitation":"(209)","previouslyFormattedCitation":"(209)"},"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(209)</w:t>
      </w:r>
      <w:r w:rsidRPr="006720E4">
        <w:rPr>
          <w:rFonts w:ascii="Calibri" w:hAnsi="Calibri" w:cs="Calibri"/>
          <w:sz w:val="22"/>
          <w:szCs w:val="22"/>
        </w:rPr>
        <w:fldChar w:fldCharType="end"/>
      </w:r>
    </w:p>
    <w:p w14:paraId="7CF01AF0" w14:textId="77777777" w:rsidR="006C6EBA" w:rsidRPr="006720E4" w:rsidRDefault="006C6EBA" w:rsidP="00EA22AE">
      <w:pPr>
        <w:pStyle w:val="Heading4"/>
        <w:spacing w:after="120"/>
      </w:pPr>
      <w:bookmarkStart w:id="5609" w:name="_Ethical_approaches_to_1"/>
      <w:bookmarkEnd w:id="5609"/>
      <w:r w:rsidRPr="006720E4">
        <w:t xml:space="preserve"> </w:t>
      </w:r>
      <w:bookmarkStart w:id="5610" w:name="_Toc82773781"/>
      <w:bookmarkStart w:id="5611" w:name="_Toc82774134"/>
      <w:r w:rsidRPr="006720E4">
        <w:t>Ethical approaches to clinical innovations in donation and transplantation</w:t>
      </w:r>
      <w:bookmarkStart w:id="5612" w:name="_Toc79330930"/>
      <w:bookmarkStart w:id="5613" w:name="_Toc79331310"/>
      <w:bookmarkStart w:id="5614" w:name="_Toc79406546"/>
      <w:bookmarkStart w:id="5615" w:name="_Toc82623528"/>
      <w:bookmarkStart w:id="5616" w:name="_Toc79331196"/>
      <w:bookmarkStart w:id="5617" w:name="_Toc79406549"/>
      <w:bookmarkEnd w:id="5610"/>
      <w:bookmarkEnd w:id="5611"/>
      <w:bookmarkEnd w:id="5612"/>
      <w:bookmarkEnd w:id="5613"/>
      <w:bookmarkEnd w:id="5614"/>
      <w:bookmarkEnd w:id="5615"/>
      <w:bookmarkEnd w:id="5616"/>
      <w:bookmarkEnd w:id="5617"/>
    </w:p>
    <w:p w14:paraId="22466353" w14:textId="6DECB102" w:rsidR="006C6EBA" w:rsidRPr="006720E4" w:rsidRDefault="006C6EBA" w:rsidP="00EA22AE">
      <w:pPr>
        <w:spacing w:after="120"/>
        <w:rPr>
          <w:rFonts w:ascii="Calibri" w:hAnsi="Calibri" w:cs="Calibri"/>
          <w:sz w:val="22"/>
          <w:szCs w:val="22"/>
        </w:rPr>
      </w:pPr>
      <w:bookmarkStart w:id="5618" w:name="_Ethical_approaches_to"/>
      <w:bookmarkEnd w:id="5618"/>
      <w:r w:rsidRPr="006720E4">
        <w:rPr>
          <w:rFonts w:ascii="Calibri" w:hAnsi="Calibri" w:cs="Calibri"/>
          <w:sz w:val="22"/>
          <w:szCs w:val="22"/>
        </w:rPr>
        <w:t xml:space="preserve">When changes to donation or transplantation practices are introduced via the innovation pathway rather than clinical research, relevant institutional guidelines for ethical innovation in medicine or surgery should be followed. </w:t>
      </w:r>
    </w:p>
    <w:p w14:paraId="015D1DA1" w14:textId="77D062EE"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The following steps should be considered in the light of existing ethical frameworks for clinical innovations such as the IDEAL framework.</w:t>
      </w:r>
      <w:r w:rsidRPr="006720E4">
        <w:rPr>
          <w:rFonts w:ascii="Calibri" w:hAnsi="Calibri" w:cs="Calibri"/>
          <w:sz w:val="22"/>
          <w:szCs w:val="22"/>
        </w:rPr>
        <w:fldChar w:fldCharType="begin" w:fldLock="1"/>
      </w:r>
      <w:r w:rsidR="00EB088B">
        <w:rPr>
          <w:rFonts w:ascii="Calibri" w:hAnsi="Calibri" w:cs="Calibri"/>
          <w:sz w:val="22"/>
          <w:szCs w:val="22"/>
        </w:rPr>
        <w:instrText>ADDIN CSL_CITATION {"citationItems":[{"id":"ITEM-1","itemData":{"DOI":"10.1016/j.hlc.2015.02.008","ISBN":"9781925129595","ISSN":"14442892","PMID":"25766662","author":[{"dropping-particle":"","family":"NHMRC","given":"","non-dropping-particle":"","parse-names":false,"suffix":""}],"id":"ITEM-1","issued":{"date-parts":[["2016"]]},"title":"Ethical guidelines for organ transplantation from deceased donors","type":"report"},"uris":["http://www.mendeley.com/documents/?uuid=89187862-2e1c-4810-9905-6d3971e797ce"]}],"mendeley":{"formattedCitation":"(210)","plainTextFormattedCitation":"(210)","previouslyFormattedCitation":"(210)"},"properties":{"noteIndex":0},"schema":"https://github.com/citation-style-language/schema/raw/master/csl-citation.json"}</w:instrText>
      </w:r>
      <w:r w:rsidRPr="006720E4">
        <w:rPr>
          <w:rFonts w:ascii="Calibri" w:hAnsi="Calibri" w:cs="Calibri"/>
          <w:sz w:val="22"/>
          <w:szCs w:val="22"/>
        </w:rPr>
        <w:fldChar w:fldCharType="separate"/>
      </w:r>
      <w:r w:rsidR="00BA3D76" w:rsidRPr="00BA3D76">
        <w:rPr>
          <w:rFonts w:ascii="Calibri" w:hAnsi="Calibri" w:cs="Calibri"/>
          <w:noProof/>
          <w:sz w:val="22"/>
          <w:szCs w:val="22"/>
        </w:rPr>
        <w:t>(210)</w:t>
      </w:r>
      <w:r w:rsidRPr="006720E4">
        <w:rPr>
          <w:rFonts w:ascii="Calibri" w:hAnsi="Calibri" w:cs="Calibri"/>
          <w:sz w:val="22"/>
          <w:szCs w:val="22"/>
        </w:rPr>
        <w:fldChar w:fldCharType="end"/>
      </w:r>
    </w:p>
    <w:p w14:paraId="6C465EFC" w14:textId="735997DE" w:rsidR="006C6EBA" w:rsidRPr="006720E4" w:rsidRDefault="006C6EBA" w:rsidP="00C3783C">
      <w:pPr>
        <w:pStyle w:val="ListParagraph"/>
        <w:numPr>
          <w:ilvl w:val="0"/>
          <w:numId w:val="39"/>
        </w:numPr>
        <w:spacing w:after="120"/>
        <w:contextualSpacing w:val="0"/>
        <w:rPr>
          <w:rFonts w:cs="Calibri"/>
          <w:szCs w:val="22"/>
        </w:rPr>
      </w:pPr>
      <w:r w:rsidRPr="006720E4">
        <w:rPr>
          <w:rFonts w:cs="Calibri"/>
          <w:szCs w:val="22"/>
        </w:rPr>
        <w:t>The new procedure or practice – including changes to policies – should be independently reviewed by a suitably competent ethics board or committee at the relevant institution, professional organi</w:t>
      </w:r>
      <w:r w:rsidR="00B40543">
        <w:rPr>
          <w:rFonts w:cs="Calibri"/>
          <w:szCs w:val="22"/>
        </w:rPr>
        <w:t>s</w:t>
      </w:r>
      <w:r w:rsidRPr="006720E4">
        <w:rPr>
          <w:rFonts w:cs="Calibri"/>
          <w:szCs w:val="22"/>
        </w:rPr>
        <w:t>ation or health department.</w:t>
      </w:r>
    </w:p>
    <w:p w14:paraId="62B6DDE9" w14:textId="2C4F9309" w:rsidR="006C6EBA" w:rsidRPr="006720E4" w:rsidRDefault="006C6EBA" w:rsidP="00C3783C">
      <w:pPr>
        <w:pStyle w:val="ListParagraph"/>
        <w:numPr>
          <w:ilvl w:val="1"/>
          <w:numId w:val="39"/>
        </w:numPr>
        <w:spacing w:after="120"/>
        <w:contextualSpacing w:val="0"/>
        <w:rPr>
          <w:rFonts w:cs="Calibri"/>
          <w:szCs w:val="22"/>
        </w:rPr>
      </w:pPr>
      <w:r w:rsidRPr="006720E4">
        <w:rPr>
          <w:rFonts w:cs="Calibri"/>
          <w:szCs w:val="22"/>
        </w:rPr>
        <w:t>The methods and rationale of the innovation should be clear, and informed where possible by international experience or relevant research in related fields.</w:t>
      </w:r>
    </w:p>
    <w:p w14:paraId="1C6C1C79" w14:textId="77777777" w:rsidR="006C6EBA" w:rsidRPr="006720E4" w:rsidRDefault="006C6EBA" w:rsidP="00C3783C">
      <w:pPr>
        <w:pStyle w:val="ListParagraph"/>
        <w:numPr>
          <w:ilvl w:val="1"/>
          <w:numId w:val="39"/>
        </w:numPr>
        <w:spacing w:after="120"/>
        <w:contextualSpacing w:val="0"/>
        <w:rPr>
          <w:rFonts w:cs="Calibri"/>
          <w:szCs w:val="22"/>
        </w:rPr>
      </w:pPr>
      <w:r w:rsidRPr="006720E4">
        <w:rPr>
          <w:rFonts w:cs="Calibri"/>
          <w:szCs w:val="22"/>
        </w:rPr>
        <w:lastRenderedPageBreak/>
        <w:t>A process to monitor, evaluate and communicate the outcomes of the innovation should be established to ensure timely response to any unforeseen risks and to facilitate rapid translation of beneficial innovations.</w:t>
      </w:r>
    </w:p>
    <w:p w14:paraId="7A8D05DA" w14:textId="5C6FC47A" w:rsidR="006C6EBA" w:rsidRPr="006720E4" w:rsidRDefault="006C6EBA" w:rsidP="00C3783C">
      <w:pPr>
        <w:pStyle w:val="ListParagraph"/>
        <w:numPr>
          <w:ilvl w:val="1"/>
          <w:numId w:val="39"/>
        </w:numPr>
        <w:spacing w:after="120"/>
        <w:contextualSpacing w:val="0"/>
        <w:rPr>
          <w:rFonts w:cs="Calibri"/>
          <w:szCs w:val="22"/>
        </w:rPr>
      </w:pPr>
      <w:r w:rsidRPr="006720E4">
        <w:rPr>
          <w:rFonts w:cs="Calibri"/>
          <w:szCs w:val="22"/>
        </w:rPr>
        <w:t>Any potential conflicts of interest on the part of health professionals (and institutions</w:t>
      </w:r>
      <w:r w:rsidRPr="00EE04DB">
        <w:rPr>
          <w:rFonts w:cs="Calibri"/>
          <w:szCs w:val="22"/>
        </w:rPr>
        <w:t xml:space="preserve">) involved (see </w:t>
      </w:r>
      <w:hyperlink w:anchor="_Conflicts_of_interest" w:history="1">
        <w:r w:rsidRPr="00EE04DB">
          <w:rPr>
            <w:rStyle w:val="Hyperlink"/>
            <w:rFonts w:cs="Calibri"/>
            <w:szCs w:val="22"/>
          </w:rPr>
          <w:t xml:space="preserve">Chapter </w:t>
        </w:r>
        <w:r w:rsidR="00EE04DB" w:rsidRPr="00EE04DB">
          <w:rPr>
            <w:rStyle w:val="Hyperlink"/>
            <w:rFonts w:cs="Calibri"/>
            <w:szCs w:val="22"/>
          </w:rPr>
          <w:t>3.8</w:t>
        </w:r>
      </w:hyperlink>
      <w:r w:rsidRPr="00EE04DB">
        <w:rPr>
          <w:rStyle w:val="Hyperlink"/>
          <w:rFonts w:cs="Calibri"/>
          <w:szCs w:val="22"/>
        </w:rPr>
        <w:t>.</w:t>
      </w:r>
      <w:r w:rsidRPr="00EE04DB">
        <w:rPr>
          <w:rFonts w:cs="Calibri"/>
          <w:szCs w:val="22"/>
        </w:rPr>
        <w:t>) should be</w:t>
      </w:r>
      <w:r w:rsidRPr="006720E4">
        <w:rPr>
          <w:rFonts w:cs="Calibri"/>
          <w:szCs w:val="22"/>
        </w:rPr>
        <w:t xml:space="preserve"> carefully evaluated and mechanisms established to manage these.</w:t>
      </w:r>
    </w:p>
    <w:p w14:paraId="0F26695F" w14:textId="423FF0AC" w:rsidR="006C6EBA" w:rsidRPr="006720E4" w:rsidRDefault="006C6EBA" w:rsidP="00C3783C">
      <w:pPr>
        <w:pStyle w:val="ListParagraph"/>
        <w:numPr>
          <w:ilvl w:val="0"/>
          <w:numId w:val="39"/>
        </w:numPr>
        <w:spacing w:after="120"/>
        <w:contextualSpacing w:val="0"/>
        <w:rPr>
          <w:rFonts w:cs="Calibri"/>
          <w:szCs w:val="22"/>
        </w:rPr>
      </w:pPr>
      <w:r w:rsidRPr="006720E4">
        <w:rPr>
          <w:rFonts w:cs="Calibri"/>
          <w:szCs w:val="22"/>
        </w:rPr>
        <w:t>Advice should be sought from a human research ethics committee if there is uncertainty regarding whether the innovation constitutes research or if further ethical guidance is needed.</w:t>
      </w:r>
    </w:p>
    <w:p w14:paraId="4FA507A6" w14:textId="2A00C47D" w:rsidR="006C6EBA" w:rsidRPr="006720E4" w:rsidRDefault="006C6EBA" w:rsidP="00C3783C">
      <w:pPr>
        <w:pStyle w:val="ListParagraph"/>
        <w:numPr>
          <w:ilvl w:val="0"/>
          <w:numId w:val="39"/>
        </w:numPr>
        <w:spacing w:after="120"/>
        <w:contextualSpacing w:val="0"/>
        <w:rPr>
          <w:rFonts w:cs="Calibri"/>
          <w:szCs w:val="22"/>
        </w:rPr>
      </w:pPr>
      <w:r w:rsidRPr="006720E4">
        <w:rPr>
          <w:rFonts w:cs="Calibri"/>
          <w:szCs w:val="22"/>
        </w:rPr>
        <w:t>Individuals who may be impacted by innovations, such as potential donors or recipients (or their substitute decision-makers), should be informed of the innovation and its risks and potential benefits when consent is obtained and the implications of any limitations of knowledge regarding the innovation should be explained.</w:t>
      </w:r>
    </w:p>
    <w:p w14:paraId="0923569B" w14:textId="7A7EA641" w:rsidR="006C6EBA" w:rsidRPr="006720E4" w:rsidRDefault="006C6EBA" w:rsidP="00C3783C">
      <w:pPr>
        <w:pStyle w:val="ListParagraph"/>
        <w:numPr>
          <w:ilvl w:val="0"/>
          <w:numId w:val="39"/>
        </w:numPr>
        <w:spacing w:after="120"/>
        <w:contextualSpacing w:val="0"/>
        <w:rPr>
          <w:rFonts w:cs="Calibri"/>
          <w:szCs w:val="22"/>
        </w:rPr>
      </w:pPr>
      <w:r w:rsidRPr="006720E4">
        <w:rPr>
          <w:rFonts w:cs="Calibri"/>
          <w:szCs w:val="22"/>
        </w:rPr>
        <w:t>Plans to convert the trial of an innovation to a clinical research study should be implemented early to ensure that a robust evidence base is developed even as innovations may be rapidly and widely adopted. These plans should include long term monitoring of outcomes where relevant.</w:t>
      </w:r>
    </w:p>
    <w:p w14:paraId="2BBE2FFB" w14:textId="67BD0A51" w:rsidR="006C6EBA" w:rsidRPr="006720E4" w:rsidRDefault="006C6EBA" w:rsidP="00EA22AE">
      <w:pPr>
        <w:pStyle w:val="Heading3"/>
        <w:spacing w:after="120"/>
      </w:pPr>
      <w:bookmarkStart w:id="5619" w:name="_Opportunities_to_participate"/>
      <w:bookmarkStart w:id="5620" w:name="_Toc74080858"/>
      <w:bookmarkStart w:id="5621" w:name="_Toc74081166"/>
      <w:bookmarkStart w:id="5622" w:name="_Toc74081396"/>
      <w:bookmarkStart w:id="5623" w:name="_Toc74081684"/>
      <w:bookmarkStart w:id="5624" w:name="_Toc74171227"/>
      <w:bookmarkStart w:id="5625" w:name="_Toc74172461"/>
      <w:bookmarkStart w:id="5626" w:name="_Toc74172995"/>
      <w:bookmarkStart w:id="5627" w:name="_Toc74238901"/>
      <w:bookmarkStart w:id="5628" w:name="_Toc79406550"/>
      <w:bookmarkEnd w:id="5619"/>
      <w:r w:rsidRPr="006720E4">
        <w:t xml:space="preserve"> </w:t>
      </w:r>
      <w:bookmarkStart w:id="5629" w:name="_Toc82773782"/>
      <w:bookmarkStart w:id="5630" w:name="_Toc82774135"/>
      <w:r w:rsidRPr="006720E4">
        <w:t>Opportunities to participate in research at the time of donation or transplantation decision-making</w:t>
      </w:r>
      <w:bookmarkEnd w:id="5620"/>
      <w:bookmarkEnd w:id="5621"/>
      <w:bookmarkEnd w:id="5622"/>
      <w:bookmarkEnd w:id="5623"/>
      <w:bookmarkEnd w:id="5624"/>
      <w:bookmarkEnd w:id="5625"/>
      <w:bookmarkEnd w:id="5626"/>
      <w:bookmarkEnd w:id="5627"/>
      <w:bookmarkEnd w:id="5628"/>
      <w:bookmarkEnd w:id="5629"/>
      <w:bookmarkEnd w:id="5630"/>
    </w:p>
    <w:p w14:paraId="3A438873" w14:textId="5A41A542"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Discussion of potential opportunities to participate in research may be an important component of discussions relating to donation or transplantation decision-making in several contexts:</w:t>
      </w:r>
    </w:p>
    <w:p w14:paraId="4BD67C91" w14:textId="236DBB08" w:rsidR="006C6EBA" w:rsidRPr="006720E4" w:rsidRDefault="006C6EBA" w:rsidP="00C3783C">
      <w:pPr>
        <w:pStyle w:val="ListParagraph"/>
        <w:numPr>
          <w:ilvl w:val="0"/>
          <w:numId w:val="40"/>
        </w:numPr>
        <w:spacing w:after="120"/>
        <w:contextualSpacing w:val="0"/>
        <w:rPr>
          <w:rFonts w:cs="Calibri"/>
          <w:szCs w:val="22"/>
        </w:rPr>
      </w:pPr>
      <w:r w:rsidRPr="006720E4">
        <w:rPr>
          <w:rFonts w:cs="Calibri"/>
          <w:szCs w:val="22"/>
        </w:rPr>
        <w:t>Potential donors (or their substitute decision-makers) may be asked to choose whether donated cells, tissues or organs can be used in research if they are not suitable for transplantation.</w:t>
      </w:r>
    </w:p>
    <w:p w14:paraId="7E75A9E1" w14:textId="5AC78826" w:rsidR="006C6EBA" w:rsidRPr="006720E4" w:rsidRDefault="006C6EBA" w:rsidP="00C3783C">
      <w:pPr>
        <w:pStyle w:val="ListParagraph"/>
        <w:numPr>
          <w:ilvl w:val="0"/>
          <w:numId w:val="40"/>
        </w:numPr>
        <w:spacing w:after="120"/>
        <w:contextualSpacing w:val="0"/>
        <w:rPr>
          <w:rFonts w:cs="Calibri"/>
          <w:szCs w:val="22"/>
        </w:rPr>
      </w:pPr>
      <w:r w:rsidRPr="006720E4">
        <w:rPr>
          <w:rFonts w:cs="Calibri"/>
          <w:szCs w:val="22"/>
        </w:rPr>
        <w:t>Potential donors (or their substitute decision-makers) may be asked to choose if information or biological materials collected at the time of donor registration (e.g., in the case of HSC donation) or evaluation (e.g., in the case of deceased donation) may be used for research purposes.</w:t>
      </w:r>
    </w:p>
    <w:p w14:paraId="03030977" w14:textId="33BEFEBC" w:rsidR="006C6EBA" w:rsidRPr="006720E4" w:rsidRDefault="006C6EBA" w:rsidP="00C3783C">
      <w:pPr>
        <w:pStyle w:val="ListParagraph"/>
        <w:numPr>
          <w:ilvl w:val="0"/>
          <w:numId w:val="40"/>
        </w:numPr>
        <w:spacing w:after="120"/>
        <w:contextualSpacing w:val="0"/>
        <w:rPr>
          <w:rFonts w:cs="Calibri"/>
          <w:szCs w:val="22"/>
        </w:rPr>
      </w:pPr>
      <w:r w:rsidRPr="006720E4">
        <w:rPr>
          <w:rFonts w:cs="Calibri"/>
          <w:szCs w:val="22"/>
        </w:rPr>
        <w:t>Potential donors (or their substitute decision-makers) may be asked to choose if they are willing to participate in research relating to donation, such as trials of clinical interventions aimed at improving donation or transplantation outcomes.</w:t>
      </w:r>
    </w:p>
    <w:p w14:paraId="268EBCED" w14:textId="3272E23E" w:rsidR="006C6EBA" w:rsidRPr="006720E4" w:rsidRDefault="006C6EBA" w:rsidP="00C3783C">
      <w:pPr>
        <w:pStyle w:val="ListParagraph"/>
        <w:numPr>
          <w:ilvl w:val="0"/>
          <w:numId w:val="40"/>
        </w:numPr>
        <w:spacing w:after="120"/>
        <w:contextualSpacing w:val="0"/>
        <w:rPr>
          <w:rFonts w:cs="Calibri"/>
          <w:szCs w:val="22"/>
        </w:rPr>
      </w:pPr>
      <w:r w:rsidRPr="006720E4">
        <w:rPr>
          <w:rFonts w:cs="Calibri"/>
          <w:szCs w:val="22"/>
        </w:rPr>
        <w:t>Prospective transplant recipients may be asked for consent to participate in a clinical trial involving transplantation, or may be offered the opportunity to participate in a research study after receiving a transplant.</w:t>
      </w:r>
    </w:p>
    <w:p w14:paraId="4CF28766" w14:textId="475D1E04"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 xml:space="preserve">It is important that donation and transplantation decisions are separated, where possible, from decision-making about participation in research. Potential conflicts of interest may arise, for example, when those responsible for supporting donation or transplantation decision-making are also involved in research or recruitment for research. It is essential to ensuring that ethical guidelines for research are followed, and that appropriate mechanisms are in place to manage potential conflicts of interest that may influence decision-making about donation or research participation. </w:t>
      </w:r>
    </w:p>
    <w:p w14:paraId="0F41207C" w14:textId="77777777" w:rsidR="006C6EBA" w:rsidRPr="006720E4" w:rsidRDefault="006C6EBA" w:rsidP="00EA22AE">
      <w:pPr>
        <w:spacing w:after="120"/>
        <w:rPr>
          <w:rFonts w:ascii="Calibri" w:hAnsi="Calibri" w:cs="Calibri"/>
          <w:sz w:val="22"/>
          <w:szCs w:val="22"/>
        </w:rPr>
      </w:pPr>
    </w:p>
    <w:p w14:paraId="6B75754C" w14:textId="40E6DD49" w:rsidR="009C2EF0" w:rsidRPr="00080A0A" w:rsidRDefault="0081350D" w:rsidP="00EA22AE">
      <w:pPr>
        <w:spacing w:after="120"/>
        <w:rPr>
          <w:rFonts w:ascii="Calibri" w:hAnsi="Calibri" w:cs="Calibri"/>
          <w:sz w:val="22"/>
          <w:highlight w:val="yellow"/>
        </w:rPr>
      </w:pPr>
      <w:r>
        <w:rPr>
          <w:rFonts w:cs="Calibri"/>
          <w:highlight w:val="yellow"/>
        </w:rPr>
        <w:br w:type="page"/>
      </w:r>
      <w:bookmarkStart w:id="5631" w:name="_Ethical_recommendations_for"/>
      <w:bookmarkStart w:id="5632" w:name="_Glossary_1"/>
      <w:bookmarkStart w:id="5633" w:name="_Glossary"/>
      <w:bookmarkStart w:id="5634" w:name="_Toc70334023"/>
      <w:bookmarkStart w:id="5635" w:name="_Toc70415029"/>
      <w:bookmarkStart w:id="5636" w:name="_Toc70844350"/>
      <w:bookmarkStart w:id="5637" w:name="_Toc70859056"/>
      <w:bookmarkStart w:id="5638" w:name="_Toc70861157"/>
      <w:bookmarkStart w:id="5639" w:name="_Toc70876643"/>
      <w:bookmarkStart w:id="5640" w:name="_Toc72615288"/>
      <w:bookmarkStart w:id="5641" w:name="_Toc73130014"/>
      <w:bookmarkStart w:id="5642" w:name="_Toc73301880"/>
      <w:bookmarkStart w:id="5643" w:name="_Toc73302386"/>
      <w:bookmarkStart w:id="5644" w:name="_Toc73303519"/>
      <w:bookmarkStart w:id="5645" w:name="_Toc73303726"/>
      <w:bookmarkStart w:id="5646" w:name="_Toc74080865"/>
      <w:bookmarkStart w:id="5647" w:name="_Toc74081173"/>
      <w:bookmarkStart w:id="5648" w:name="_Toc74081403"/>
      <w:bookmarkStart w:id="5649" w:name="_Toc74081691"/>
      <w:bookmarkStart w:id="5650" w:name="_Toc74171234"/>
      <w:bookmarkStart w:id="5651" w:name="_Toc74172468"/>
      <w:bookmarkStart w:id="5652" w:name="_Toc74173002"/>
      <w:bookmarkStart w:id="5653" w:name="_Toc74238908"/>
      <w:bookmarkStart w:id="5654" w:name="_Toc78304831"/>
      <w:bookmarkStart w:id="5655" w:name="_Toc79330934"/>
      <w:bookmarkStart w:id="5656" w:name="_Toc79331314"/>
      <w:bookmarkStart w:id="5657" w:name="_Toc79406552"/>
      <w:bookmarkStart w:id="5658" w:name="_Toc82773784"/>
      <w:bookmarkStart w:id="5659" w:name="_Toc82774137"/>
      <w:bookmarkStart w:id="5660" w:name="_Toc128314258"/>
      <w:bookmarkEnd w:id="5569"/>
      <w:bookmarkEnd w:id="5570"/>
      <w:bookmarkEnd w:id="5571"/>
      <w:bookmarkEnd w:id="5572"/>
      <w:bookmarkEnd w:id="5573"/>
      <w:bookmarkEnd w:id="5631"/>
      <w:bookmarkEnd w:id="5632"/>
      <w:bookmarkEnd w:id="5633"/>
    </w:p>
    <w:p w14:paraId="2AAB8DD8" w14:textId="7A1AA694" w:rsidR="006C6EBA" w:rsidRPr="006720E4" w:rsidRDefault="006C6EBA" w:rsidP="00EA22AE">
      <w:pPr>
        <w:pStyle w:val="Heading1"/>
        <w:numPr>
          <w:ilvl w:val="0"/>
          <w:numId w:val="0"/>
        </w:numPr>
        <w:ind w:left="360" w:hanging="360"/>
      </w:pPr>
      <w:bookmarkStart w:id="5661" w:name="_Glossary_2"/>
      <w:bookmarkStart w:id="5662" w:name="_Toc135131501"/>
      <w:bookmarkEnd w:id="5661"/>
      <w:r w:rsidRPr="006720E4">
        <w:lastRenderedPageBreak/>
        <w:t>Glossary</w:t>
      </w:r>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2"/>
    </w:p>
    <w:p w14:paraId="126D72BC" w14:textId="77777777" w:rsidR="006C6EBA" w:rsidRPr="006720E4" w:rsidRDefault="006C6EBA" w:rsidP="00EA22AE">
      <w:pPr>
        <w:spacing w:after="120"/>
        <w:rPr>
          <w:rFonts w:ascii="Calibri" w:hAnsi="Calibri" w:cs="Calibri"/>
          <w:sz w:val="22"/>
          <w:szCs w:val="22"/>
        </w:rPr>
      </w:pPr>
    </w:p>
    <w:tbl>
      <w:tblPr>
        <w:tblStyle w:val="TableGrid"/>
        <w:tblW w:w="0" w:type="auto"/>
        <w:tblLook w:val="04A0" w:firstRow="1" w:lastRow="0" w:firstColumn="1" w:lastColumn="0" w:noHBand="0" w:noVBand="1"/>
      </w:tblPr>
      <w:tblGrid>
        <w:gridCol w:w="1869"/>
        <w:gridCol w:w="7141"/>
      </w:tblGrid>
      <w:tr w:rsidR="009C2EF0" w:rsidRPr="0077185F" w14:paraId="5FB1341A" w14:textId="77777777">
        <w:tc>
          <w:tcPr>
            <w:tcW w:w="1869" w:type="dxa"/>
          </w:tcPr>
          <w:p w14:paraId="1454833B"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advance care directive</w:t>
            </w:r>
          </w:p>
        </w:tc>
        <w:tc>
          <w:tcPr>
            <w:tcW w:w="7141" w:type="dxa"/>
          </w:tcPr>
          <w:p w14:paraId="093B2E0D" w14:textId="77777777" w:rsidR="009C2EF0" w:rsidRPr="0077185F" w:rsidRDefault="009C2EF0" w:rsidP="00EA22AE">
            <w:pPr>
              <w:spacing w:after="120"/>
              <w:jc w:val="both"/>
              <w:rPr>
                <w:rFonts w:ascii="Calibri" w:hAnsi="Calibri" w:cs="Calibri"/>
                <w:sz w:val="20"/>
                <w:szCs w:val="20"/>
              </w:rPr>
            </w:pPr>
            <w:r w:rsidRPr="0077185F">
              <w:rPr>
                <w:rFonts w:ascii="Calibri" w:hAnsi="Calibri" w:cs="Calibri"/>
                <w:sz w:val="20"/>
                <w:szCs w:val="20"/>
              </w:rPr>
              <w:t xml:space="preserve">A type of written advance care plan recognised by common law or specific legislation that is completed and signed by a competent adult. It can record the person’s preferences for future care and appoint a substitute decision-maker to make decisions about health care and personal life management. </w:t>
            </w:r>
          </w:p>
          <w:p w14:paraId="3E62645E"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In some states, these are known as advance health directives. (see </w:t>
            </w:r>
            <w:hyperlink w:anchor="_Mechanisms_of_substitute_1" w:history="1">
              <w:r w:rsidRPr="0077185F">
                <w:rPr>
                  <w:rStyle w:val="Hyperlink"/>
                  <w:rFonts w:ascii="Calibri" w:hAnsi="Calibri" w:cs="Calibri"/>
                  <w:sz w:val="20"/>
                  <w:szCs w:val="20"/>
                </w:rPr>
                <w:t>Chapter 4.2.2</w:t>
              </w:r>
            </w:hyperlink>
            <w:r w:rsidRPr="0077185F">
              <w:rPr>
                <w:rFonts w:ascii="Calibri" w:hAnsi="Calibri" w:cs="Calibri"/>
                <w:sz w:val="20"/>
                <w:szCs w:val="20"/>
              </w:rPr>
              <w:t>)</w:t>
            </w:r>
          </w:p>
        </w:tc>
      </w:tr>
      <w:tr w:rsidR="009C2EF0" w:rsidRPr="0077185F" w14:paraId="4B554105" w14:textId="77777777">
        <w:tc>
          <w:tcPr>
            <w:tcW w:w="1869" w:type="dxa"/>
          </w:tcPr>
          <w:p w14:paraId="2C28AE00"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advocate</w:t>
            </w:r>
          </w:p>
        </w:tc>
        <w:tc>
          <w:tcPr>
            <w:tcW w:w="7141" w:type="dxa"/>
          </w:tcPr>
          <w:p w14:paraId="2FA806B3"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person who speaks up for or on behalf of another person. </w:t>
            </w:r>
          </w:p>
          <w:p w14:paraId="5C15CC8E" w14:textId="3A57371A"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In donation and transplantation, the term may be used to describe a range of roles that are summarised in </w:t>
            </w:r>
            <w:hyperlink w:anchor="_The_role_of"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3</w:t>
              </w:r>
              <w:r w:rsidRPr="0077185F">
                <w:rPr>
                  <w:rStyle w:val="Hyperlink"/>
                  <w:rFonts w:ascii="Calibri" w:hAnsi="Calibri" w:cs="Calibri"/>
                  <w:sz w:val="20"/>
                  <w:szCs w:val="20"/>
                </w:rPr>
                <w:t>.</w:t>
              </w:r>
              <w:r w:rsidR="00331FC8">
                <w:rPr>
                  <w:rStyle w:val="Hyperlink"/>
                  <w:rFonts w:ascii="Calibri" w:hAnsi="Calibri" w:cs="Calibri"/>
                  <w:sz w:val="20"/>
                  <w:szCs w:val="20"/>
                </w:rPr>
                <w:t>4</w:t>
              </w:r>
              <w:r w:rsidRPr="0077185F">
                <w:rPr>
                  <w:rStyle w:val="Hyperlink"/>
                  <w:rFonts w:ascii="Calibri" w:hAnsi="Calibri" w:cs="Calibri"/>
                  <w:sz w:val="20"/>
                  <w:szCs w:val="20"/>
                </w:rPr>
                <w:t>.5</w:t>
              </w:r>
            </w:hyperlink>
            <w:r w:rsidRPr="0077185F">
              <w:rPr>
                <w:rFonts w:ascii="Calibri" w:hAnsi="Calibri" w:cs="Calibri"/>
                <w:sz w:val="20"/>
                <w:szCs w:val="20"/>
              </w:rPr>
              <w:t>.</w:t>
            </w:r>
          </w:p>
        </w:tc>
      </w:tr>
      <w:tr w:rsidR="009C2EF0" w:rsidRPr="0077185F" w14:paraId="41FAA076" w14:textId="77777777">
        <w:tc>
          <w:tcPr>
            <w:tcW w:w="1869" w:type="dxa"/>
          </w:tcPr>
          <w:p w14:paraId="20AC4A10"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allogeneic transplant</w:t>
            </w:r>
          </w:p>
        </w:tc>
        <w:tc>
          <w:tcPr>
            <w:tcW w:w="7141" w:type="dxa"/>
          </w:tcPr>
          <w:p w14:paraId="0CA21B36"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A donation of cells, organs or tissues from one individual that is transplanted in another individual.</w:t>
            </w:r>
          </w:p>
        </w:tc>
      </w:tr>
      <w:tr w:rsidR="009C2EF0" w:rsidRPr="0077185F" w14:paraId="22939F4E" w14:textId="77777777">
        <w:tc>
          <w:tcPr>
            <w:tcW w:w="1869" w:type="dxa"/>
          </w:tcPr>
          <w:p w14:paraId="46EAB166"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altruism</w:t>
            </w:r>
          </w:p>
        </w:tc>
        <w:tc>
          <w:tcPr>
            <w:tcW w:w="7141" w:type="dxa"/>
          </w:tcPr>
          <w:p w14:paraId="34A46A6D" w14:textId="77777777" w:rsidR="009C2EF0" w:rsidRPr="0077185F" w:rsidRDefault="009C2EF0" w:rsidP="00EA22AE">
            <w:pPr>
              <w:spacing w:after="120"/>
              <w:rPr>
                <w:rFonts w:ascii="Calibri" w:hAnsi="Calibri" w:cs="Calibri"/>
                <w:sz w:val="20"/>
                <w:szCs w:val="20"/>
                <w:shd w:val="clear" w:color="auto" w:fill="FFFFFF"/>
              </w:rPr>
            </w:pPr>
            <w:r w:rsidRPr="0077185F">
              <w:rPr>
                <w:rFonts w:ascii="Calibri" w:hAnsi="Calibri" w:cs="Calibri"/>
                <w:sz w:val="20"/>
                <w:szCs w:val="20"/>
                <w:shd w:val="clear" w:color="auto" w:fill="FFFFFF"/>
              </w:rPr>
              <w:t>A willingness to act for the benefit of others. Behaviour is normally described as altruistic when it is motivated by a desire to benefit someone other than oneself for that person’s sake.</w:t>
            </w:r>
          </w:p>
        </w:tc>
      </w:tr>
      <w:tr w:rsidR="009C2EF0" w:rsidRPr="0077185F" w14:paraId="46DB61B8" w14:textId="77777777">
        <w:tc>
          <w:tcPr>
            <w:tcW w:w="1869" w:type="dxa"/>
          </w:tcPr>
          <w:p w14:paraId="145346A9"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assent</w:t>
            </w:r>
          </w:p>
        </w:tc>
        <w:tc>
          <w:tcPr>
            <w:tcW w:w="7141" w:type="dxa"/>
          </w:tcPr>
          <w:p w14:paraId="59CA7445" w14:textId="291D82DD" w:rsidR="009C2EF0" w:rsidRPr="0077185F" w:rsidRDefault="009C2EF0" w:rsidP="00EA22AE">
            <w:pPr>
              <w:tabs>
                <w:tab w:val="left" w:pos="1264"/>
              </w:tabs>
              <w:spacing w:after="120"/>
              <w:rPr>
                <w:rFonts w:ascii="Calibri" w:hAnsi="Calibri" w:cs="Calibri"/>
                <w:sz w:val="20"/>
                <w:szCs w:val="20"/>
              </w:rPr>
            </w:pPr>
            <w:r w:rsidRPr="0077185F">
              <w:rPr>
                <w:rFonts w:ascii="Calibri" w:hAnsi="Calibri" w:cs="Calibri"/>
                <w:sz w:val="20"/>
                <w:szCs w:val="20"/>
              </w:rPr>
              <w:t xml:space="preserve">Expression of approval, or agreement, from a person who lacks capacity to provide consent. (see </w:t>
            </w:r>
            <w:hyperlink w:anchor="_The_importance_of"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5</w:t>
              </w:r>
              <w:r w:rsidRPr="0077185F">
                <w:rPr>
                  <w:rStyle w:val="Hyperlink"/>
                  <w:rFonts w:ascii="Calibri" w:hAnsi="Calibri" w:cs="Calibri"/>
                  <w:sz w:val="20"/>
                  <w:szCs w:val="20"/>
                </w:rPr>
                <w:t>.1.4.1</w:t>
              </w:r>
            </w:hyperlink>
            <w:r w:rsidRPr="0077185F">
              <w:rPr>
                <w:rFonts w:ascii="Calibri" w:hAnsi="Calibri" w:cs="Calibri"/>
                <w:sz w:val="20"/>
                <w:szCs w:val="20"/>
              </w:rPr>
              <w:t>)</w:t>
            </w:r>
          </w:p>
        </w:tc>
      </w:tr>
      <w:tr w:rsidR="009C2EF0" w:rsidRPr="0077185F" w14:paraId="21FCB6CE" w14:textId="77777777">
        <w:tc>
          <w:tcPr>
            <w:tcW w:w="1869" w:type="dxa"/>
          </w:tcPr>
          <w:p w14:paraId="6940A3D6"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authorisation</w:t>
            </w:r>
          </w:p>
        </w:tc>
        <w:tc>
          <w:tcPr>
            <w:tcW w:w="7141" w:type="dxa"/>
          </w:tcPr>
          <w:p w14:paraId="6FDA3A55" w14:textId="5A63E232" w:rsidR="009C2EF0" w:rsidRPr="0077185F" w:rsidRDefault="009C2EF0" w:rsidP="00EA22AE">
            <w:pPr>
              <w:tabs>
                <w:tab w:val="left" w:pos="1264"/>
              </w:tabs>
              <w:spacing w:after="120"/>
              <w:rPr>
                <w:rFonts w:ascii="Calibri" w:hAnsi="Calibri" w:cs="Calibri"/>
                <w:sz w:val="20"/>
                <w:szCs w:val="20"/>
              </w:rPr>
            </w:pPr>
            <w:r w:rsidRPr="0077185F">
              <w:rPr>
                <w:rFonts w:ascii="Calibri" w:hAnsi="Calibri" w:cs="Calibri"/>
                <w:sz w:val="20"/>
                <w:szCs w:val="20"/>
              </w:rPr>
              <w:t xml:space="preserve">Legally valid approval that deceased donation may proceed, or is refused (see </w:t>
            </w:r>
            <w:hyperlink w:anchor="_Consent_for_deceased_2"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4</w:t>
              </w:r>
              <w:r w:rsidRPr="0077185F">
                <w:rPr>
                  <w:rStyle w:val="Hyperlink"/>
                  <w:rFonts w:ascii="Calibri" w:hAnsi="Calibri" w:cs="Calibri"/>
                  <w:sz w:val="20"/>
                  <w:szCs w:val="20"/>
                </w:rPr>
                <w:t>.4.1</w:t>
              </w:r>
            </w:hyperlink>
            <w:r w:rsidRPr="0077185F">
              <w:rPr>
                <w:rFonts w:ascii="Calibri" w:hAnsi="Calibri" w:cs="Calibri"/>
                <w:sz w:val="20"/>
                <w:szCs w:val="20"/>
              </w:rPr>
              <w:t>)</w:t>
            </w:r>
          </w:p>
        </w:tc>
      </w:tr>
      <w:tr w:rsidR="009C2EF0" w:rsidRPr="0077185F" w14:paraId="6DE5975A" w14:textId="77777777">
        <w:tc>
          <w:tcPr>
            <w:tcW w:w="1869" w:type="dxa"/>
          </w:tcPr>
          <w:p w14:paraId="76FDD446"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autonomy</w:t>
            </w:r>
          </w:p>
        </w:tc>
        <w:tc>
          <w:tcPr>
            <w:tcW w:w="7141" w:type="dxa"/>
          </w:tcPr>
          <w:p w14:paraId="02C580A9" w14:textId="4BB614E9"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person’s interest in making voluntary and informed choices about things that are important to </w:t>
            </w:r>
            <w:r w:rsidRPr="00331FC8">
              <w:rPr>
                <w:rFonts w:ascii="Calibri" w:hAnsi="Calibri" w:cs="Calibri"/>
                <w:sz w:val="20"/>
                <w:szCs w:val="20"/>
              </w:rPr>
              <w:t xml:space="preserve">them (see </w:t>
            </w:r>
            <w:hyperlink w:anchor="_Respect_for_the_1" w:history="1">
              <w:r w:rsidR="00331FC8" w:rsidRPr="00331FC8">
                <w:rPr>
                  <w:rStyle w:val="Hyperlink"/>
                  <w:rFonts w:ascii="Calibri" w:hAnsi="Calibri" w:cs="Calibri"/>
                  <w:sz w:val="20"/>
                  <w:szCs w:val="20"/>
                </w:rPr>
                <w:t>Chapter 3.2.1</w:t>
              </w:r>
            </w:hyperlink>
            <w:r w:rsidR="00331FC8" w:rsidRPr="00331FC8">
              <w:rPr>
                <w:rFonts w:ascii="Calibri" w:hAnsi="Calibri" w:cs="Calibri"/>
                <w:sz w:val="20"/>
                <w:szCs w:val="20"/>
              </w:rPr>
              <w:t>).</w:t>
            </w:r>
          </w:p>
        </w:tc>
      </w:tr>
      <w:tr w:rsidR="009C2EF0" w:rsidRPr="0077185F" w14:paraId="444B9F43" w14:textId="77777777">
        <w:tc>
          <w:tcPr>
            <w:tcW w:w="1869" w:type="dxa"/>
          </w:tcPr>
          <w:p w14:paraId="1BEC4E3D"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best interests</w:t>
            </w:r>
          </w:p>
          <w:p w14:paraId="53822BFD" w14:textId="77777777" w:rsidR="009C2EF0" w:rsidRPr="0077185F" w:rsidRDefault="009C2EF0" w:rsidP="00EA22AE">
            <w:pPr>
              <w:spacing w:after="120"/>
              <w:rPr>
                <w:rFonts w:ascii="Calibri" w:hAnsi="Calibri" w:cs="Calibri"/>
                <w:sz w:val="20"/>
                <w:szCs w:val="20"/>
              </w:rPr>
            </w:pPr>
          </w:p>
        </w:tc>
        <w:tc>
          <w:tcPr>
            <w:tcW w:w="7141" w:type="dxa"/>
          </w:tcPr>
          <w:p w14:paraId="43DE5ABB" w14:textId="5CD29426"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An evaluation of a person’s general welfare that includes consideration of their physical health as well as psychological and social wellbeing, all things considered. (see </w:t>
            </w:r>
            <w:hyperlink w:anchor="_Children:_Best_interests_1"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5</w:t>
              </w:r>
              <w:r w:rsidRPr="0077185F">
                <w:rPr>
                  <w:rStyle w:val="Hyperlink"/>
                  <w:rFonts w:ascii="Calibri" w:hAnsi="Calibri" w:cs="Calibri"/>
                  <w:sz w:val="20"/>
                  <w:szCs w:val="20"/>
                </w:rPr>
                <w:t>.3.1</w:t>
              </w:r>
            </w:hyperlink>
            <w:r w:rsidRPr="0077185F">
              <w:rPr>
                <w:rFonts w:ascii="Calibri" w:hAnsi="Calibri" w:cs="Calibri"/>
                <w:sz w:val="20"/>
                <w:szCs w:val="20"/>
              </w:rPr>
              <w:t>)</w:t>
            </w:r>
          </w:p>
        </w:tc>
      </w:tr>
      <w:tr w:rsidR="009C2EF0" w:rsidRPr="0077185F" w14:paraId="756428F6" w14:textId="77777777">
        <w:tc>
          <w:tcPr>
            <w:tcW w:w="1869" w:type="dxa"/>
          </w:tcPr>
          <w:p w14:paraId="24299353"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clinical standards</w:t>
            </w:r>
          </w:p>
        </w:tc>
        <w:tc>
          <w:tcPr>
            <w:tcW w:w="7141" w:type="dxa"/>
          </w:tcPr>
          <w:p w14:paraId="6A05A3A7"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Expectations regarding the care that should be provided to patients in specific circumstances, and practices that should be implemented within healthcare systems with regards to quality and safety.  </w:t>
            </w:r>
          </w:p>
        </w:tc>
      </w:tr>
      <w:tr w:rsidR="009C2EF0" w:rsidRPr="0077185F" w14:paraId="4C1D2041" w14:textId="77777777">
        <w:tc>
          <w:tcPr>
            <w:tcW w:w="1869" w:type="dxa"/>
          </w:tcPr>
          <w:p w14:paraId="1E8469C5"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commodification</w:t>
            </w:r>
          </w:p>
        </w:tc>
        <w:tc>
          <w:tcPr>
            <w:tcW w:w="7141" w:type="dxa"/>
          </w:tcPr>
          <w:p w14:paraId="58DA5C8B" w14:textId="77777777" w:rsidR="009C2EF0" w:rsidRPr="0077185F" w:rsidRDefault="009C2EF0" w:rsidP="00EA22AE">
            <w:pPr>
              <w:spacing w:after="120"/>
              <w:rPr>
                <w:rFonts w:ascii="Calibri" w:hAnsi="Calibri" w:cs="Calibri"/>
                <w:sz w:val="20"/>
                <w:szCs w:val="20"/>
              </w:rPr>
            </w:pPr>
            <w:r>
              <w:rPr>
                <w:rFonts w:ascii="Calibri" w:hAnsi="Calibri" w:cs="Calibri"/>
                <w:sz w:val="20"/>
                <w:szCs w:val="20"/>
              </w:rPr>
              <w:t>Treating s</w:t>
            </w:r>
            <w:r w:rsidRPr="0077185F">
              <w:rPr>
                <w:rFonts w:ascii="Calibri" w:hAnsi="Calibri" w:cs="Calibri"/>
                <w:sz w:val="20"/>
                <w:szCs w:val="20"/>
              </w:rPr>
              <w:t>omething</w:t>
            </w:r>
            <w:r>
              <w:rPr>
                <w:rFonts w:ascii="Calibri" w:hAnsi="Calibri" w:cs="Calibri"/>
                <w:sz w:val="20"/>
                <w:szCs w:val="20"/>
              </w:rPr>
              <w:t xml:space="preserve"> as if it is a </w:t>
            </w:r>
            <w:r w:rsidRPr="00033C29">
              <w:rPr>
                <w:rFonts w:ascii="Calibri" w:hAnsi="Calibri" w:cs="Calibri"/>
                <w:b/>
                <w:bCs/>
                <w:sz w:val="20"/>
                <w:szCs w:val="20"/>
              </w:rPr>
              <w:t>commodity</w:t>
            </w:r>
            <w:r>
              <w:rPr>
                <w:rFonts w:ascii="Calibri" w:hAnsi="Calibri" w:cs="Calibri"/>
                <w:sz w:val="20"/>
                <w:szCs w:val="20"/>
              </w:rPr>
              <w:t>, i.e. something</w:t>
            </w:r>
            <w:r w:rsidRPr="0077185F">
              <w:rPr>
                <w:rFonts w:ascii="Calibri" w:hAnsi="Calibri" w:cs="Calibri"/>
                <w:sz w:val="20"/>
                <w:szCs w:val="20"/>
              </w:rPr>
              <w:t xml:space="preserve"> that has a monetary price which makes it interchangeable with other goods of different kinds that have an equivalent financial value</w:t>
            </w:r>
          </w:p>
        </w:tc>
      </w:tr>
      <w:tr w:rsidR="009C2EF0" w:rsidRPr="0077185F" w14:paraId="50C0AF4C" w14:textId="77777777">
        <w:tc>
          <w:tcPr>
            <w:tcW w:w="1869" w:type="dxa"/>
          </w:tcPr>
          <w:p w14:paraId="146B3CB3"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compassionate access</w:t>
            </w:r>
          </w:p>
        </w:tc>
        <w:tc>
          <w:tcPr>
            <w:tcW w:w="7141" w:type="dxa"/>
          </w:tcPr>
          <w:p w14:paraId="710465C2"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Policy in which international residents may be permitted to access deceased donor organs</w:t>
            </w:r>
          </w:p>
        </w:tc>
      </w:tr>
      <w:tr w:rsidR="009C2EF0" w:rsidRPr="0077185F" w14:paraId="606C30BC" w14:textId="77777777">
        <w:tc>
          <w:tcPr>
            <w:tcW w:w="1869" w:type="dxa"/>
          </w:tcPr>
          <w:p w14:paraId="0B11DF23" w14:textId="77777777" w:rsidR="009C2EF0" w:rsidRPr="0077185F" w:rsidRDefault="009C2EF0" w:rsidP="00EA22AE">
            <w:pPr>
              <w:spacing w:after="120"/>
              <w:rPr>
                <w:rFonts w:ascii="Calibri" w:hAnsi="Calibri" w:cs="Calibri"/>
                <w:b/>
                <w:bCs/>
                <w:sz w:val="20"/>
                <w:szCs w:val="20"/>
              </w:rPr>
            </w:pPr>
            <w:r>
              <w:rPr>
                <w:rFonts w:ascii="Calibri" w:hAnsi="Calibri" w:cs="Calibri"/>
                <w:b/>
                <w:bCs/>
                <w:sz w:val="20"/>
                <w:szCs w:val="20"/>
              </w:rPr>
              <w:t>conditional donation</w:t>
            </w:r>
          </w:p>
        </w:tc>
        <w:tc>
          <w:tcPr>
            <w:tcW w:w="7141" w:type="dxa"/>
          </w:tcPr>
          <w:p w14:paraId="47AA041A" w14:textId="37584315" w:rsidR="009C2EF0" w:rsidRPr="0077185F" w:rsidRDefault="009C2EF0" w:rsidP="00EA22AE">
            <w:pPr>
              <w:spacing w:after="120"/>
              <w:rPr>
                <w:rFonts w:ascii="Calibri" w:hAnsi="Calibri" w:cs="Calibri"/>
                <w:sz w:val="20"/>
                <w:szCs w:val="20"/>
              </w:rPr>
            </w:pPr>
            <w:r>
              <w:rPr>
                <w:rFonts w:ascii="Calibri" w:hAnsi="Calibri" w:cs="Calibri"/>
                <w:sz w:val="20"/>
                <w:szCs w:val="20"/>
              </w:rPr>
              <w:t xml:space="preserve">When a person wishes to place conditions upon a </w:t>
            </w:r>
            <w:r w:rsidRPr="00F15CC4">
              <w:rPr>
                <w:rFonts w:ascii="Calibri" w:hAnsi="Calibri" w:cs="Calibri"/>
                <w:b/>
                <w:bCs/>
                <w:sz w:val="20"/>
                <w:szCs w:val="20"/>
              </w:rPr>
              <w:t>non-directed donation</w:t>
            </w:r>
            <w:r>
              <w:rPr>
                <w:rFonts w:ascii="Calibri" w:hAnsi="Calibri" w:cs="Calibri"/>
                <w:sz w:val="20"/>
                <w:szCs w:val="20"/>
              </w:rPr>
              <w:t xml:space="preserve">, for example by agreeing to donate only if the donation will be distributed to members of particular groups (see </w:t>
            </w:r>
            <w:hyperlink w:anchor="_Restrictions_on_donation" w:history="1">
              <w:r w:rsidRPr="00F15CC4">
                <w:rPr>
                  <w:rStyle w:val="Hyperlink"/>
                  <w:rFonts w:ascii="Calibri" w:hAnsi="Calibri" w:cs="Calibri"/>
                  <w:sz w:val="20"/>
                  <w:szCs w:val="20"/>
                </w:rPr>
                <w:t>Chapter 1</w:t>
              </w:r>
              <w:r w:rsidR="00331FC8">
                <w:rPr>
                  <w:rStyle w:val="Hyperlink"/>
                  <w:rFonts w:ascii="Calibri" w:hAnsi="Calibri" w:cs="Calibri"/>
                  <w:sz w:val="20"/>
                  <w:szCs w:val="20"/>
                </w:rPr>
                <w:t>2</w:t>
              </w:r>
              <w:r w:rsidRPr="00F15CC4">
                <w:rPr>
                  <w:rStyle w:val="Hyperlink"/>
                  <w:rFonts w:ascii="Calibri" w:hAnsi="Calibri" w:cs="Calibri"/>
                  <w:sz w:val="20"/>
                  <w:szCs w:val="20"/>
                </w:rPr>
                <w:t>.3.4.2</w:t>
              </w:r>
            </w:hyperlink>
            <w:r>
              <w:rPr>
                <w:rFonts w:ascii="Calibri" w:hAnsi="Calibri" w:cs="Calibri"/>
                <w:sz w:val="20"/>
                <w:szCs w:val="20"/>
              </w:rPr>
              <w:t>)</w:t>
            </w:r>
          </w:p>
        </w:tc>
      </w:tr>
      <w:tr w:rsidR="009C2EF0" w:rsidRPr="0077185F" w14:paraId="01639D23" w14:textId="77777777">
        <w:tc>
          <w:tcPr>
            <w:tcW w:w="1869" w:type="dxa"/>
          </w:tcPr>
          <w:p w14:paraId="31968D97"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conditioning for HSC donation</w:t>
            </w:r>
          </w:p>
        </w:tc>
        <w:tc>
          <w:tcPr>
            <w:tcW w:w="7141" w:type="dxa"/>
          </w:tcPr>
          <w:p w14:paraId="77C2A5E8" w14:textId="165A2B2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process that destroys the prospective transplant recipient’s own bone marrow which will then be replaced with donated HSCs. </w:t>
            </w:r>
          </w:p>
        </w:tc>
      </w:tr>
      <w:tr w:rsidR="009C2EF0" w:rsidRPr="0077185F" w14:paraId="54C7B45E" w14:textId="77777777">
        <w:tc>
          <w:tcPr>
            <w:tcW w:w="1869" w:type="dxa"/>
          </w:tcPr>
          <w:p w14:paraId="658FF1E6"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confidentiality</w:t>
            </w:r>
          </w:p>
        </w:tc>
        <w:tc>
          <w:tcPr>
            <w:tcW w:w="7141" w:type="dxa"/>
          </w:tcPr>
          <w:p w14:paraId="5E3FE882"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The right to manage access to and use of one’s private information </w:t>
            </w:r>
          </w:p>
        </w:tc>
      </w:tr>
      <w:tr w:rsidR="009C2EF0" w:rsidRPr="0077185F" w14:paraId="338103FE" w14:textId="77777777">
        <w:tc>
          <w:tcPr>
            <w:tcW w:w="1869" w:type="dxa"/>
          </w:tcPr>
          <w:p w14:paraId="0C5F5EA1"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conscientious objection</w:t>
            </w:r>
          </w:p>
        </w:tc>
        <w:tc>
          <w:tcPr>
            <w:tcW w:w="7141" w:type="dxa"/>
          </w:tcPr>
          <w:p w14:paraId="41BE1038" w14:textId="5D5D4E6C" w:rsidR="009C2EF0" w:rsidRPr="0077185F" w:rsidRDefault="009C2EF0" w:rsidP="00EA22AE">
            <w:pPr>
              <w:spacing w:after="120"/>
              <w:rPr>
                <w:rFonts w:ascii="Calibri" w:hAnsi="Calibri" w:cs="Calibri"/>
                <w:sz w:val="20"/>
                <w:szCs w:val="20"/>
              </w:rPr>
            </w:pPr>
            <w:r w:rsidRPr="0077185F">
              <w:rPr>
                <w:rFonts w:ascii="Calibri" w:hAnsi="Calibri" w:cs="Calibri"/>
                <w:sz w:val="20"/>
                <w:szCs w:val="20"/>
                <w:shd w:val="clear" w:color="auto" w:fill="FFFFFF"/>
              </w:rPr>
              <w:t xml:space="preserve">when a health professional, as a result of a conflict with his or her own personal ethical beliefs or values, refuses to provide, or participate in, a legally valid treatment or procedure which would be deemed medically appropriate in the circumstances under professional </w:t>
            </w:r>
            <w:r w:rsidRPr="00331FC8">
              <w:rPr>
                <w:rFonts w:ascii="Calibri" w:hAnsi="Calibri" w:cs="Calibri"/>
                <w:sz w:val="20"/>
                <w:szCs w:val="20"/>
                <w:shd w:val="clear" w:color="auto" w:fill="FFFFFF"/>
              </w:rPr>
              <w:t>standards. (see</w:t>
            </w:r>
            <w:r w:rsidR="00331FC8" w:rsidRPr="00331FC8">
              <w:rPr>
                <w:rFonts w:ascii="Calibri" w:hAnsi="Calibri" w:cs="Calibri"/>
                <w:sz w:val="20"/>
                <w:szCs w:val="20"/>
              </w:rPr>
              <w:t xml:space="preserve"> </w:t>
            </w:r>
            <w:hyperlink w:anchor="_Conscientious_objection_and" w:history="1">
              <w:r w:rsidR="00331FC8" w:rsidRPr="00331FC8">
                <w:rPr>
                  <w:rStyle w:val="Hyperlink"/>
                  <w:rFonts w:ascii="Calibri" w:hAnsi="Calibri" w:cs="Calibri"/>
                  <w:sz w:val="20"/>
                  <w:szCs w:val="20"/>
                </w:rPr>
                <w:t>Chapter 3.7</w:t>
              </w:r>
            </w:hyperlink>
            <w:r w:rsidRPr="00331FC8">
              <w:rPr>
                <w:rFonts w:ascii="Calibri" w:hAnsi="Calibri" w:cs="Calibri"/>
                <w:sz w:val="20"/>
                <w:szCs w:val="20"/>
                <w:shd w:val="clear" w:color="auto" w:fill="FFFFFF"/>
              </w:rPr>
              <w:t>)</w:t>
            </w:r>
          </w:p>
        </w:tc>
      </w:tr>
      <w:tr w:rsidR="009C2EF0" w:rsidRPr="0077185F" w14:paraId="4EF99F04" w14:textId="77777777">
        <w:tc>
          <w:tcPr>
            <w:tcW w:w="1869" w:type="dxa"/>
          </w:tcPr>
          <w:p w14:paraId="77830455"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cultural humility</w:t>
            </w:r>
          </w:p>
        </w:tc>
        <w:tc>
          <w:tcPr>
            <w:tcW w:w="7141" w:type="dxa"/>
          </w:tcPr>
          <w:p w14:paraId="784A21A5" w14:textId="20EDEA40" w:rsidR="009C2EF0" w:rsidRPr="0077185F" w:rsidRDefault="009C2EF0" w:rsidP="00EA22AE">
            <w:pPr>
              <w:spacing w:after="120"/>
              <w:rPr>
                <w:rFonts w:ascii="Calibri" w:hAnsi="Calibri" w:cs="Calibri"/>
                <w:sz w:val="20"/>
                <w:szCs w:val="20"/>
                <w:shd w:val="clear" w:color="auto" w:fill="FFFFFF"/>
              </w:rPr>
            </w:pPr>
            <w:r w:rsidRPr="0077185F">
              <w:rPr>
                <w:rFonts w:ascii="Calibri" w:hAnsi="Calibri" w:cs="Calibri"/>
                <w:sz w:val="20"/>
                <w:szCs w:val="20"/>
                <w:shd w:val="clear" w:color="auto" w:fill="FFFFFF"/>
              </w:rPr>
              <w:t xml:space="preserve">Self-awareness of one’s own culture and the way this may influence beliefs, attitudes and behaviours towards others, as well as interpersonal thinking and actions that are </w:t>
            </w:r>
            <w:r w:rsidRPr="00331FC8">
              <w:rPr>
                <w:rFonts w:ascii="Calibri" w:hAnsi="Calibri" w:cs="Calibri"/>
                <w:sz w:val="20"/>
                <w:szCs w:val="20"/>
                <w:shd w:val="clear" w:color="auto" w:fill="FFFFFF"/>
              </w:rPr>
              <w:lastRenderedPageBreak/>
              <w:t>responsive to the aspects of a person’s cultural identity that are important to them. (See</w:t>
            </w:r>
            <w:r w:rsidR="00331FC8" w:rsidRPr="00331FC8">
              <w:rPr>
                <w:rFonts w:ascii="Calibri" w:hAnsi="Calibri" w:cs="Calibri"/>
                <w:sz w:val="20"/>
                <w:szCs w:val="20"/>
                <w:shd w:val="clear" w:color="auto" w:fill="FFFFFF"/>
              </w:rPr>
              <w:t xml:space="preserve"> </w:t>
            </w:r>
            <w:hyperlink w:anchor="_Responsibilities_of_health" w:history="1">
              <w:r w:rsidR="00331FC8" w:rsidRPr="00331FC8">
                <w:rPr>
                  <w:rStyle w:val="Hyperlink"/>
                  <w:rFonts w:ascii="Calibri" w:hAnsi="Calibri" w:cs="Calibri"/>
                  <w:sz w:val="20"/>
                  <w:szCs w:val="20"/>
                </w:rPr>
                <w:t>Chapter 3.6.1</w:t>
              </w:r>
            </w:hyperlink>
            <w:r w:rsidRPr="00331FC8">
              <w:rPr>
                <w:rFonts w:ascii="Calibri" w:hAnsi="Calibri" w:cs="Calibri"/>
                <w:sz w:val="20"/>
                <w:szCs w:val="20"/>
                <w:shd w:val="clear" w:color="auto" w:fill="FFFFFF"/>
              </w:rPr>
              <w:t>)</w:t>
            </w:r>
          </w:p>
        </w:tc>
      </w:tr>
      <w:tr w:rsidR="009C2EF0" w:rsidRPr="0077185F" w14:paraId="6FEB3FEC" w14:textId="77777777">
        <w:tc>
          <w:tcPr>
            <w:tcW w:w="1869" w:type="dxa"/>
          </w:tcPr>
          <w:p w14:paraId="595641D4"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cultural safety in healthcare</w:t>
            </w:r>
          </w:p>
        </w:tc>
        <w:tc>
          <w:tcPr>
            <w:tcW w:w="7141" w:type="dxa"/>
          </w:tcPr>
          <w:p w14:paraId="5D285900" w14:textId="62DED245"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environment or conditions in which a person experiences care that is provided with an understanding of the person’s culture and respectful acknowledgement of cultural difference(s), and in which care providers critically reflect on their own knowledge and behaviours as well as power differentials and contextual racism both past and present.</w:t>
            </w:r>
            <w:r w:rsidRPr="0077185F">
              <w:rPr>
                <w:rFonts w:ascii="Calibri" w:hAnsi="Calibri" w:cs="Calibri"/>
                <w:sz w:val="20"/>
                <w:szCs w:val="20"/>
              </w:rPr>
              <w:fldChar w:fldCharType="begin" w:fldLock="1"/>
            </w:r>
            <w:r w:rsidR="00EB088B">
              <w:rPr>
                <w:rFonts w:ascii="Calibri" w:hAnsi="Calibri" w:cs="Calibri"/>
                <w:sz w:val="20"/>
                <w:szCs w:val="20"/>
              </w:rPr>
              <w:instrText>ADDIN CSL_CITATION {"citationItems":[{"id":"ITEM-1","itemData":{"author":[{"dropping-particle":"","family":"Australian Health Practitioner Regulation Agency (AHPRA)","given":"","non-dropping-particle":"","parse-names":false,"suffix":""}],"container-title":"Australian Health Practitioner Regulation Agency","id":"ITEM-1","issued":{"date-parts":[["2020"]]},"title":"The National Scheme's Aboriginal and Torres Strait Islander Health and Cultural Safety Strategy 2020-2025","type":"report"},"uris":["http://www.mendeley.com/documents/?uuid=da182113-ba18-413e-85c9-ed5271959dfc"]}],"mendeley":{"formattedCitation":"(29)","plainTextFormattedCitation":"(29)","previouslyFormattedCitation":"(29)"},"properties":{"noteIndex":0},"schema":"https://github.com/citation-style-language/schema/raw/master/csl-citation.json"}</w:instrText>
            </w:r>
            <w:r w:rsidRPr="0077185F">
              <w:rPr>
                <w:rFonts w:ascii="Calibri" w:hAnsi="Calibri" w:cs="Calibri"/>
                <w:sz w:val="20"/>
                <w:szCs w:val="20"/>
              </w:rPr>
              <w:fldChar w:fldCharType="separate"/>
            </w:r>
            <w:r w:rsidR="00BA3D76" w:rsidRPr="00BA3D76">
              <w:rPr>
                <w:rFonts w:ascii="Calibri" w:hAnsi="Calibri" w:cs="Calibri"/>
                <w:noProof/>
                <w:sz w:val="20"/>
                <w:szCs w:val="20"/>
              </w:rPr>
              <w:t>(29)</w:t>
            </w:r>
            <w:r w:rsidRPr="0077185F">
              <w:rPr>
                <w:rFonts w:ascii="Calibri" w:hAnsi="Calibri" w:cs="Calibri"/>
                <w:sz w:val="20"/>
                <w:szCs w:val="20"/>
              </w:rPr>
              <w:fldChar w:fldCharType="end"/>
            </w:r>
            <w:r w:rsidRPr="0077185F">
              <w:rPr>
                <w:rFonts w:ascii="Calibri" w:hAnsi="Calibri" w:cs="Calibri"/>
                <w:i/>
                <w:iCs/>
                <w:sz w:val="20"/>
                <w:szCs w:val="20"/>
              </w:rPr>
              <w:fldChar w:fldCharType="begin" w:fldLock="1"/>
            </w:r>
            <w:r w:rsidR="00EB088B">
              <w:rPr>
                <w:rFonts w:ascii="Calibri" w:hAnsi="Calibri" w:cs="Calibri"/>
                <w:i/>
                <w:iCs/>
                <w:sz w:val="20"/>
                <w:szCs w:val="20"/>
              </w:rPr>
              <w:instrText>ADDIN CSL_CITATION {"citationItems":[{"id":"ITEM-1","itemData":{"abstract":"Leadership and responsibility 5 Health equality and a human rights approach 5 Partnerships 5 Monitoring and Accountability 5 Definitions supporting action on cultural resepect 5 ABORIGINAL AND TORRES STRAIT ISLANDER PEOPLE, HISTORY AND CULTURE 6 Understanding the cultural construct of health for Aboriginal and Torres Strait Islander people 6 Enabling cultural respect improves health outcomes 6 RESPONSIVENESS OF THE AUSTRALIAN HEALTH SYSTEM 7 Addressing health inequalities 7 Health disparities continue to exist for Aboriginal and Torres Strait Islander people 7 Racism and discrimination in the health system affects health outcomes 8 Critical role of the health workforce to achieve culturally respectful services 9 CULTURAL RESPECT ACROSS STATES AND TERRITORIES 9 Longstanding commitment to enabling cultural respect across the health system 9","author":[{"dropping-particle":"","family":"Australian Health Ministers’ Advisory Council’s National","given":"","non-dropping-particle":"","parse-names":false,"suffix":""},{"dropping-particle":"","family":"Aboriginal and Torres Strait Islander Health Standing Committee","given":"","non-dropping-particle":"","parse-names":false,"suffix":""}],"id":"ITEM-1","issued":{"date-parts":[["2016"]]},"number-of-pages":"1-24","title":"Cultural respect framework 2016-2026","type":"report"},"uris":["http://www.mendeley.com/documents/?uuid=30a4f222-f59e-4069-b683-fde4e0b2c741"]}],"mendeley":{"formattedCitation":"(31)","plainTextFormattedCitation":"(31)","previouslyFormattedCitation":"(31)"},"properties":{"noteIndex":0},"schema":"https://github.com/citation-style-language/schema/raw/master/csl-citation.json"}</w:instrText>
            </w:r>
            <w:r w:rsidRPr="0077185F">
              <w:rPr>
                <w:rFonts w:ascii="Calibri" w:hAnsi="Calibri" w:cs="Calibri"/>
                <w:i/>
                <w:iCs/>
                <w:sz w:val="20"/>
                <w:szCs w:val="20"/>
              </w:rPr>
              <w:fldChar w:fldCharType="separate"/>
            </w:r>
            <w:r w:rsidR="00BA3D76" w:rsidRPr="00BA3D76">
              <w:rPr>
                <w:rFonts w:ascii="Calibri" w:hAnsi="Calibri" w:cs="Calibri"/>
                <w:iCs/>
                <w:noProof/>
                <w:sz w:val="20"/>
                <w:szCs w:val="20"/>
              </w:rPr>
              <w:t>(31)</w:t>
            </w:r>
            <w:r w:rsidRPr="0077185F">
              <w:rPr>
                <w:rFonts w:ascii="Calibri" w:hAnsi="Calibri" w:cs="Calibri"/>
                <w:i/>
                <w:iCs/>
                <w:sz w:val="20"/>
                <w:szCs w:val="20"/>
              </w:rPr>
              <w:fldChar w:fldCharType="end"/>
            </w:r>
            <w:r w:rsidRPr="0077185F">
              <w:rPr>
                <w:rFonts w:ascii="Calibri" w:hAnsi="Calibri" w:cs="Calibri"/>
                <w:i/>
                <w:iCs/>
                <w:sz w:val="20"/>
                <w:szCs w:val="20"/>
              </w:rPr>
              <w:t xml:space="preserve"> </w:t>
            </w:r>
            <w:r w:rsidRPr="0077185F">
              <w:rPr>
                <w:rFonts w:ascii="Calibri" w:hAnsi="Calibri" w:cs="Calibri"/>
                <w:sz w:val="20"/>
                <w:szCs w:val="20"/>
              </w:rPr>
              <w:t xml:space="preserve">See </w:t>
            </w:r>
            <w:hyperlink w:anchor="_Cultural_safety"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3</w:t>
              </w:r>
              <w:r w:rsidRPr="0077185F">
                <w:rPr>
                  <w:rStyle w:val="Hyperlink"/>
                  <w:rFonts w:ascii="Calibri" w:hAnsi="Calibri" w:cs="Calibri"/>
                  <w:sz w:val="20"/>
                  <w:szCs w:val="20"/>
                </w:rPr>
                <w:t>.</w:t>
              </w:r>
              <w:r w:rsidR="00331FC8">
                <w:rPr>
                  <w:rStyle w:val="Hyperlink"/>
                  <w:rFonts w:ascii="Calibri" w:hAnsi="Calibri" w:cs="Calibri"/>
                  <w:sz w:val="20"/>
                  <w:szCs w:val="20"/>
                </w:rPr>
                <w:t>4</w:t>
              </w:r>
              <w:r w:rsidRPr="0077185F">
                <w:rPr>
                  <w:rStyle w:val="Hyperlink"/>
                  <w:rFonts w:ascii="Calibri" w:hAnsi="Calibri" w:cs="Calibri"/>
                  <w:sz w:val="20"/>
                  <w:szCs w:val="20"/>
                </w:rPr>
                <w:t>.2</w:t>
              </w:r>
            </w:hyperlink>
            <w:r w:rsidRPr="0077185F">
              <w:rPr>
                <w:rFonts w:ascii="Calibri" w:hAnsi="Calibri" w:cs="Calibri"/>
                <w:sz w:val="20"/>
                <w:szCs w:val="20"/>
              </w:rPr>
              <w:t>.</w:t>
            </w:r>
          </w:p>
        </w:tc>
      </w:tr>
      <w:tr w:rsidR="009C2EF0" w:rsidRPr="0077185F" w14:paraId="515AB123" w14:textId="77777777">
        <w:tc>
          <w:tcPr>
            <w:tcW w:w="1869" w:type="dxa"/>
          </w:tcPr>
          <w:p w14:paraId="2F00224B"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custodian; custodianship</w:t>
            </w:r>
          </w:p>
        </w:tc>
        <w:tc>
          <w:tcPr>
            <w:tcW w:w="7141" w:type="dxa"/>
          </w:tcPr>
          <w:p w14:paraId="33305DE8" w14:textId="77777777" w:rsidR="009C2EF0" w:rsidRPr="0077185F" w:rsidRDefault="009C2EF0" w:rsidP="00EA22AE">
            <w:pPr>
              <w:spacing w:after="120"/>
              <w:rPr>
                <w:rFonts w:ascii="Calibri" w:hAnsi="Calibri" w:cs="Calibri"/>
                <w:sz w:val="20"/>
                <w:szCs w:val="20"/>
                <w:shd w:val="clear" w:color="auto" w:fill="FFFFFF"/>
              </w:rPr>
            </w:pPr>
            <w:r w:rsidRPr="0077185F">
              <w:rPr>
                <w:rFonts w:ascii="Calibri" w:hAnsi="Calibri" w:cs="Calibri"/>
                <w:sz w:val="20"/>
                <w:szCs w:val="20"/>
                <w:shd w:val="clear" w:color="auto" w:fill="FFFFFF"/>
              </w:rPr>
              <w:t xml:space="preserve">A custodian is a person or entity that has responsibility for taking care of or protecting someone or something. </w:t>
            </w:r>
          </w:p>
          <w:p w14:paraId="618F4BC5" w14:textId="4AF71FC0" w:rsidR="009C2EF0" w:rsidRPr="0077185F" w:rsidRDefault="009C2EF0" w:rsidP="00EA22AE">
            <w:pPr>
              <w:spacing w:after="120"/>
              <w:rPr>
                <w:rFonts w:ascii="Calibri" w:hAnsi="Calibri" w:cs="Calibri"/>
                <w:sz w:val="20"/>
                <w:szCs w:val="20"/>
                <w:shd w:val="clear" w:color="auto" w:fill="FFFFFF"/>
              </w:rPr>
            </w:pPr>
            <w:r w:rsidRPr="0077185F">
              <w:rPr>
                <w:rFonts w:ascii="Calibri" w:hAnsi="Calibri" w:cs="Calibri"/>
                <w:sz w:val="20"/>
                <w:szCs w:val="20"/>
                <w:shd w:val="clear" w:color="auto" w:fill="FFFFFF"/>
              </w:rPr>
              <w:t>Custodianship of human cells, tissues, or organs is transferred from the donor to the health professionals who remove these during donation, and then to other professionals or institutions that may be involved in transporting, processing, storing, or transplanting donations. The recipient of a transplant is usually the final custodian of donations. Each custodian has responsibility for the donation while it is in their care. (</w:t>
            </w:r>
            <w:r w:rsidR="00331FC8">
              <w:rPr>
                <w:rFonts w:ascii="Calibri" w:hAnsi="Calibri" w:cs="Calibri"/>
                <w:sz w:val="20"/>
                <w:szCs w:val="20"/>
                <w:shd w:val="clear" w:color="auto" w:fill="FFFFFF"/>
              </w:rPr>
              <w:t>S</w:t>
            </w:r>
            <w:r w:rsidRPr="0077185F">
              <w:rPr>
                <w:rFonts w:ascii="Calibri" w:hAnsi="Calibri" w:cs="Calibri"/>
                <w:sz w:val="20"/>
                <w:szCs w:val="20"/>
                <w:shd w:val="clear" w:color="auto" w:fill="FFFFFF"/>
              </w:rPr>
              <w:t xml:space="preserve">ee </w:t>
            </w:r>
            <w:hyperlink w:anchor="_Ethical_obligations_of_1" w:history="1">
              <w:r w:rsidRPr="0077185F">
                <w:rPr>
                  <w:rStyle w:val="Hyperlink"/>
                  <w:rFonts w:ascii="Calibri" w:hAnsi="Calibri" w:cs="Calibri"/>
                  <w:sz w:val="20"/>
                  <w:szCs w:val="20"/>
                  <w:shd w:val="clear" w:color="auto" w:fill="FFFFFF"/>
                </w:rPr>
                <w:t xml:space="preserve">Chapter </w:t>
              </w:r>
              <w:r w:rsidR="00331FC8">
                <w:rPr>
                  <w:rStyle w:val="Hyperlink"/>
                  <w:rFonts w:ascii="Calibri" w:hAnsi="Calibri" w:cs="Calibri"/>
                  <w:sz w:val="20"/>
                  <w:szCs w:val="20"/>
                  <w:shd w:val="clear" w:color="auto" w:fill="FFFFFF"/>
                </w:rPr>
                <w:t>9</w:t>
              </w:r>
              <w:r w:rsidRPr="0077185F">
                <w:rPr>
                  <w:rStyle w:val="Hyperlink"/>
                  <w:rFonts w:ascii="Calibri" w:hAnsi="Calibri" w:cs="Calibri"/>
                  <w:sz w:val="20"/>
                  <w:szCs w:val="20"/>
                  <w:shd w:val="clear" w:color="auto" w:fill="FFFFFF"/>
                </w:rPr>
                <w:t>.2</w:t>
              </w:r>
            </w:hyperlink>
            <w:r w:rsidRPr="0077185F">
              <w:rPr>
                <w:rFonts w:ascii="Calibri" w:hAnsi="Calibri" w:cs="Calibri"/>
                <w:sz w:val="20"/>
                <w:szCs w:val="20"/>
                <w:shd w:val="clear" w:color="auto" w:fill="FFFFFF"/>
              </w:rPr>
              <w:t>)</w:t>
            </w:r>
          </w:p>
        </w:tc>
      </w:tr>
      <w:tr w:rsidR="009C2EF0" w:rsidRPr="0077185F" w14:paraId="3B1DCBDB" w14:textId="77777777">
        <w:tc>
          <w:tcPr>
            <w:tcW w:w="1869" w:type="dxa"/>
          </w:tcPr>
          <w:p w14:paraId="1F4A6D20" w14:textId="77777777" w:rsidR="009C2EF0" w:rsidRPr="0077185F" w:rsidRDefault="009C2EF0" w:rsidP="00EA22AE">
            <w:pPr>
              <w:spacing w:after="120"/>
              <w:rPr>
                <w:rFonts w:ascii="Calibri" w:hAnsi="Calibri" w:cs="Calibri"/>
                <w:b/>
                <w:bCs/>
                <w:sz w:val="20"/>
                <w:szCs w:val="20"/>
              </w:rPr>
            </w:pPr>
            <w:r>
              <w:rPr>
                <w:rFonts w:ascii="Calibri" w:hAnsi="Calibri" w:cs="Calibri"/>
                <w:b/>
                <w:bCs/>
                <w:sz w:val="20"/>
                <w:szCs w:val="20"/>
              </w:rPr>
              <w:t>d</w:t>
            </w:r>
            <w:r w:rsidRPr="0077185F">
              <w:rPr>
                <w:rFonts w:ascii="Calibri" w:hAnsi="Calibri" w:cs="Calibri"/>
                <w:b/>
                <w:bCs/>
                <w:sz w:val="20"/>
                <w:szCs w:val="20"/>
              </w:rPr>
              <w:t>ecision</w:t>
            </w:r>
            <w:r>
              <w:rPr>
                <w:rFonts w:ascii="Calibri" w:hAnsi="Calibri" w:cs="Calibri"/>
                <w:b/>
                <w:bCs/>
                <w:sz w:val="20"/>
                <w:szCs w:val="20"/>
              </w:rPr>
              <w:t>-making</w:t>
            </w:r>
            <w:r w:rsidRPr="0077185F">
              <w:rPr>
                <w:rFonts w:ascii="Calibri" w:hAnsi="Calibri" w:cs="Calibri"/>
                <w:b/>
                <w:bCs/>
                <w:sz w:val="20"/>
                <w:szCs w:val="20"/>
              </w:rPr>
              <w:t xml:space="preserve"> aid</w:t>
            </w:r>
          </w:p>
        </w:tc>
        <w:tc>
          <w:tcPr>
            <w:tcW w:w="7141" w:type="dxa"/>
          </w:tcPr>
          <w:p w14:paraId="05491D33" w14:textId="77777777" w:rsidR="009C2EF0" w:rsidRPr="0077185F" w:rsidRDefault="009C2EF0" w:rsidP="00EA22AE">
            <w:pPr>
              <w:spacing w:after="120"/>
              <w:rPr>
                <w:rFonts w:ascii="Calibri" w:hAnsi="Calibri" w:cs="Calibri"/>
                <w:b/>
                <w:bCs/>
                <w:sz w:val="20"/>
                <w:szCs w:val="20"/>
                <w:shd w:val="clear" w:color="auto" w:fill="FFFFFF"/>
              </w:rPr>
            </w:pPr>
            <w:r w:rsidRPr="0077185F">
              <w:rPr>
                <w:rFonts w:ascii="Calibri" w:hAnsi="Calibri" w:cs="Calibri"/>
                <w:sz w:val="20"/>
                <w:szCs w:val="20"/>
                <w:shd w:val="clear" w:color="auto" w:fill="FFFFFF"/>
              </w:rPr>
              <w:t xml:space="preserve">Also known as </w:t>
            </w:r>
            <w:r w:rsidRPr="0077185F">
              <w:rPr>
                <w:rFonts w:ascii="Calibri" w:hAnsi="Calibri" w:cs="Calibri"/>
                <w:b/>
                <w:bCs/>
                <w:sz w:val="20"/>
                <w:szCs w:val="20"/>
                <w:shd w:val="clear" w:color="auto" w:fill="FFFFFF"/>
              </w:rPr>
              <w:t>decision support, decision aid, decision tool, etc.</w:t>
            </w:r>
          </w:p>
          <w:p w14:paraId="60F1E652" w14:textId="77777777" w:rsidR="009C2EF0" w:rsidRPr="0077185F" w:rsidRDefault="009C2EF0" w:rsidP="00EA22AE">
            <w:pPr>
              <w:spacing w:after="120"/>
              <w:rPr>
                <w:rFonts w:ascii="Calibri" w:hAnsi="Calibri" w:cs="Calibri"/>
                <w:sz w:val="20"/>
                <w:szCs w:val="20"/>
                <w:shd w:val="clear" w:color="auto" w:fill="FFFFFF"/>
              </w:rPr>
            </w:pPr>
            <w:r w:rsidRPr="0077185F">
              <w:rPr>
                <w:rFonts w:ascii="Calibri" w:hAnsi="Calibri" w:cs="Calibri"/>
                <w:sz w:val="20"/>
                <w:szCs w:val="20"/>
                <w:shd w:val="clear" w:color="auto" w:fill="FFFFFF"/>
              </w:rPr>
              <w:t xml:space="preserve">Anything which may guide or support decision-making, e.g., clinical guidelines, risk communication tool, choice frameworks. </w:t>
            </w:r>
          </w:p>
        </w:tc>
      </w:tr>
      <w:tr w:rsidR="009C2EF0" w:rsidRPr="0077185F" w14:paraId="269022B7" w14:textId="77777777">
        <w:tc>
          <w:tcPr>
            <w:tcW w:w="1869" w:type="dxa"/>
          </w:tcPr>
          <w:p w14:paraId="012251E6"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decision-making capacity</w:t>
            </w:r>
          </w:p>
        </w:tc>
        <w:tc>
          <w:tcPr>
            <w:tcW w:w="7141" w:type="dxa"/>
          </w:tcPr>
          <w:p w14:paraId="1CACA705" w14:textId="180B3268" w:rsidR="009C2EF0" w:rsidRPr="0077185F" w:rsidRDefault="009C2EF0" w:rsidP="00EA22AE">
            <w:pPr>
              <w:spacing w:after="120"/>
              <w:rPr>
                <w:rFonts w:ascii="Calibri" w:hAnsi="Calibri" w:cs="Calibri"/>
                <w:sz w:val="20"/>
                <w:szCs w:val="20"/>
                <w:shd w:val="clear" w:color="auto" w:fill="FFFFFF"/>
              </w:rPr>
            </w:pPr>
            <w:r w:rsidRPr="0077185F">
              <w:rPr>
                <w:rFonts w:ascii="Calibri" w:hAnsi="Calibri" w:cs="Calibri"/>
                <w:sz w:val="20"/>
                <w:szCs w:val="20"/>
                <w:shd w:val="clear" w:color="auto" w:fill="FFFFFF"/>
              </w:rPr>
              <w:t xml:space="preserve">Ability to understand relevant information and evaluate the potential consequences of choices in order to make and communicate a decision in a specific context. (see </w:t>
            </w:r>
            <w:hyperlink w:anchor="_Decision-making_capacity" w:history="1">
              <w:r w:rsidRPr="0077185F">
                <w:rPr>
                  <w:rStyle w:val="Hyperlink"/>
                  <w:rFonts w:ascii="Calibri" w:hAnsi="Calibri" w:cs="Calibri"/>
                  <w:sz w:val="20"/>
                  <w:szCs w:val="20"/>
                  <w:shd w:val="clear" w:color="auto" w:fill="FFFFFF"/>
                </w:rPr>
                <w:t xml:space="preserve">Chapter </w:t>
              </w:r>
              <w:r w:rsidR="00331FC8">
                <w:rPr>
                  <w:rStyle w:val="Hyperlink"/>
                  <w:rFonts w:ascii="Calibri" w:hAnsi="Calibri" w:cs="Calibri"/>
                  <w:sz w:val="20"/>
                  <w:szCs w:val="20"/>
                  <w:shd w:val="clear" w:color="auto" w:fill="FFFFFF"/>
                </w:rPr>
                <w:t>4</w:t>
              </w:r>
              <w:r w:rsidRPr="0077185F">
                <w:rPr>
                  <w:rStyle w:val="Hyperlink"/>
                  <w:rFonts w:ascii="Calibri" w:hAnsi="Calibri" w:cs="Calibri"/>
                  <w:sz w:val="20"/>
                  <w:szCs w:val="20"/>
                  <w:shd w:val="clear" w:color="auto" w:fill="FFFFFF"/>
                </w:rPr>
                <w:t>.1.1</w:t>
              </w:r>
            </w:hyperlink>
            <w:r w:rsidRPr="0077185F">
              <w:rPr>
                <w:rFonts w:ascii="Calibri" w:hAnsi="Calibri" w:cs="Calibri"/>
                <w:sz w:val="20"/>
                <w:szCs w:val="20"/>
                <w:shd w:val="clear" w:color="auto" w:fill="FFFFFF"/>
              </w:rPr>
              <w:t>)</w:t>
            </w:r>
          </w:p>
        </w:tc>
      </w:tr>
      <w:tr w:rsidR="009C2EF0" w:rsidRPr="0077185F" w14:paraId="0C486540" w14:textId="77777777">
        <w:tc>
          <w:tcPr>
            <w:tcW w:w="1869" w:type="dxa"/>
          </w:tcPr>
          <w:p w14:paraId="029098CB"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dependent donor</w:t>
            </w:r>
          </w:p>
        </w:tc>
        <w:tc>
          <w:tcPr>
            <w:tcW w:w="7141" w:type="dxa"/>
          </w:tcPr>
          <w:p w14:paraId="00425876" w14:textId="1B90E983"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person who is not able to provide legally valid consent to living donation, such as a young child or adult who lacks decision-making capacity (see </w:t>
            </w:r>
            <w:hyperlink w:anchor="_Living_donation_by"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5</w:t>
              </w:r>
              <w:r w:rsidRPr="0077185F">
                <w:rPr>
                  <w:rStyle w:val="Hyperlink"/>
                  <w:rFonts w:ascii="Calibri" w:hAnsi="Calibri" w:cs="Calibri"/>
                  <w:sz w:val="20"/>
                  <w:szCs w:val="20"/>
                </w:rPr>
                <w:t>.5</w:t>
              </w:r>
            </w:hyperlink>
            <w:r w:rsidRPr="0077185F">
              <w:rPr>
                <w:rFonts w:ascii="Calibri" w:hAnsi="Calibri" w:cs="Calibri"/>
                <w:sz w:val="20"/>
                <w:szCs w:val="20"/>
              </w:rPr>
              <w:t>)</w:t>
            </w:r>
          </w:p>
        </w:tc>
      </w:tr>
      <w:tr w:rsidR="009C2EF0" w:rsidRPr="0077185F" w14:paraId="06D52B83" w14:textId="77777777">
        <w:tc>
          <w:tcPr>
            <w:tcW w:w="1869" w:type="dxa"/>
          </w:tcPr>
          <w:p w14:paraId="506107D2"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designated officer</w:t>
            </w:r>
          </w:p>
        </w:tc>
        <w:tc>
          <w:tcPr>
            <w:tcW w:w="7141" w:type="dxa"/>
          </w:tcPr>
          <w:p w14:paraId="3575E4BE" w14:textId="3E8057BC"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health professional appointed under a state </w:t>
            </w:r>
            <w:r w:rsidRPr="0077185F">
              <w:rPr>
                <w:rFonts w:ascii="Calibri" w:hAnsi="Calibri" w:cs="Calibri"/>
                <w:i/>
                <w:iCs/>
                <w:sz w:val="20"/>
                <w:szCs w:val="20"/>
              </w:rPr>
              <w:t>Human Tissue Act</w:t>
            </w:r>
            <w:r w:rsidRPr="0077185F">
              <w:rPr>
                <w:rFonts w:ascii="Calibri" w:hAnsi="Calibri" w:cs="Calibri"/>
                <w:sz w:val="20"/>
                <w:szCs w:val="20"/>
              </w:rPr>
              <w:t xml:space="preserve"> to authorise, amongst other functions, the removal of tissue from a body after death for transplant or other therapeutic, medical or scientific purpo</w:t>
            </w:r>
            <w:r w:rsidRPr="00331FC8">
              <w:rPr>
                <w:rFonts w:ascii="Calibri" w:hAnsi="Calibri" w:cs="Calibri"/>
                <w:sz w:val="20"/>
                <w:szCs w:val="20"/>
              </w:rPr>
              <w:t>ses</w:t>
            </w:r>
            <w:r w:rsidR="00331FC8" w:rsidRPr="00331FC8">
              <w:rPr>
                <w:rFonts w:ascii="Calibri" w:hAnsi="Calibri" w:cs="Calibri"/>
                <w:sz w:val="20"/>
                <w:szCs w:val="20"/>
              </w:rPr>
              <w:t xml:space="preserve">. (See </w:t>
            </w:r>
            <w:hyperlink w:anchor="_Authorisation_of_deceased" w:history="1">
              <w:r w:rsidR="00331FC8" w:rsidRPr="00331FC8">
                <w:rPr>
                  <w:rStyle w:val="Hyperlink"/>
                  <w:rFonts w:ascii="Calibri" w:hAnsi="Calibri" w:cs="Calibri"/>
                  <w:sz w:val="20"/>
                  <w:szCs w:val="20"/>
                </w:rPr>
                <w:t>Chapter 2.4.3.3</w:t>
              </w:r>
            </w:hyperlink>
            <w:r w:rsidR="00331FC8" w:rsidRPr="00331FC8">
              <w:rPr>
                <w:rFonts w:ascii="Calibri" w:hAnsi="Calibri" w:cs="Calibri"/>
                <w:sz w:val="20"/>
                <w:szCs w:val="20"/>
              </w:rPr>
              <w:t>).</w:t>
            </w:r>
          </w:p>
        </w:tc>
      </w:tr>
      <w:tr w:rsidR="009C2EF0" w:rsidRPr="0077185F" w14:paraId="14101D01" w14:textId="77777777">
        <w:tc>
          <w:tcPr>
            <w:tcW w:w="1869" w:type="dxa"/>
          </w:tcPr>
          <w:p w14:paraId="3AF2F5F0"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directed donation</w:t>
            </w:r>
          </w:p>
        </w:tc>
        <w:tc>
          <w:tcPr>
            <w:tcW w:w="7141" w:type="dxa"/>
          </w:tcPr>
          <w:p w14:paraId="15D1DE9E"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Donation in which the donor or donation decision-maker specifies the individual(s) who will receive the donation for use in transplantation; the transplant recipient usually has an existing social, emotional, or familial relationship with the directed donor.</w:t>
            </w:r>
          </w:p>
          <w:p w14:paraId="2F56127D"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In contrast, donations from </w:t>
            </w:r>
            <w:r w:rsidRPr="0077185F">
              <w:rPr>
                <w:rFonts w:ascii="Calibri" w:hAnsi="Calibri" w:cs="Calibri"/>
                <w:b/>
                <w:bCs/>
                <w:sz w:val="20"/>
                <w:szCs w:val="20"/>
              </w:rPr>
              <w:t>non-directed donors</w:t>
            </w:r>
            <w:r w:rsidRPr="0077185F">
              <w:rPr>
                <w:rFonts w:ascii="Calibri" w:hAnsi="Calibri" w:cs="Calibri"/>
                <w:sz w:val="20"/>
                <w:szCs w:val="20"/>
              </w:rPr>
              <w:t xml:space="preserve"> are offered to any suitably matched transplant recipient in accordance with relevant systems for allocation or distribution of donated cells, tissues, or organs.</w:t>
            </w:r>
          </w:p>
        </w:tc>
      </w:tr>
      <w:tr w:rsidR="009C2EF0" w:rsidRPr="0077185F" w14:paraId="31B671C5" w14:textId="77777777">
        <w:tc>
          <w:tcPr>
            <w:tcW w:w="1869" w:type="dxa"/>
          </w:tcPr>
          <w:p w14:paraId="49356FCD"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dissent</w:t>
            </w:r>
          </w:p>
        </w:tc>
        <w:tc>
          <w:tcPr>
            <w:tcW w:w="7141" w:type="dxa"/>
          </w:tcPr>
          <w:p w14:paraId="220EED68"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Expression of disagreement (see </w:t>
            </w:r>
            <w:r w:rsidRPr="0077185F">
              <w:rPr>
                <w:rFonts w:ascii="Calibri" w:hAnsi="Calibri" w:cs="Calibri"/>
                <w:b/>
                <w:bCs/>
                <w:sz w:val="20"/>
                <w:szCs w:val="20"/>
              </w:rPr>
              <w:t>assent</w:t>
            </w:r>
            <w:r w:rsidRPr="0077185F">
              <w:rPr>
                <w:rFonts w:ascii="Calibri" w:hAnsi="Calibri" w:cs="Calibri"/>
                <w:sz w:val="20"/>
                <w:szCs w:val="20"/>
              </w:rPr>
              <w:t>)</w:t>
            </w:r>
          </w:p>
        </w:tc>
      </w:tr>
      <w:tr w:rsidR="009C2EF0" w:rsidRPr="0077185F" w14:paraId="0A9B90DE" w14:textId="77777777">
        <w:tc>
          <w:tcPr>
            <w:tcW w:w="1869" w:type="dxa"/>
          </w:tcPr>
          <w:p w14:paraId="3F3754E1"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donation and transplantation activities</w:t>
            </w:r>
          </w:p>
        </w:tc>
        <w:tc>
          <w:tcPr>
            <w:tcW w:w="7141" w:type="dxa"/>
          </w:tcPr>
          <w:p w14:paraId="48C00C10" w14:textId="77777777" w:rsidR="009C2EF0" w:rsidRPr="0077185F" w:rsidRDefault="009C2EF0" w:rsidP="00EA22AE">
            <w:pPr>
              <w:spacing w:after="120"/>
              <w:rPr>
                <w:rFonts w:ascii="Calibri" w:hAnsi="Calibri" w:cs="Calibri"/>
                <w:color w:val="192228"/>
                <w:sz w:val="20"/>
                <w:szCs w:val="20"/>
                <w:shd w:val="clear" w:color="auto" w:fill="FFFFFF"/>
              </w:rPr>
            </w:pPr>
            <w:r w:rsidRPr="0077185F">
              <w:rPr>
                <w:rFonts w:ascii="Calibri" w:hAnsi="Calibri" w:cs="Calibri"/>
                <w:sz w:val="20"/>
                <w:szCs w:val="20"/>
              </w:rPr>
              <w:t>These include but are not limited to various steps in the recruitment and evaluation of potential donors; maintenance of donor and patient registries; removal of cells, tissues, and organs from donors; transport, processing, storage, distribution and transplantation of donated cells, tissues, and organs; and research evaluating performance of donation and transplantation programs and investigating new methods or technologies that may improve practice and outcomes.</w:t>
            </w:r>
          </w:p>
        </w:tc>
      </w:tr>
      <w:tr w:rsidR="009C2EF0" w:rsidRPr="0077185F" w14:paraId="6089A0A9" w14:textId="77777777">
        <w:tc>
          <w:tcPr>
            <w:tcW w:w="1869" w:type="dxa"/>
          </w:tcPr>
          <w:p w14:paraId="0D1139F7"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donation decision-maker</w:t>
            </w:r>
          </w:p>
        </w:tc>
        <w:tc>
          <w:tcPr>
            <w:tcW w:w="7141" w:type="dxa"/>
          </w:tcPr>
          <w:p w14:paraId="68E97DBD" w14:textId="77777777" w:rsidR="009C2EF0" w:rsidRPr="0077185F" w:rsidRDefault="009C2EF0" w:rsidP="00EA22AE">
            <w:pPr>
              <w:spacing w:after="120"/>
              <w:rPr>
                <w:rFonts w:ascii="Calibri" w:hAnsi="Calibri" w:cs="Calibri"/>
                <w:color w:val="192228"/>
                <w:sz w:val="20"/>
                <w:szCs w:val="20"/>
                <w:shd w:val="clear" w:color="auto" w:fill="FFFFFF"/>
              </w:rPr>
            </w:pPr>
            <w:r w:rsidRPr="0077185F">
              <w:rPr>
                <w:rFonts w:ascii="Calibri" w:hAnsi="Calibri" w:cs="Calibri"/>
                <w:color w:val="192228"/>
                <w:sz w:val="20"/>
                <w:szCs w:val="20"/>
                <w:shd w:val="clear" w:color="auto" w:fill="FFFFFF"/>
              </w:rPr>
              <w:t>Refers to a person making a decision about deceased donation, usually in the context of substitute decision-making for deceased donation</w:t>
            </w:r>
          </w:p>
        </w:tc>
      </w:tr>
      <w:tr w:rsidR="009C2EF0" w:rsidRPr="0077185F" w14:paraId="5993D550" w14:textId="77777777">
        <w:tc>
          <w:tcPr>
            <w:tcW w:w="1869" w:type="dxa"/>
          </w:tcPr>
          <w:p w14:paraId="1AE56DE8"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donation specialist</w:t>
            </w:r>
          </w:p>
        </w:tc>
        <w:tc>
          <w:tcPr>
            <w:tcW w:w="7141" w:type="dxa"/>
          </w:tcPr>
          <w:p w14:paraId="6EB61015" w14:textId="77777777" w:rsidR="009C2EF0" w:rsidRPr="0077185F" w:rsidRDefault="009C2EF0" w:rsidP="00EA22AE">
            <w:pPr>
              <w:spacing w:after="120"/>
              <w:rPr>
                <w:rFonts w:ascii="Calibri" w:hAnsi="Calibri" w:cs="Calibri"/>
                <w:sz w:val="20"/>
                <w:szCs w:val="20"/>
              </w:rPr>
            </w:pPr>
            <w:r w:rsidRPr="0077185F">
              <w:rPr>
                <w:rFonts w:ascii="Calibri" w:hAnsi="Calibri" w:cs="Calibri"/>
                <w:color w:val="192228"/>
                <w:sz w:val="20"/>
                <w:szCs w:val="20"/>
                <w:shd w:val="clear" w:color="auto" w:fill="FFFFFF"/>
              </w:rPr>
              <w:t>Specially trained professionals in the practice of organ and tissue donation who support the family and donation process and provide education to the community and health professionals.</w:t>
            </w:r>
          </w:p>
        </w:tc>
      </w:tr>
      <w:tr w:rsidR="009C2EF0" w:rsidRPr="0077185F" w14:paraId="1F94E2A7" w14:textId="77777777">
        <w:tc>
          <w:tcPr>
            <w:tcW w:w="1869" w:type="dxa"/>
          </w:tcPr>
          <w:p w14:paraId="176B3642"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end-of-life care</w:t>
            </w:r>
          </w:p>
        </w:tc>
        <w:tc>
          <w:tcPr>
            <w:tcW w:w="7141" w:type="dxa"/>
          </w:tcPr>
          <w:p w14:paraId="070D2D70" w14:textId="77777777" w:rsidR="009C2EF0" w:rsidRPr="0077185F" w:rsidRDefault="009C2EF0" w:rsidP="00EA22AE">
            <w:pPr>
              <w:spacing w:after="120"/>
              <w:rPr>
                <w:rFonts w:ascii="Calibri" w:hAnsi="Calibri" w:cs="Calibri"/>
                <w:color w:val="192228"/>
                <w:sz w:val="20"/>
                <w:szCs w:val="20"/>
                <w:shd w:val="clear" w:color="auto" w:fill="FFFFFF"/>
              </w:rPr>
            </w:pPr>
            <w:r w:rsidRPr="0077185F">
              <w:rPr>
                <w:rFonts w:ascii="Calibri" w:hAnsi="Calibri" w:cs="Calibri"/>
                <w:color w:val="222222"/>
                <w:sz w:val="20"/>
                <w:szCs w:val="20"/>
                <w:shd w:val="clear" w:color="auto" w:fill="FFFFFF"/>
              </w:rPr>
              <w:t xml:space="preserve">health </w:t>
            </w:r>
            <w:r w:rsidRPr="0077185F">
              <w:rPr>
                <w:rFonts w:ascii="Calibri" w:hAnsi="Calibri" w:cs="Calibri"/>
                <w:color w:val="222222"/>
                <w:sz w:val="20"/>
                <w:szCs w:val="20"/>
              </w:rPr>
              <w:t>care</w:t>
            </w:r>
            <w:r w:rsidRPr="0077185F">
              <w:rPr>
                <w:rFonts w:ascii="Calibri" w:hAnsi="Calibri" w:cs="Calibri"/>
                <w:color w:val="222222"/>
                <w:sz w:val="20"/>
                <w:szCs w:val="20"/>
                <w:shd w:val="clear" w:color="auto" w:fill="FFFFFF"/>
              </w:rPr>
              <w:t xml:space="preserve"> that individuals receive in the last days of their </w:t>
            </w:r>
            <w:r w:rsidRPr="0077185F">
              <w:rPr>
                <w:rFonts w:ascii="Calibri" w:hAnsi="Calibri" w:cs="Calibri"/>
                <w:color w:val="222222"/>
                <w:sz w:val="20"/>
                <w:szCs w:val="20"/>
              </w:rPr>
              <w:t>lives</w:t>
            </w:r>
            <w:r w:rsidRPr="0077185F">
              <w:rPr>
                <w:rFonts w:ascii="Calibri" w:hAnsi="Calibri" w:cs="Calibri"/>
                <w:color w:val="222222"/>
                <w:sz w:val="20"/>
                <w:szCs w:val="20"/>
                <w:shd w:val="clear" w:color="auto" w:fill="FFFFFF"/>
              </w:rPr>
              <w:t xml:space="preserve"> that aims to minimise the distress and grief associated with death and dying for the individual, and for their family, friends and carers</w:t>
            </w:r>
          </w:p>
        </w:tc>
      </w:tr>
      <w:tr w:rsidR="009C2EF0" w:rsidRPr="0077185F" w14:paraId="35E499EB" w14:textId="77777777">
        <w:tc>
          <w:tcPr>
            <w:tcW w:w="1869" w:type="dxa"/>
          </w:tcPr>
          <w:p w14:paraId="2DC7E6A7"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lastRenderedPageBreak/>
              <w:t xml:space="preserve">equity </w:t>
            </w:r>
          </w:p>
        </w:tc>
        <w:tc>
          <w:tcPr>
            <w:tcW w:w="7141" w:type="dxa"/>
          </w:tcPr>
          <w:p w14:paraId="68E8612B" w14:textId="4A417FE1" w:rsidR="009C2EF0" w:rsidRPr="0077185F" w:rsidRDefault="009C2EF0" w:rsidP="00EA22AE">
            <w:pPr>
              <w:spacing w:after="120"/>
              <w:rPr>
                <w:rFonts w:ascii="Calibri" w:hAnsi="Calibri" w:cs="Calibri"/>
                <w:color w:val="222222"/>
                <w:sz w:val="20"/>
                <w:szCs w:val="20"/>
                <w:shd w:val="clear" w:color="auto" w:fill="FFFFFF"/>
              </w:rPr>
            </w:pPr>
            <w:r w:rsidRPr="0077185F">
              <w:rPr>
                <w:rFonts w:ascii="Calibri" w:hAnsi="Calibri" w:cs="Calibri"/>
                <w:i/>
                <w:iCs/>
                <w:color w:val="333333"/>
                <w:sz w:val="20"/>
                <w:szCs w:val="20"/>
              </w:rPr>
              <w:t>Equity</w:t>
            </w:r>
            <w:r w:rsidRPr="0077185F">
              <w:rPr>
                <w:rFonts w:ascii="Calibri" w:hAnsi="Calibri" w:cs="Calibri"/>
                <w:color w:val="333333"/>
                <w:sz w:val="20"/>
                <w:szCs w:val="20"/>
                <w:shd w:val="clear" w:color="auto" w:fill="FFFFFF"/>
              </w:rPr>
              <w:t xml:space="preserve"> is the absence of avoidable or remediable differences among groups of people, whether those groups are defined socially, economically, demographically, or geographically. (see </w:t>
            </w:r>
            <w:hyperlink w:anchor="_The_concept_of_1" w:history="1">
              <w:r w:rsidRPr="0077185F">
                <w:rPr>
                  <w:rStyle w:val="Hyperlink"/>
                  <w:rFonts w:ascii="Calibri" w:hAnsi="Calibri" w:cs="Calibri"/>
                  <w:sz w:val="20"/>
                  <w:szCs w:val="20"/>
                  <w:shd w:val="clear" w:color="auto" w:fill="FFFFFF"/>
                </w:rPr>
                <w:t xml:space="preserve">Chapter </w:t>
              </w:r>
              <w:r w:rsidR="00331FC8">
                <w:rPr>
                  <w:rStyle w:val="Hyperlink"/>
                  <w:rFonts w:ascii="Calibri" w:hAnsi="Calibri" w:cs="Calibri"/>
                  <w:sz w:val="20"/>
                  <w:szCs w:val="20"/>
                  <w:shd w:val="clear" w:color="auto" w:fill="FFFFFF"/>
                </w:rPr>
                <w:t>8</w:t>
              </w:r>
              <w:r w:rsidRPr="0077185F">
                <w:rPr>
                  <w:rStyle w:val="Hyperlink"/>
                  <w:rFonts w:ascii="Calibri" w:hAnsi="Calibri" w:cs="Calibri"/>
                  <w:sz w:val="20"/>
                  <w:szCs w:val="20"/>
                  <w:shd w:val="clear" w:color="auto" w:fill="FFFFFF"/>
                </w:rPr>
                <w:t>.1</w:t>
              </w:r>
            </w:hyperlink>
            <w:r w:rsidRPr="0077185F">
              <w:rPr>
                <w:rFonts w:ascii="Calibri" w:hAnsi="Calibri" w:cs="Calibri"/>
                <w:color w:val="333333"/>
                <w:sz w:val="20"/>
                <w:szCs w:val="20"/>
                <w:shd w:val="clear" w:color="auto" w:fill="FFFFFF"/>
              </w:rPr>
              <w:t>)</w:t>
            </w:r>
          </w:p>
        </w:tc>
      </w:tr>
      <w:tr w:rsidR="009C2EF0" w:rsidRPr="0077185F" w14:paraId="74F33602" w14:textId="77777777">
        <w:tc>
          <w:tcPr>
            <w:tcW w:w="1869" w:type="dxa"/>
          </w:tcPr>
          <w:p w14:paraId="1DF1AA69" w14:textId="5C3CF2F4"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ex</w:t>
            </w:r>
            <w:r w:rsidR="002F7283">
              <w:rPr>
                <w:rFonts w:ascii="Calibri" w:hAnsi="Calibri" w:cs="Calibri"/>
                <w:b/>
                <w:bCs/>
                <w:sz w:val="20"/>
                <w:szCs w:val="20"/>
              </w:rPr>
              <w:t>tende</w:t>
            </w:r>
            <w:r w:rsidRPr="0077185F">
              <w:rPr>
                <w:rFonts w:ascii="Calibri" w:hAnsi="Calibri" w:cs="Calibri"/>
                <w:b/>
                <w:bCs/>
                <w:sz w:val="20"/>
                <w:szCs w:val="20"/>
              </w:rPr>
              <w:t>d criteria donor</w:t>
            </w:r>
          </w:p>
        </w:tc>
        <w:tc>
          <w:tcPr>
            <w:tcW w:w="7141" w:type="dxa"/>
          </w:tcPr>
          <w:p w14:paraId="5B23300C" w14:textId="1D122134"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Also known as </w:t>
            </w:r>
            <w:r w:rsidRPr="0077185F">
              <w:rPr>
                <w:rFonts w:ascii="Calibri" w:hAnsi="Calibri" w:cs="Calibri"/>
                <w:b/>
                <w:bCs/>
                <w:sz w:val="20"/>
                <w:szCs w:val="20"/>
              </w:rPr>
              <w:t>ex</w:t>
            </w:r>
            <w:r w:rsidR="002F7283">
              <w:rPr>
                <w:rFonts w:ascii="Calibri" w:hAnsi="Calibri" w:cs="Calibri"/>
                <w:b/>
                <w:bCs/>
                <w:sz w:val="20"/>
                <w:szCs w:val="20"/>
              </w:rPr>
              <w:t>pan</w:t>
            </w:r>
            <w:r w:rsidRPr="0077185F">
              <w:rPr>
                <w:rFonts w:ascii="Calibri" w:hAnsi="Calibri" w:cs="Calibri"/>
                <w:b/>
                <w:bCs/>
                <w:sz w:val="20"/>
                <w:szCs w:val="20"/>
              </w:rPr>
              <w:t>ded criteria donor</w:t>
            </w:r>
          </w:p>
          <w:p w14:paraId="6FF71526"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Donors or donor organs with characteristics outside of ideal or standard criteria, usually associated with poorer functional transplantation outcomes and/or increased risk of donor-derived disease transmission. See also </w:t>
            </w:r>
            <w:r w:rsidRPr="0077185F">
              <w:rPr>
                <w:rFonts w:ascii="Calibri" w:hAnsi="Calibri" w:cs="Calibri"/>
                <w:b/>
                <w:bCs/>
                <w:sz w:val="20"/>
                <w:szCs w:val="20"/>
              </w:rPr>
              <w:t>non-standard risk donor</w:t>
            </w:r>
          </w:p>
        </w:tc>
      </w:tr>
      <w:tr w:rsidR="009C2EF0" w:rsidRPr="0077185F" w14:paraId="3E130C0A" w14:textId="77777777">
        <w:tc>
          <w:tcPr>
            <w:tcW w:w="1869" w:type="dxa"/>
          </w:tcPr>
          <w:p w14:paraId="316BD773"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family</w:t>
            </w:r>
          </w:p>
        </w:tc>
        <w:tc>
          <w:tcPr>
            <w:tcW w:w="7141" w:type="dxa"/>
          </w:tcPr>
          <w:p w14:paraId="11351FD6"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Those who are closest to the patient in knowledge, care and affection. This may include the biological family, the family of acquisition (related by marriage or contract), and the family and friends of choice.</w:t>
            </w:r>
          </w:p>
        </w:tc>
      </w:tr>
      <w:tr w:rsidR="009C2EF0" w:rsidRPr="0077185F" w14:paraId="79541F08" w14:textId="77777777">
        <w:tc>
          <w:tcPr>
            <w:tcW w:w="1869" w:type="dxa"/>
          </w:tcPr>
          <w:p w14:paraId="7BC1B76B"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financial neutrality in donation</w:t>
            </w:r>
          </w:p>
        </w:tc>
        <w:tc>
          <w:tcPr>
            <w:tcW w:w="7141" w:type="dxa"/>
          </w:tcPr>
          <w:p w14:paraId="51A67144" w14:textId="7706A381"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The idea that donors or donor families should not lose or gain financially as a result of their decision to donate. (see </w:t>
            </w:r>
            <w:hyperlink w:anchor="_Financial_neutrality_in"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10</w:t>
              </w:r>
              <w:r w:rsidRPr="0077185F">
                <w:rPr>
                  <w:rStyle w:val="Hyperlink"/>
                  <w:rFonts w:ascii="Calibri" w:hAnsi="Calibri" w:cs="Calibri"/>
                  <w:sz w:val="20"/>
                  <w:szCs w:val="20"/>
                </w:rPr>
                <w:t>.4</w:t>
              </w:r>
            </w:hyperlink>
            <w:r w:rsidRPr="0077185F">
              <w:rPr>
                <w:rFonts w:ascii="Calibri" w:hAnsi="Calibri" w:cs="Calibri"/>
                <w:sz w:val="20"/>
                <w:szCs w:val="20"/>
              </w:rPr>
              <w:t>)</w:t>
            </w:r>
          </w:p>
        </w:tc>
      </w:tr>
      <w:tr w:rsidR="009C2EF0" w:rsidRPr="0077185F" w14:paraId="1C9C5D56" w14:textId="77777777">
        <w:tc>
          <w:tcPr>
            <w:tcW w:w="1869" w:type="dxa"/>
          </w:tcPr>
          <w:p w14:paraId="2B37743D"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i/>
                <w:iCs/>
                <w:sz w:val="20"/>
                <w:szCs w:val="20"/>
              </w:rPr>
              <w:t>Gillick</w:t>
            </w:r>
            <w:r w:rsidRPr="0077185F">
              <w:rPr>
                <w:rFonts w:ascii="Calibri" w:hAnsi="Calibri" w:cs="Calibri"/>
                <w:b/>
                <w:bCs/>
                <w:sz w:val="20"/>
                <w:szCs w:val="20"/>
              </w:rPr>
              <w:t xml:space="preserve"> competent</w:t>
            </w:r>
          </w:p>
        </w:tc>
        <w:tc>
          <w:tcPr>
            <w:tcW w:w="7141" w:type="dxa"/>
          </w:tcPr>
          <w:p w14:paraId="0973053B" w14:textId="36C8DEA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child who is assessed as having a sufficient understanding and intelligence to enable the child to understand fully what is proposed with regards to a specific clinical decision. Such children are sometimes referred to as “mature minors”. See </w:t>
            </w:r>
            <w:hyperlink w:anchor="_Children_who_may"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5</w:t>
              </w:r>
              <w:r w:rsidRPr="0077185F">
                <w:rPr>
                  <w:rStyle w:val="Hyperlink"/>
                  <w:rFonts w:ascii="Calibri" w:hAnsi="Calibri" w:cs="Calibri"/>
                  <w:sz w:val="20"/>
                  <w:szCs w:val="20"/>
                </w:rPr>
                <w:t>.1.2</w:t>
              </w:r>
            </w:hyperlink>
          </w:p>
        </w:tc>
      </w:tr>
      <w:tr w:rsidR="009C2EF0" w:rsidRPr="0077185F" w14:paraId="78BE0300" w14:textId="77777777">
        <w:tc>
          <w:tcPr>
            <w:tcW w:w="1869" w:type="dxa"/>
          </w:tcPr>
          <w:p w14:paraId="35B568DC"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haematopoietic stem cell (HSC)</w:t>
            </w:r>
          </w:p>
        </w:tc>
        <w:tc>
          <w:tcPr>
            <w:tcW w:w="7141" w:type="dxa"/>
          </w:tcPr>
          <w:p w14:paraId="0B8497BE" w14:textId="1740853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Cells that can be found in bone marrow and blood, which may be transplanted in </w:t>
            </w:r>
            <w:r w:rsidRPr="0077185F">
              <w:rPr>
                <w:rFonts w:ascii="Calibri" w:hAnsi="Calibri" w:cs="Calibri"/>
                <w:color w:val="000000"/>
                <w:sz w:val="20"/>
                <w:szCs w:val="20"/>
                <w:lang w:eastAsia="en-AU"/>
              </w:rPr>
              <w:t>potentially curative treatments for patients with a variety of blood disorders and other diseases</w:t>
            </w:r>
            <w:r w:rsidRPr="0077185F">
              <w:rPr>
                <w:rFonts w:ascii="Calibri" w:hAnsi="Calibri" w:cs="Calibri"/>
                <w:sz w:val="20"/>
                <w:szCs w:val="20"/>
              </w:rPr>
              <w:t xml:space="preserve"> (see </w:t>
            </w:r>
            <w:hyperlink w:anchor="_Cells_for_transplantation" w:history="1">
              <w:r w:rsidR="00331FC8" w:rsidRPr="00331FC8">
                <w:rPr>
                  <w:rStyle w:val="Hyperlink"/>
                  <w:rFonts w:ascii="Calibri" w:hAnsi="Calibri" w:cs="Calibri"/>
                  <w:sz w:val="20"/>
                  <w:szCs w:val="20"/>
                </w:rPr>
                <w:t>Chapter 2.1.1</w:t>
              </w:r>
            </w:hyperlink>
            <w:r w:rsidR="00331FC8">
              <w:rPr>
                <w:rFonts w:ascii="Calibri" w:hAnsi="Calibri" w:cs="Calibri"/>
                <w:sz w:val="20"/>
                <w:szCs w:val="20"/>
              </w:rPr>
              <w:t>).</w:t>
            </w:r>
          </w:p>
        </w:tc>
      </w:tr>
      <w:tr w:rsidR="009C2EF0" w:rsidRPr="0077185F" w14:paraId="275747D7" w14:textId="77777777">
        <w:tc>
          <w:tcPr>
            <w:tcW w:w="1869" w:type="dxa"/>
          </w:tcPr>
          <w:p w14:paraId="2C8612EF"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human leucocyte antigen (HLA)</w:t>
            </w:r>
          </w:p>
        </w:tc>
        <w:tc>
          <w:tcPr>
            <w:tcW w:w="7141" w:type="dxa"/>
          </w:tcPr>
          <w:p w14:paraId="2E911F16" w14:textId="753FF341"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“A type of molecule found on the surface of most cells in the body. Human leukocyte antigens play an important part in the body's immune response to foreign substances. They make up a person’s tissue type, which varies from person to person.</w:t>
            </w:r>
            <w:r w:rsidRPr="0077185F">
              <w:rPr>
                <w:rFonts w:ascii="Calibri" w:hAnsi="Calibri" w:cs="Calibri"/>
                <w:sz w:val="20"/>
                <w:szCs w:val="20"/>
              </w:rPr>
              <w:fldChar w:fldCharType="begin" w:fldLock="1"/>
            </w:r>
            <w:r w:rsidR="00EB088B">
              <w:rPr>
                <w:rFonts w:ascii="Calibri" w:hAnsi="Calibri" w:cs="Calibri"/>
                <w:sz w:val="20"/>
                <w:szCs w:val="20"/>
              </w:rPr>
              <w:instrText>ADDIN CSL_CITATION {"citationItems":[{"id":"ITEM-1","itemData":{"URL":"https://www.cancer.gov/publications/dictionaries/cancer-terms/","author":[{"dropping-particle":"","family":"Institute","given":"National Cancer","non-dropping-particle":"","parse-names":false,"suffix":""}],"id":"ITEM-1","issued":{"date-parts":[["2021"]]},"title":"NCI Dictionary of Cancer Terms","type":"webpage"},"uris":["http://www.mendeley.com/documents/?uuid=34ce2665-6aae-4d2a-b25a-2dc61276df78"]}],"mendeley":{"formattedCitation":"(211)","plainTextFormattedCitation":"(211)","previouslyFormattedCitation":"(211)"},"properties":{"noteIndex":0},"schema":"https://github.com/citation-style-language/schema/raw/master/csl-citation.json"}</w:instrText>
            </w:r>
            <w:r w:rsidRPr="0077185F">
              <w:rPr>
                <w:rFonts w:ascii="Calibri" w:hAnsi="Calibri" w:cs="Calibri"/>
                <w:sz w:val="20"/>
                <w:szCs w:val="20"/>
              </w:rPr>
              <w:fldChar w:fldCharType="separate"/>
            </w:r>
            <w:r w:rsidR="00BA3D76" w:rsidRPr="00BA3D76">
              <w:rPr>
                <w:rFonts w:ascii="Calibri" w:hAnsi="Calibri" w:cs="Calibri"/>
                <w:noProof/>
                <w:sz w:val="20"/>
                <w:szCs w:val="20"/>
              </w:rPr>
              <w:t>(211)</w:t>
            </w:r>
            <w:r w:rsidRPr="0077185F">
              <w:rPr>
                <w:rFonts w:ascii="Calibri" w:hAnsi="Calibri" w:cs="Calibri"/>
                <w:sz w:val="20"/>
                <w:szCs w:val="20"/>
              </w:rPr>
              <w:fldChar w:fldCharType="end"/>
            </w:r>
            <w:r w:rsidRPr="0077185F">
              <w:rPr>
                <w:rFonts w:ascii="Calibri" w:hAnsi="Calibri" w:cs="Calibri"/>
                <w:sz w:val="20"/>
                <w:szCs w:val="20"/>
              </w:rPr>
              <w:t xml:space="preserve">” Some transplants require a close match between the tissue type of the donor and of the transplant recipient. (See </w:t>
            </w:r>
            <w:hyperlink w:anchor="_Cells_for_transplantation" w:history="1">
              <w:r w:rsidR="00331FC8" w:rsidRPr="00331FC8">
                <w:rPr>
                  <w:rStyle w:val="Hyperlink"/>
                  <w:rFonts w:ascii="Calibri" w:hAnsi="Calibri" w:cs="Calibri"/>
                  <w:sz w:val="20"/>
                  <w:szCs w:val="20"/>
                </w:rPr>
                <w:t>Chapter 2.1.1</w:t>
              </w:r>
            </w:hyperlink>
            <w:r w:rsidR="00331FC8">
              <w:rPr>
                <w:rFonts w:ascii="Calibri" w:hAnsi="Calibri" w:cs="Calibri"/>
                <w:sz w:val="20"/>
                <w:szCs w:val="20"/>
              </w:rPr>
              <w:t>).</w:t>
            </w:r>
          </w:p>
          <w:p w14:paraId="106254AE" w14:textId="77777777" w:rsidR="009C2EF0" w:rsidRPr="0077185F" w:rsidRDefault="009C2EF0" w:rsidP="00EA22AE">
            <w:pPr>
              <w:spacing w:after="120"/>
              <w:rPr>
                <w:rFonts w:ascii="Calibri" w:hAnsi="Calibri" w:cs="Calibri"/>
                <w:sz w:val="20"/>
                <w:szCs w:val="20"/>
              </w:rPr>
            </w:pPr>
          </w:p>
        </w:tc>
      </w:tr>
      <w:tr w:rsidR="009C2EF0" w:rsidRPr="0077185F" w14:paraId="1EF74956" w14:textId="77777777">
        <w:tc>
          <w:tcPr>
            <w:tcW w:w="1869" w:type="dxa"/>
          </w:tcPr>
          <w:p w14:paraId="5A6BD886"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human trafficking for organ removal</w:t>
            </w:r>
          </w:p>
        </w:tc>
        <w:tc>
          <w:tcPr>
            <w:tcW w:w="7141" w:type="dxa"/>
          </w:tcPr>
          <w:p w14:paraId="765E6937" w14:textId="3C6915E3"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“Trafficking in persons for the purpose of organ removal is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the removal of organs.</w:t>
            </w:r>
            <w:r w:rsidRPr="0077185F">
              <w:rPr>
                <w:rFonts w:ascii="Calibri" w:hAnsi="Calibri" w:cs="Calibri"/>
                <w:sz w:val="20"/>
                <w:szCs w:val="20"/>
              </w:rPr>
              <w:fldChar w:fldCharType="begin" w:fldLock="1"/>
            </w:r>
            <w:r w:rsidR="00EB088B">
              <w:rPr>
                <w:rFonts w:ascii="Calibri" w:hAnsi="Calibri" w:cs="Calibri"/>
                <w:sz w:val="20"/>
                <w:szCs w:val="20"/>
              </w:rPr>
              <w:instrText>ADDIN CSL_CITATION {"citationItems":[{"id":"ITEM-1","itemData":{"DOI":"10.1097/TP.0000000000001963","ISBN":"0000000000","ISSN":"00411337","PMID":"29019810","abstract":"Eradicating transplant tourism depends on complex solutions that include efforts to progress towards self-sufficiency in transplantation. Meanwhile, professionals and authorities are faced with medical, legal, and ethical problems raised by patients who return home after receiving an organ transplant abroad, particularly when the organ has been obtained through illegitimate means. In 2016, the Declaration of Istanbul Custodian Group convened an international, multidisciplinary workshop in Madrid, Spain, to address these challenges and provide recommendations for the management of these patients, which are presented in this paper. The core recommendations are grounded in the belief that principles of transparency, traceability, and continuity of care applied to patients who receive an organ domestically should also apply to patients who receive an organ abroad. Governments and professionals are urged to ensure that, upon return, patients are promptly referred to a transplant center for evaluation and care, not cover the costs of transplants resulting from organ or human trafficking, register standardized information at official registries on patients who travel for transplantation, promote international exchange of data for traceability, and develop a framework for the notification of identified or suspected cases of transnational transplant-related crimes by health professionals to law enforcement agencies.","author":[{"dropping-particle":"","family":"Domínguez-Gil","given":"Beatriz","non-dropping-particle":"","parse-names":false,"suffix":""},{"dropping-particle":"","family":"Danovitch","given":"Gabriel","non-dropping-particle":"","parse-names":false,"suffix":""},{"dropping-particle":"","family":"Martin","given":"Dominique E.","non-dropping-particle":"","parse-names":false,"suffix":""},{"dropping-particle":"","family":"López-Fraga","given":"Marta","non-dropping-particle":"","parse-names":false,"suffix":""},{"dropping-particle":"","family":"Assche","given":"Kristof","non-dropping-particle":"Van","parse-names":false,"suffix":""},{"dropping-particle":"","family":"Morris","given":"Michele L.","non-dropping-particle":"","parse-names":false,"suffix":""},{"dropping-particle":"","family":"Lavee","given":"Jacob","non-dropping-particle":"","parse-names":false,"suffix":""},{"dropping-particle":"","family":"Erlich","given":"Gilad","non-dropping-particle":"","parse-names":false,"suffix":""},{"dropping-particle":"","family":"Fadhil","given":"Riadh","non-dropping-particle":"","parse-names":false,"suffix":""},{"dropping-particle":"","family":"Busic","given":"Mirela","non-dropping-particle":"","parse-names":false,"suffix":""},{"dropping-particle":"","family":"Rankin","given":"Glynn","non-dropping-particle":"","parse-names":false,"suffix":""},{"dropping-particle":"","family":"Al-Rukhaimi","given":"Mona","non-dropping-particle":"","parse-names":false,"suffix":""},{"dropping-particle":"","family":"O'Connell","given":"Philip","non-dropping-particle":"","parse-names":false,"suffix":""},{"dropping-particle":"","family":"Chin","given":"Jacqueline","non-dropping-particle":"","parse-names":false,"suffix":""},{"dropping-particle":"","family":"Norman","given":"Triona","non-dropping-particle":"","parse-names":false,"suffix":""},{"dropping-particle":"","family":"Massari","given":"Pablo","non-dropping-particle":"","parse-names":false,"suffix":""},{"dropping-particle":"","family":"Kamel","given":"Refaat","non-dropping-particle":"","parse-names":false,"suffix":""},{"dropping-particle":"","family":"Delmonico","given":"Francis L.","non-dropping-particle":"","parse-names":false,"suffix":""}],"container-title":"Transplantation","id":"ITEM-1","issue":"1","issued":{"date-parts":[["2018"]]},"page":"e2-e9","title":"Management of Patients Who Receive an Organ Transplant Abroad and Return Home for Follow-up Care: Recommendations from the Declaration of Istanbul Custodian Group","type":"article-journal","volume":"102"},"uris":["http://www.mendeley.com/documents/?uuid=de9f4ec1-7990-4005-9669-11eaae8bdcf5"]}],"mendeley":{"formattedCitation":"(163)","plainTextFormattedCitation":"(163)","previouslyFormattedCitation":"(163)"},"properties":{"noteIndex":0},"schema":"https://github.com/citation-style-language/schema/raw/master/csl-citation.json"}</w:instrText>
            </w:r>
            <w:r w:rsidRPr="0077185F">
              <w:rPr>
                <w:rFonts w:ascii="Calibri" w:hAnsi="Calibri" w:cs="Calibri"/>
                <w:sz w:val="20"/>
                <w:szCs w:val="20"/>
              </w:rPr>
              <w:fldChar w:fldCharType="separate"/>
            </w:r>
            <w:r w:rsidR="00BA3D76" w:rsidRPr="00BA3D76">
              <w:rPr>
                <w:rFonts w:ascii="Calibri" w:hAnsi="Calibri" w:cs="Calibri"/>
                <w:noProof/>
                <w:sz w:val="20"/>
                <w:szCs w:val="20"/>
              </w:rPr>
              <w:t>(163)</w:t>
            </w:r>
            <w:r w:rsidRPr="0077185F">
              <w:rPr>
                <w:rFonts w:ascii="Calibri" w:hAnsi="Calibri" w:cs="Calibri"/>
                <w:sz w:val="20"/>
                <w:szCs w:val="20"/>
              </w:rPr>
              <w:fldChar w:fldCharType="end"/>
            </w:r>
            <w:r w:rsidRPr="0077185F">
              <w:rPr>
                <w:rFonts w:ascii="Calibri" w:hAnsi="Calibri" w:cs="Calibri"/>
                <w:sz w:val="20"/>
                <w:szCs w:val="20"/>
              </w:rPr>
              <w:t xml:space="preserve">” (see </w:t>
            </w:r>
            <w:hyperlink w:anchor="_Organ_and_tissue_2"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10</w:t>
              </w:r>
              <w:r w:rsidRPr="0077185F">
                <w:rPr>
                  <w:rStyle w:val="Hyperlink"/>
                  <w:rFonts w:ascii="Calibri" w:hAnsi="Calibri" w:cs="Calibri"/>
                  <w:sz w:val="20"/>
                  <w:szCs w:val="20"/>
                </w:rPr>
                <w:t>.6</w:t>
              </w:r>
            </w:hyperlink>
            <w:r w:rsidRPr="0077185F">
              <w:rPr>
                <w:rStyle w:val="Hyperlink"/>
                <w:rFonts w:ascii="Calibri" w:hAnsi="Calibri" w:cs="Calibri"/>
                <w:sz w:val="20"/>
                <w:szCs w:val="20"/>
              </w:rPr>
              <w:t>)</w:t>
            </w:r>
          </w:p>
        </w:tc>
      </w:tr>
      <w:tr w:rsidR="009C2EF0" w:rsidRPr="0077185F" w14:paraId="14F0A159" w14:textId="77777777">
        <w:tc>
          <w:tcPr>
            <w:tcW w:w="1869" w:type="dxa"/>
          </w:tcPr>
          <w:p w14:paraId="0FC52084"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institution</w:t>
            </w:r>
          </w:p>
        </w:tc>
        <w:tc>
          <w:tcPr>
            <w:tcW w:w="7141" w:type="dxa"/>
          </w:tcPr>
          <w:p w14:paraId="187D2B3E"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Public and private institutions, such as hospitals, tissue banks, donation services, the Organ and Tissue Authority and distributors or sponsors of imported tissues. </w:t>
            </w:r>
          </w:p>
        </w:tc>
      </w:tr>
      <w:tr w:rsidR="009C2EF0" w:rsidRPr="0077185F" w14:paraId="5FD2786F" w14:textId="77777777">
        <w:tc>
          <w:tcPr>
            <w:tcW w:w="1869" w:type="dxa"/>
          </w:tcPr>
          <w:p w14:paraId="6E6A932B"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 xml:space="preserve">medical product </w:t>
            </w:r>
          </w:p>
        </w:tc>
        <w:tc>
          <w:tcPr>
            <w:tcW w:w="7141" w:type="dxa"/>
          </w:tcPr>
          <w:p w14:paraId="099CCF89" w14:textId="2C2C511F"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therapeutic good, e.g. medication, that is used in treatment to restore or preserve health. Donated cells, tissues or organs used in transplantation are sometimes referred to as “medical products of human origin”. The extent to which donations are processed before they are suitable for transplantation differs greatly. Regardless of the extent of processing or manufacturing involved in modifying donations, e.g., when developing tissue grafts for transplantation, all transplants that include donated human material are considered ethically exceptional. This means their </w:t>
            </w:r>
            <w:r w:rsidRPr="00331FC8">
              <w:rPr>
                <w:rFonts w:ascii="Calibri" w:hAnsi="Calibri" w:cs="Calibri"/>
                <w:sz w:val="20"/>
                <w:szCs w:val="20"/>
              </w:rPr>
              <w:t xml:space="preserve">inherent ethical value which derives from that of donor(s) must be respected. (see </w:t>
            </w:r>
            <w:hyperlink w:anchor="_Acknowledging_donors" w:history="1">
              <w:r w:rsidR="00331FC8" w:rsidRPr="00331FC8">
                <w:rPr>
                  <w:rStyle w:val="Hyperlink"/>
                  <w:rFonts w:ascii="Calibri" w:hAnsi="Calibri" w:cs="Calibri"/>
                  <w:sz w:val="20"/>
                  <w:szCs w:val="20"/>
                </w:rPr>
                <w:t>Chapter 3.2.1.1</w:t>
              </w:r>
            </w:hyperlink>
            <w:r w:rsidR="00331FC8" w:rsidRPr="00331FC8">
              <w:rPr>
                <w:rFonts w:ascii="Calibri" w:hAnsi="Calibri" w:cs="Calibri"/>
                <w:sz w:val="20"/>
                <w:szCs w:val="20"/>
              </w:rPr>
              <w:t>).</w:t>
            </w:r>
          </w:p>
        </w:tc>
      </w:tr>
      <w:tr w:rsidR="009C2EF0" w:rsidRPr="0077185F" w14:paraId="2DE23669" w14:textId="77777777">
        <w:tc>
          <w:tcPr>
            <w:tcW w:w="1869" w:type="dxa"/>
          </w:tcPr>
          <w:p w14:paraId="286326F9"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moral distress</w:t>
            </w:r>
          </w:p>
        </w:tc>
        <w:tc>
          <w:tcPr>
            <w:tcW w:w="7141" w:type="dxa"/>
          </w:tcPr>
          <w:p w14:paraId="7EDAE077" w14:textId="7CF4B6A4"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Psychological distress that occurs when a person is prevented from acting - or otherwise feels unable to act - in accordance with their ethical values or perceived ethical duties, for example, due to institutional constraints or resource limitations. See </w:t>
            </w:r>
            <w:hyperlink w:anchor="_Moral_distress_1"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3</w:t>
              </w:r>
              <w:r w:rsidRPr="0077185F">
                <w:rPr>
                  <w:rStyle w:val="Hyperlink"/>
                  <w:rFonts w:ascii="Calibri" w:hAnsi="Calibri" w:cs="Calibri"/>
                  <w:sz w:val="20"/>
                  <w:szCs w:val="20"/>
                </w:rPr>
                <w:t>.</w:t>
              </w:r>
              <w:r w:rsidR="00331FC8">
                <w:rPr>
                  <w:rStyle w:val="Hyperlink"/>
                  <w:rFonts w:ascii="Calibri" w:hAnsi="Calibri" w:cs="Calibri"/>
                  <w:sz w:val="20"/>
                  <w:szCs w:val="20"/>
                </w:rPr>
                <w:t>7</w:t>
              </w:r>
              <w:r w:rsidRPr="0077185F">
                <w:rPr>
                  <w:rStyle w:val="Hyperlink"/>
                  <w:rFonts w:ascii="Calibri" w:hAnsi="Calibri" w:cs="Calibri"/>
                  <w:sz w:val="20"/>
                  <w:szCs w:val="20"/>
                </w:rPr>
                <w:t>.3.</w:t>
              </w:r>
            </w:hyperlink>
          </w:p>
        </w:tc>
      </w:tr>
      <w:tr w:rsidR="009C2EF0" w:rsidRPr="0077185F" w14:paraId="5EB41167" w14:textId="77777777">
        <w:tc>
          <w:tcPr>
            <w:tcW w:w="1869" w:type="dxa"/>
          </w:tcPr>
          <w:p w14:paraId="5A4E1350"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non-directed donation</w:t>
            </w:r>
          </w:p>
        </w:tc>
        <w:tc>
          <w:tcPr>
            <w:tcW w:w="7141" w:type="dxa"/>
          </w:tcPr>
          <w:p w14:paraId="0047D49C"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See </w:t>
            </w:r>
            <w:r w:rsidRPr="0077185F">
              <w:rPr>
                <w:rFonts w:ascii="Calibri" w:hAnsi="Calibri" w:cs="Calibri"/>
                <w:b/>
                <w:bCs/>
                <w:sz w:val="20"/>
                <w:szCs w:val="20"/>
              </w:rPr>
              <w:t>directed donation</w:t>
            </w:r>
          </w:p>
        </w:tc>
      </w:tr>
      <w:tr w:rsidR="009C2EF0" w:rsidRPr="0077185F" w14:paraId="6B351943" w14:textId="77777777">
        <w:tc>
          <w:tcPr>
            <w:tcW w:w="1869" w:type="dxa"/>
          </w:tcPr>
          <w:p w14:paraId="3D0C871E"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norm</w:t>
            </w:r>
          </w:p>
        </w:tc>
        <w:tc>
          <w:tcPr>
            <w:tcW w:w="7141" w:type="dxa"/>
          </w:tcPr>
          <w:p w14:paraId="24A864F0"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A standard or expectation.</w:t>
            </w:r>
          </w:p>
        </w:tc>
      </w:tr>
      <w:tr w:rsidR="009C2EF0" w:rsidRPr="0077185F" w14:paraId="461F1CD9" w14:textId="77777777">
        <w:tc>
          <w:tcPr>
            <w:tcW w:w="1869" w:type="dxa"/>
          </w:tcPr>
          <w:p w14:paraId="6F170384"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lastRenderedPageBreak/>
              <w:t>non-standard risk donor</w:t>
            </w:r>
          </w:p>
        </w:tc>
        <w:tc>
          <w:tcPr>
            <w:tcW w:w="7141" w:type="dxa"/>
          </w:tcPr>
          <w:p w14:paraId="60EED99C" w14:textId="068E88F4"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person whose donated organs or tissues may present higher than normal risks for transplant recipients. The term is now considered inclusive of </w:t>
            </w:r>
            <w:r w:rsidRPr="0077185F">
              <w:rPr>
                <w:rFonts w:ascii="Calibri" w:hAnsi="Calibri" w:cs="Calibri"/>
                <w:b/>
                <w:bCs/>
                <w:sz w:val="20"/>
                <w:szCs w:val="20"/>
              </w:rPr>
              <w:t>ex</w:t>
            </w:r>
            <w:r w:rsidR="00D84BE9">
              <w:rPr>
                <w:rFonts w:ascii="Calibri" w:hAnsi="Calibri" w:cs="Calibri"/>
                <w:b/>
                <w:bCs/>
                <w:sz w:val="20"/>
                <w:szCs w:val="20"/>
              </w:rPr>
              <w:t>tend</w:t>
            </w:r>
            <w:r w:rsidRPr="0077185F">
              <w:rPr>
                <w:rFonts w:ascii="Calibri" w:hAnsi="Calibri" w:cs="Calibri"/>
                <w:b/>
                <w:bCs/>
                <w:sz w:val="20"/>
                <w:szCs w:val="20"/>
              </w:rPr>
              <w:t xml:space="preserve">ed criteria donors </w:t>
            </w:r>
            <w:r w:rsidRPr="0077185F">
              <w:rPr>
                <w:rFonts w:ascii="Calibri" w:hAnsi="Calibri" w:cs="Calibri"/>
                <w:sz w:val="20"/>
                <w:szCs w:val="20"/>
              </w:rPr>
              <w:t xml:space="preserve">(see </w:t>
            </w:r>
            <w:hyperlink w:anchor="_Acceptance_of_transplant"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6</w:t>
              </w:r>
              <w:r w:rsidRPr="0077185F">
                <w:rPr>
                  <w:rStyle w:val="Hyperlink"/>
                  <w:rFonts w:ascii="Calibri" w:hAnsi="Calibri" w:cs="Calibri"/>
                  <w:sz w:val="20"/>
                  <w:szCs w:val="20"/>
                </w:rPr>
                <w:t>.5.2.2</w:t>
              </w:r>
            </w:hyperlink>
            <w:r w:rsidRPr="0077185F">
              <w:rPr>
                <w:rFonts w:ascii="Calibri" w:hAnsi="Calibri" w:cs="Calibri"/>
                <w:sz w:val="20"/>
                <w:szCs w:val="20"/>
              </w:rPr>
              <w:t>)</w:t>
            </w:r>
          </w:p>
        </w:tc>
      </w:tr>
      <w:tr w:rsidR="009C2EF0" w:rsidRPr="0077185F" w14:paraId="30EFA541" w14:textId="77777777">
        <w:tc>
          <w:tcPr>
            <w:tcW w:w="1869" w:type="dxa"/>
          </w:tcPr>
          <w:p w14:paraId="32A28F3E"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notification</w:t>
            </w:r>
            <w:r w:rsidRPr="0077185F">
              <w:rPr>
                <w:rFonts w:ascii="Calibri" w:hAnsi="Calibri" w:cs="Calibri"/>
                <w:sz w:val="20"/>
                <w:szCs w:val="20"/>
              </w:rPr>
              <w:t xml:space="preserve"> of a potential donor</w:t>
            </w:r>
          </w:p>
        </w:tc>
        <w:tc>
          <w:tcPr>
            <w:tcW w:w="7141" w:type="dxa"/>
          </w:tcPr>
          <w:p w14:paraId="215E1245"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When information about a person who may be eligible to donate is provided to a donation specialist, e.g., at the end of life, in order to facilitate consideration of the opportunity for donation by the relevant decision-maker(s)  </w:t>
            </w:r>
          </w:p>
        </w:tc>
      </w:tr>
      <w:tr w:rsidR="009C2EF0" w:rsidRPr="0077185F" w14:paraId="48F29788" w14:textId="77777777">
        <w:tc>
          <w:tcPr>
            <w:tcW w:w="1869" w:type="dxa"/>
          </w:tcPr>
          <w:p w14:paraId="74A36D53" w14:textId="77777777" w:rsidR="009C2EF0" w:rsidRPr="0077185F" w:rsidRDefault="009C2EF0" w:rsidP="00EA22AE">
            <w:pPr>
              <w:tabs>
                <w:tab w:val="left" w:pos="1381"/>
              </w:tabs>
              <w:spacing w:after="120"/>
              <w:rPr>
                <w:rFonts w:ascii="Calibri" w:hAnsi="Calibri" w:cs="Calibri"/>
                <w:sz w:val="20"/>
                <w:szCs w:val="20"/>
              </w:rPr>
            </w:pPr>
            <w:r w:rsidRPr="0077185F">
              <w:rPr>
                <w:rFonts w:ascii="Calibri" w:hAnsi="Calibri" w:cs="Calibri"/>
                <w:b/>
                <w:bCs/>
                <w:sz w:val="20"/>
                <w:szCs w:val="20"/>
              </w:rPr>
              <w:t>paired kidney donation</w:t>
            </w:r>
          </w:p>
        </w:tc>
        <w:tc>
          <w:tcPr>
            <w:tcW w:w="7141" w:type="dxa"/>
          </w:tcPr>
          <w:p w14:paraId="3CA60AA1" w14:textId="2A21A7F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Potential donor-recipient pairs who are incompatible with each other are matched with other incompatible donor-recipient pairs to ‘exchange’ organs by </w:t>
            </w:r>
            <w:r w:rsidRPr="00331FC8">
              <w:rPr>
                <w:rFonts w:ascii="Calibri" w:hAnsi="Calibri" w:cs="Calibri"/>
                <w:sz w:val="20"/>
                <w:szCs w:val="20"/>
              </w:rPr>
              <w:t xml:space="preserve">transplantation. (see </w:t>
            </w:r>
            <w:hyperlink w:anchor="_Paired_kidney_exchange" w:history="1">
              <w:r w:rsidR="00331FC8" w:rsidRPr="00331FC8">
                <w:rPr>
                  <w:rStyle w:val="Hyperlink"/>
                  <w:rFonts w:ascii="Calibri" w:hAnsi="Calibri" w:cs="Calibri"/>
                  <w:sz w:val="20"/>
                  <w:szCs w:val="20"/>
                </w:rPr>
                <w:t>Chapter 2.8.1.2</w:t>
              </w:r>
            </w:hyperlink>
            <w:r w:rsidR="00331FC8" w:rsidRPr="00331FC8">
              <w:rPr>
                <w:rFonts w:ascii="Calibri" w:hAnsi="Calibri" w:cs="Calibri"/>
                <w:sz w:val="20"/>
                <w:szCs w:val="20"/>
              </w:rPr>
              <w:t>)</w:t>
            </w:r>
          </w:p>
        </w:tc>
      </w:tr>
      <w:tr w:rsidR="009C2EF0" w:rsidRPr="0077185F" w14:paraId="0E29B139" w14:textId="77777777">
        <w:tc>
          <w:tcPr>
            <w:tcW w:w="1869" w:type="dxa"/>
          </w:tcPr>
          <w:p w14:paraId="3795E3A9"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pre-mortem interventions</w:t>
            </w:r>
          </w:p>
        </w:tc>
        <w:tc>
          <w:tcPr>
            <w:tcW w:w="7141" w:type="dxa"/>
          </w:tcPr>
          <w:p w14:paraId="0C4BA4C3"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Also known as ante-mortem interventions or practices</w:t>
            </w:r>
          </w:p>
          <w:p w14:paraId="4CFC8290" w14:textId="67666A7D"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Interventions used in deceased organ donation that are not for the therapeutic benefit of the prospective donor but which either preserve a donation opportunity or optimise the function of organs retrieved after death for transplantation. (see </w:t>
            </w:r>
            <w:hyperlink w:anchor="_Pre-mortem_interventions_for_1" w:history="1">
              <w:r w:rsidRPr="0077185F">
                <w:rPr>
                  <w:rStyle w:val="Hyperlink"/>
                  <w:rFonts w:ascii="Calibri" w:hAnsi="Calibri" w:cs="Calibri"/>
                  <w:sz w:val="20"/>
                  <w:szCs w:val="20"/>
                </w:rPr>
                <w:t>Chapter 1</w:t>
              </w:r>
              <w:r w:rsidR="00331FC8">
                <w:rPr>
                  <w:rStyle w:val="Hyperlink"/>
                  <w:rFonts w:ascii="Calibri" w:hAnsi="Calibri" w:cs="Calibri"/>
                  <w:sz w:val="20"/>
                  <w:szCs w:val="20"/>
                </w:rPr>
                <w:t>1</w:t>
              </w:r>
              <w:r w:rsidRPr="0077185F">
                <w:rPr>
                  <w:rStyle w:val="Hyperlink"/>
                  <w:rFonts w:ascii="Calibri" w:hAnsi="Calibri" w:cs="Calibri"/>
                  <w:sz w:val="20"/>
                  <w:szCs w:val="20"/>
                </w:rPr>
                <w:t>.4</w:t>
              </w:r>
            </w:hyperlink>
            <w:r w:rsidRPr="0077185F">
              <w:rPr>
                <w:rStyle w:val="Hyperlink"/>
                <w:rFonts w:ascii="Calibri" w:hAnsi="Calibri" w:cs="Calibri"/>
                <w:sz w:val="20"/>
                <w:szCs w:val="20"/>
              </w:rPr>
              <w:t>)</w:t>
            </w:r>
          </w:p>
        </w:tc>
      </w:tr>
      <w:tr w:rsidR="009C2EF0" w:rsidRPr="0077185F" w14:paraId="2392E50C" w14:textId="77777777">
        <w:tc>
          <w:tcPr>
            <w:tcW w:w="1869" w:type="dxa"/>
          </w:tcPr>
          <w:p w14:paraId="70808230"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privacy</w:t>
            </w:r>
          </w:p>
        </w:tc>
        <w:tc>
          <w:tcPr>
            <w:tcW w:w="7141" w:type="dxa"/>
          </w:tcPr>
          <w:p w14:paraId="0D0F6B45" w14:textId="07E2BDB8"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the right to control access to one’s physical person and personal information (see </w:t>
            </w:r>
            <w:hyperlink w:anchor="_General_considerations_in_1"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7</w:t>
              </w:r>
              <w:r w:rsidRPr="0077185F">
                <w:rPr>
                  <w:rStyle w:val="Hyperlink"/>
                  <w:rFonts w:ascii="Calibri" w:hAnsi="Calibri" w:cs="Calibri"/>
                  <w:sz w:val="20"/>
                  <w:szCs w:val="20"/>
                </w:rPr>
                <w:t>.1</w:t>
              </w:r>
            </w:hyperlink>
            <w:r w:rsidRPr="0077185F">
              <w:rPr>
                <w:rFonts w:ascii="Calibri" w:hAnsi="Calibri" w:cs="Calibri"/>
                <w:sz w:val="20"/>
                <w:szCs w:val="20"/>
              </w:rPr>
              <w:t>)</w:t>
            </w:r>
          </w:p>
        </w:tc>
      </w:tr>
      <w:tr w:rsidR="009C2EF0" w:rsidRPr="0077185F" w14:paraId="0A2E9727" w14:textId="77777777">
        <w:tc>
          <w:tcPr>
            <w:tcW w:w="1869" w:type="dxa"/>
          </w:tcPr>
          <w:p w14:paraId="5569D2ED"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procedural justice</w:t>
            </w:r>
          </w:p>
        </w:tc>
        <w:tc>
          <w:tcPr>
            <w:tcW w:w="7141" w:type="dxa"/>
          </w:tcPr>
          <w:p w14:paraId="57CDB892" w14:textId="6C742B23"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Fairness in the processes and procedures for decision-making, as well as the implementation of guidelines and policies and mechanisms for accountability (see </w:t>
            </w:r>
            <w:hyperlink w:anchor="_Considerations_for_procedural" w:history="1">
              <w:r w:rsidRPr="0077185F">
                <w:rPr>
                  <w:rStyle w:val="Hyperlink"/>
                  <w:rFonts w:ascii="Calibri" w:hAnsi="Calibri" w:cs="Calibri"/>
                  <w:sz w:val="20"/>
                  <w:szCs w:val="20"/>
                </w:rPr>
                <w:t xml:space="preserve">Chapter </w:t>
              </w:r>
              <w:r w:rsidR="001C292C">
                <w:rPr>
                  <w:rStyle w:val="Hyperlink"/>
                  <w:rFonts w:ascii="Calibri" w:hAnsi="Calibri" w:cs="Calibri"/>
                  <w:sz w:val="20"/>
                  <w:szCs w:val="20"/>
                </w:rPr>
                <w:t>8</w:t>
              </w:r>
              <w:r w:rsidRPr="0077185F">
                <w:rPr>
                  <w:rStyle w:val="Hyperlink"/>
                  <w:rFonts w:ascii="Calibri" w:hAnsi="Calibri" w:cs="Calibri"/>
                  <w:sz w:val="20"/>
                  <w:szCs w:val="20"/>
                </w:rPr>
                <w:t>.6</w:t>
              </w:r>
            </w:hyperlink>
            <w:r w:rsidRPr="0077185F">
              <w:rPr>
                <w:rFonts w:ascii="Calibri" w:hAnsi="Calibri" w:cs="Calibri"/>
                <w:sz w:val="20"/>
                <w:szCs w:val="20"/>
              </w:rPr>
              <w:t>)</w:t>
            </w:r>
          </w:p>
        </w:tc>
      </w:tr>
      <w:tr w:rsidR="009C2EF0" w:rsidRPr="0077185F" w14:paraId="4346BD8D" w14:textId="77777777">
        <w:tc>
          <w:tcPr>
            <w:tcW w:w="1869" w:type="dxa"/>
          </w:tcPr>
          <w:p w14:paraId="38696C0A"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registry</w:t>
            </w:r>
          </w:p>
        </w:tc>
        <w:tc>
          <w:tcPr>
            <w:tcW w:w="7141" w:type="dxa"/>
          </w:tcPr>
          <w:p w14:paraId="3F62904D" w14:textId="0BB6B996"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System in which information is collected, e.g. regarding clinical outcomes of donation or transplantation, for the purpose of monitoring and reviewing activities and outcomes or for use in research. (see </w:t>
            </w:r>
            <w:hyperlink w:anchor="_Data_collection_and_1"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7</w:t>
              </w:r>
              <w:r w:rsidRPr="0077185F">
                <w:rPr>
                  <w:rStyle w:val="Hyperlink"/>
                  <w:rFonts w:ascii="Calibri" w:hAnsi="Calibri" w:cs="Calibri"/>
                  <w:sz w:val="20"/>
                  <w:szCs w:val="20"/>
                </w:rPr>
                <w:t>.4</w:t>
              </w:r>
            </w:hyperlink>
            <w:r w:rsidRPr="0077185F">
              <w:rPr>
                <w:rFonts w:ascii="Calibri" w:hAnsi="Calibri" w:cs="Calibri"/>
                <w:sz w:val="20"/>
                <w:szCs w:val="20"/>
              </w:rPr>
              <w:t>)</w:t>
            </w:r>
          </w:p>
        </w:tc>
      </w:tr>
      <w:tr w:rsidR="009C2EF0" w:rsidRPr="0077185F" w14:paraId="0439F907" w14:textId="77777777">
        <w:tc>
          <w:tcPr>
            <w:tcW w:w="1869" w:type="dxa"/>
          </w:tcPr>
          <w:p w14:paraId="0BE2B36D"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self-sufficiency</w:t>
            </w:r>
            <w:r w:rsidRPr="0077185F">
              <w:rPr>
                <w:rFonts w:ascii="Calibri" w:hAnsi="Calibri" w:cs="Calibri"/>
                <w:sz w:val="20"/>
                <w:szCs w:val="20"/>
              </w:rPr>
              <w:t xml:space="preserve"> in donation and transplantation</w:t>
            </w:r>
          </w:p>
        </w:tc>
        <w:tc>
          <w:tcPr>
            <w:tcW w:w="7141" w:type="dxa"/>
          </w:tcPr>
          <w:p w14:paraId="130A10FA" w14:textId="510106C3"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able to meet a population’s collective needs for transplantation using their own resources, including donations, or through reciprocal or equitable collaboration with other populations. (see </w:t>
            </w:r>
            <w:hyperlink w:anchor="_Ethical_values_embedded_1"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9</w:t>
              </w:r>
              <w:r w:rsidRPr="0077185F">
                <w:rPr>
                  <w:rStyle w:val="Hyperlink"/>
                  <w:rFonts w:ascii="Calibri" w:hAnsi="Calibri" w:cs="Calibri"/>
                  <w:sz w:val="20"/>
                  <w:szCs w:val="20"/>
                </w:rPr>
                <w:t>.1</w:t>
              </w:r>
            </w:hyperlink>
            <w:r w:rsidRPr="0077185F">
              <w:rPr>
                <w:rFonts w:ascii="Calibri" w:hAnsi="Calibri" w:cs="Calibri"/>
                <w:sz w:val="20"/>
                <w:szCs w:val="20"/>
              </w:rPr>
              <w:t>)</w:t>
            </w:r>
          </w:p>
        </w:tc>
      </w:tr>
      <w:tr w:rsidR="009C2EF0" w:rsidRPr="0077185F" w14:paraId="5B6D2BA3" w14:textId="77777777">
        <w:tc>
          <w:tcPr>
            <w:tcW w:w="1869" w:type="dxa"/>
          </w:tcPr>
          <w:p w14:paraId="3F13297B"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 xml:space="preserve">senior available next-of-kin </w:t>
            </w:r>
          </w:p>
        </w:tc>
        <w:tc>
          <w:tcPr>
            <w:tcW w:w="7141" w:type="dxa"/>
          </w:tcPr>
          <w:p w14:paraId="5D2B2667" w14:textId="106501B6" w:rsidR="009C2EF0" w:rsidRPr="0077185F" w:rsidRDefault="009C2EF0" w:rsidP="00EA22AE">
            <w:pPr>
              <w:spacing w:after="120"/>
              <w:rPr>
                <w:rFonts w:ascii="Calibri" w:hAnsi="Calibri" w:cs="Calibri"/>
                <w:sz w:val="20"/>
                <w:szCs w:val="20"/>
              </w:rPr>
            </w:pPr>
            <w:r w:rsidRPr="0077185F">
              <w:rPr>
                <w:rFonts w:ascii="Calibri" w:hAnsi="Calibri" w:cs="Calibri"/>
                <w:color w:val="222222"/>
                <w:sz w:val="20"/>
                <w:szCs w:val="20"/>
              </w:rPr>
              <w:t xml:space="preserve">The person who may </w:t>
            </w:r>
            <w:r w:rsidRPr="0077185F">
              <w:rPr>
                <w:rFonts w:ascii="Calibri" w:hAnsi="Calibri" w:cs="Calibri"/>
                <w:color w:val="222222"/>
                <w:sz w:val="20"/>
                <w:szCs w:val="20"/>
                <w:shd w:val="clear" w:color="auto" w:fill="FFFFFF"/>
              </w:rPr>
              <w:t xml:space="preserve">authorise, in writing, consent for </w:t>
            </w:r>
            <w:r w:rsidRPr="0077185F">
              <w:rPr>
                <w:rFonts w:ascii="Calibri" w:hAnsi="Calibri" w:cs="Calibri"/>
                <w:color w:val="222222"/>
                <w:sz w:val="20"/>
                <w:szCs w:val="20"/>
              </w:rPr>
              <w:t>organ</w:t>
            </w:r>
            <w:r w:rsidRPr="0077185F">
              <w:rPr>
                <w:rFonts w:ascii="Calibri" w:hAnsi="Calibri" w:cs="Calibri"/>
                <w:color w:val="222222"/>
                <w:sz w:val="20"/>
                <w:szCs w:val="20"/>
                <w:shd w:val="clear" w:color="auto" w:fill="FFFFFF"/>
              </w:rPr>
              <w:t xml:space="preserve"> and tissue </w:t>
            </w:r>
            <w:r w:rsidRPr="0077185F">
              <w:rPr>
                <w:rFonts w:ascii="Calibri" w:hAnsi="Calibri" w:cs="Calibri"/>
                <w:color w:val="222222"/>
                <w:sz w:val="20"/>
                <w:szCs w:val="20"/>
              </w:rPr>
              <w:t xml:space="preserve">donation, as defined in state </w:t>
            </w:r>
            <w:r w:rsidRPr="0077185F">
              <w:rPr>
                <w:rFonts w:ascii="Calibri" w:hAnsi="Calibri" w:cs="Calibri"/>
                <w:i/>
                <w:iCs/>
                <w:color w:val="222222"/>
                <w:sz w:val="20"/>
                <w:szCs w:val="20"/>
              </w:rPr>
              <w:t>Human Tissue Acts</w:t>
            </w:r>
            <w:r w:rsidRPr="0077185F">
              <w:rPr>
                <w:rFonts w:ascii="Calibri" w:hAnsi="Calibri" w:cs="Calibri"/>
                <w:color w:val="222222"/>
                <w:sz w:val="20"/>
                <w:szCs w:val="20"/>
              </w:rPr>
              <w:t xml:space="preserve">. (see </w:t>
            </w:r>
            <w:hyperlink w:anchor="_Consent_for_deceased_2"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4</w:t>
              </w:r>
              <w:r w:rsidRPr="0077185F">
                <w:rPr>
                  <w:rStyle w:val="Hyperlink"/>
                  <w:rFonts w:ascii="Calibri" w:hAnsi="Calibri" w:cs="Calibri"/>
                  <w:sz w:val="20"/>
                  <w:szCs w:val="20"/>
                </w:rPr>
                <w:t>.4.1</w:t>
              </w:r>
            </w:hyperlink>
            <w:r w:rsidRPr="0077185F">
              <w:rPr>
                <w:rFonts w:ascii="Calibri" w:hAnsi="Calibri" w:cs="Calibri"/>
                <w:color w:val="222222"/>
                <w:sz w:val="20"/>
                <w:szCs w:val="20"/>
              </w:rPr>
              <w:t xml:space="preserve">) </w:t>
            </w:r>
          </w:p>
        </w:tc>
      </w:tr>
      <w:tr w:rsidR="009C2EF0" w:rsidRPr="0077185F" w14:paraId="1DF5770B" w14:textId="77777777">
        <w:tc>
          <w:tcPr>
            <w:tcW w:w="1869" w:type="dxa"/>
          </w:tcPr>
          <w:p w14:paraId="062FED7A"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solidarity</w:t>
            </w:r>
          </w:p>
        </w:tc>
        <w:tc>
          <w:tcPr>
            <w:tcW w:w="7141" w:type="dxa"/>
          </w:tcPr>
          <w:p w14:paraId="77B60BF4" w14:textId="522E24EB" w:rsidR="009C2EF0" w:rsidRPr="00331FC8" w:rsidRDefault="009C2EF0" w:rsidP="00EA22AE">
            <w:pPr>
              <w:spacing w:after="120"/>
              <w:rPr>
                <w:rFonts w:ascii="Calibri" w:hAnsi="Calibri" w:cs="Calibri"/>
                <w:b/>
                <w:bCs/>
                <w:sz w:val="20"/>
                <w:szCs w:val="20"/>
              </w:rPr>
            </w:pPr>
            <w:r w:rsidRPr="0077185F">
              <w:rPr>
                <w:rFonts w:ascii="Calibri" w:hAnsi="Calibri" w:cs="Calibri"/>
                <w:sz w:val="20"/>
                <w:szCs w:val="20"/>
              </w:rPr>
              <w:t xml:space="preserve">Commitment to working together to achieve common goals and address shared challenges (see </w:t>
            </w:r>
            <w:hyperlink w:anchor="_Reciprocity_and_solidarity" w:history="1">
              <w:r w:rsidR="00331FC8" w:rsidRPr="00331FC8">
                <w:rPr>
                  <w:rStyle w:val="Hyperlink"/>
                  <w:rFonts w:ascii="Calibri" w:hAnsi="Calibri" w:cs="Calibri"/>
                  <w:sz w:val="20"/>
                  <w:szCs w:val="20"/>
                </w:rPr>
                <w:t>Chapter 8.2.1.5</w:t>
              </w:r>
            </w:hyperlink>
            <w:r w:rsidR="00331FC8" w:rsidRPr="00331FC8">
              <w:rPr>
                <w:rFonts w:ascii="Calibri" w:hAnsi="Calibri" w:cs="Calibri"/>
                <w:sz w:val="20"/>
                <w:szCs w:val="20"/>
              </w:rPr>
              <w:t>)</w:t>
            </w:r>
          </w:p>
        </w:tc>
      </w:tr>
      <w:tr w:rsidR="009C2EF0" w:rsidRPr="0077185F" w14:paraId="2FB617DB" w14:textId="77777777">
        <w:tc>
          <w:tcPr>
            <w:tcW w:w="1869" w:type="dxa"/>
          </w:tcPr>
          <w:p w14:paraId="6CE4ADF2"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substitute decision-maker</w:t>
            </w:r>
          </w:p>
        </w:tc>
        <w:tc>
          <w:tcPr>
            <w:tcW w:w="7141" w:type="dxa"/>
          </w:tcPr>
          <w:p w14:paraId="1BF20BA9" w14:textId="11EBB4A5" w:rsidR="009C2EF0" w:rsidRPr="0077185F" w:rsidRDefault="009C2EF0" w:rsidP="00EA22AE">
            <w:pPr>
              <w:spacing w:after="120"/>
              <w:rPr>
                <w:rFonts w:ascii="Calibri" w:hAnsi="Calibri" w:cs="Calibri"/>
                <w:sz w:val="20"/>
                <w:szCs w:val="20"/>
              </w:rPr>
            </w:pPr>
            <w:r w:rsidRPr="0077185F">
              <w:rPr>
                <w:rFonts w:ascii="Calibri" w:hAnsi="Calibri" w:cs="Calibri"/>
                <w:color w:val="3C4043"/>
                <w:sz w:val="20"/>
                <w:szCs w:val="20"/>
                <w:shd w:val="clear" w:color="auto" w:fill="FFFFFF"/>
              </w:rPr>
              <w:t xml:space="preserve">A person permitted under the law to make decisions on behalf of someone who does not have capacity, in health care according to state </w:t>
            </w:r>
            <w:r w:rsidRPr="0077185F">
              <w:rPr>
                <w:rFonts w:ascii="Calibri" w:hAnsi="Calibri" w:cs="Calibri"/>
                <w:i/>
                <w:iCs/>
                <w:color w:val="3C4043"/>
                <w:sz w:val="20"/>
                <w:szCs w:val="20"/>
                <w:shd w:val="clear" w:color="auto" w:fill="FFFFFF"/>
              </w:rPr>
              <w:t>Guardianship Acts</w:t>
            </w:r>
            <w:r w:rsidRPr="0077185F">
              <w:rPr>
                <w:rFonts w:ascii="Calibri" w:hAnsi="Calibri" w:cs="Calibri"/>
                <w:color w:val="3C4043"/>
                <w:sz w:val="20"/>
                <w:szCs w:val="20"/>
                <w:shd w:val="clear" w:color="auto" w:fill="FFFFFF"/>
              </w:rPr>
              <w:t xml:space="preserve"> or </w:t>
            </w:r>
            <w:r w:rsidRPr="0077185F">
              <w:rPr>
                <w:rFonts w:ascii="Calibri" w:hAnsi="Calibri" w:cs="Calibri"/>
                <w:i/>
                <w:iCs/>
                <w:color w:val="3C4043"/>
                <w:sz w:val="20"/>
                <w:szCs w:val="20"/>
                <w:shd w:val="clear" w:color="auto" w:fill="FFFFFF"/>
              </w:rPr>
              <w:t>Human Tissue Acts</w:t>
            </w:r>
            <w:r w:rsidRPr="0077185F">
              <w:rPr>
                <w:rFonts w:ascii="Calibri" w:hAnsi="Calibri" w:cs="Calibri"/>
                <w:color w:val="3C4043"/>
                <w:sz w:val="20"/>
                <w:szCs w:val="20"/>
                <w:shd w:val="clear" w:color="auto" w:fill="FFFFFF"/>
              </w:rPr>
              <w:t xml:space="preserve">.  (see </w:t>
            </w:r>
            <w:hyperlink w:anchor="_Substitute_decision-making_and" w:history="1">
              <w:r w:rsidRPr="0077185F">
                <w:rPr>
                  <w:rStyle w:val="Hyperlink"/>
                  <w:rFonts w:ascii="Calibri" w:hAnsi="Calibri" w:cs="Calibri"/>
                  <w:sz w:val="20"/>
                  <w:szCs w:val="20"/>
                  <w:shd w:val="clear" w:color="auto" w:fill="FFFFFF"/>
                </w:rPr>
                <w:t xml:space="preserve">Chapter </w:t>
              </w:r>
              <w:r w:rsidR="00331FC8">
                <w:rPr>
                  <w:rStyle w:val="Hyperlink"/>
                  <w:rFonts w:ascii="Calibri" w:hAnsi="Calibri" w:cs="Calibri"/>
                  <w:sz w:val="20"/>
                  <w:szCs w:val="20"/>
                  <w:shd w:val="clear" w:color="auto" w:fill="FFFFFF"/>
                </w:rPr>
                <w:t>5</w:t>
              </w:r>
              <w:r w:rsidRPr="0077185F">
                <w:rPr>
                  <w:rStyle w:val="Hyperlink"/>
                  <w:rFonts w:ascii="Calibri" w:hAnsi="Calibri" w:cs="Calibri"/>
                  <w:sz w:val="20"/>
                  <w:szCs w:val="20"/>
                  <w:shd w:val="clear" w:color="auto" w:fill="FFFFFF"/>
                </w:rPr>
                <w:t>.2</w:t>
              </w:r>
            </w:hyperlink>
            <w:r w:rsidRPr="0077185F">
              <w:rPr>
                <w:rFonts w:ascii="Calibri" w:hAnsi="Calibri" w:cs="Calibri"/>
                <w:color w:val="3C4043"/>
                <w:sz w:val="20"/>
                <w:szCs w:val="20"/>
                <w:shd w:val="clear" w:color="auto" w:fill="FFFFFF"/>
              </w:rPr>
              <w:t>)</w:t>
            </w:r>
          </w:p>
        </w:tc>
      </w:tr>
      <w:tr w:rsidR="009C2EF0" w:rsidRPr="0077185F" w14:paraId="5BA9C1B1" w14:textId="77777777">
        <w:tc>
          <w:tcPr>
            <w:tcW w:w="1869" w:type="dxa"/>
          </w:tcPr>
          <w:p w14:paraId="77BDEEA4"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substituted judgement</w:t>
            </w:r>
          </w:p>
        </w:tc>
        <w:tc>
          <w:tcPr>
            <w:tcW w:w="7141" w:type="dxa"/>
          </w:tcPr>
          <w:p w14:paraId="4C7911B9" w14:textId="0FEB0549" w:rsidR="009C2EF0" w:rsidRPr="0077185F" w:rsidRDefault="009C2EF0" w:rsidP="00EA22AE">
            <w:pPr>
              <w:spacing w:after="120"/>
              <w:rPr>
                <w:rFonts w:ascii="Calibri" w:hAnsi="Calibri" w:cs="Calibri"/>
                <w:sz w:val="20"/>
                <w:szCs w:val="20"/>
              </w:rPr>
            </w:pPr>
            <w:r w:rsidRPr="0077185F">
              <w:rPr>
                <w:rFonts w:ascii="Calibri" w:hAnsi="Calibri" w:cs="Calibri"/>
                <w:color w:val="333333"/>
                <w:sz w:val="20"/>
                <w:szCs w:val="20"/>
                <w:shd w:val="clear" w:color="auto" w:fill="FFFFFF"/>
              </w:rPr>
              <w:t xml:space="preserve">An approach to decision-making on behalf of a person who no longer has decision capacity that gives primary consideration to what the wishes of the person with the mental incapacity would have been had she or he not been incapacitated. (see </w:t>
            </w:r>
            <w:hyperlink w:anchor="_Adults_lacking_decision-making" w:history="1">
              <w:r w:rsidRPr="0077185F">
                <w:rPr>
                  <w:rStyle w:val="Hyperlink"/>
                  <w:rFonts w:ascii="Calibri" w:hAnsi="Calibri" w:cs="Calibri"/>
                  <w:sz w:val="20"/>
                  <w:szCs w:val="20"/>
                  <w:shd w:val="clear" w:color="auto" w:fill="FFFFFF"/>
                </w:rPr>
                <w:t xml:space="preserve">Chapter </w:t>
              </w:r>
              <w:r w:rsidR="00331FC8">
                <w:rPr>
                  <w:rStyle w:val="Hyperlink"/>
                  <w:rFonts w:ascii="Calibri" w:hAnsi="Calibri" w:cs="Calibri"/>
                  <w:sz w:val="20"/>
                  <w:szCs w:val="20"/>
                  <w:shd w:val="clear" w:color="auto" w:fill="FFFFFF"/>
                </w:rPr>
                <w:t>5</w:t>
              </w:r>
              <w:r w:rsidRPr="0077185F">
                <w:rPr>
                  <w:rStyle w:val="Hyperlink"/>
                  <w:rFonts w:ascii="Calibri" w:hAnsi="Calibri" w:cs="Calibri"/>
                  <w:sz w:val="20"/>
                  <w:szCs w:val="20"/>
                  <w:shd w:val="clear" w:color="auto" w:fill="FFFFFF"/>
                </w:rPr>
                <w:t>.3.2</w:t>
              </w:r>
            </w:hyperlink>
            <w:r w:rsidRPr="0077185F">
              <w:rPr>
                <w:rFonts w:ascii="Calibri" w:hAnsi="Calibri" w:cs="Calibri"/>
                <w:color w:val="333333"/>
                <w:sz w:val="20"/>
                <w:szCs w:val="20"/>
                <w:shd w:val="clear" w:color="auto" w:fill="FFFFFF"/>
              </w:rPr>
              <w:t>)</w:t>
            </w:r>
          </w:p>
        </w:tc>
      </w:tr>
      <w:tr w:rsidR="009C2EF0" w:rsidRPr="0077185F" w14:paraId="60FA404B" w14:textId="77777777">
        <w:tc>
          <w:tcPr>
            <w:tcW w:w="1869" w:type="dxa"/>
          </w:tcPr>
          <w:p w14:paraId="1A789B30"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tissue-derived product</w:t>
            </w:r>
          </w:p>
        </w:tc>
        <w:tc>
          <w:tcPr>
            <w:tcW w:w="7141" w:type="dxa"/>
          </w:tcPr>
          <w:p w14:paraId="1FE64BE4" w14:textId="77777777" w:rsidR="009C2EF0" w:rsidRPr="0077185F" w:rsidRDefault="009C2EF0" w:rsidP="00EA22AE">
            <w:pPr>
              <w:spacing w:after="120"/>
              <w:rPr>
                <w:rFonts w:ascii="Calibri" w:hAnsi="Calibri" w:cs="Calibri"/>
                <w:sz w:val="20"/>
                <w:szCs w:val="20"/>
              </w:rPr>
            </w:pPr>
            <w:r w:rsidRPr="0077185F">
              <w:rPr>
                <w:rFonts w:ascii="Calibri" w:hAnsi="Calibri" w:cs="Calibri"/>
                <w:sz w:val="20"/>
                <w:szCs w:val="20"/>
              </w:rPr>
              <w:t xml:space="preserve">A term sometimes used to describe tissues used in transplantation that have been which have been subject to and transformed by processing and manufacture. (see </w:t>
            </w:r>
            <w:r w:rsidRPr="0077185F">
              <w:rPr>
                <w:rFonts w:ascii="Calibri" w:hAnsi="Calibri" w:cs="Calibri"/>
                <w:b/>
                <w:bCs/>
                <w:sz w:val="20"/>
                <w:szCs w:val="20"/>
              </w:rPr>
              <w:t>medical product</w:t>
            </w:r>
            <w:r w:rsidRPr="0077185F">
              <w:rPr>
                <w:rFonts w:ascii="Calibri" w:hAnsi="Calibri" w:cs="Calibri"/>
                <w:sz w:val="20"/>
                <w:szCs w:val="20"/>
              </w:rPr>
              <w:t>)</w:t>
            </w:r>
          </w:p>
        </w:tc>
      </w:tr>
      <w:tr w:rsidR="009C2EF0" w:rsidRPr="0077185F" w14:paraId="75750CD0" w14:textId="77777777">
        <w:tc>
          <w:tcPr>
            <w:tcW w:w="1869" w:type="dxa"/>
          </w:tcPr>
          <w:p w14:paraId="7B816E9C"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t>tissue typing</w:t>
            </w:r>
          </w:p>
        </w:tc>
        <w:tc>
          <w:tcPr>
            <w:tcW w:w="7141" w:type="dxa"/>
          </w:tcPr>
          <w:p w14:paraId="2F7D500F" w14:textId="1AEFB994" w:rsidR="009C2EF0" w:rsidRPr="0077185F" w:rsidRDefault="009C2EF0" w:rsidP="00EA22AE">
            <w:pPr>
              <w:spacing w:after="120"/>
              <w:rPr>
                <w:rFonts w:ascii="Calibri" w:hAnsi="Calibri" w:cs="Calibri"/>
                <w:sz w:val="20"/>
                <w:szCs w:val="20"/>
              </w:rPr>
            </w:pPr>
            <w:r w:rsidRPr="0077185F">
              <w:rPr>
                <w:rFonts w:ascii="Calibri" w:hAnsi="Calibri" w:cs="Calibri"/>
                <w:color w:val="222222"/>
                <w:sz w:val="20"/>
                <w:szCs w:val="20"/>
                <w:shd w:val="clear" w:color="auto" w:fill="FFFFFF"/>
              </w:rPr>
              <w:t xml:space="preserve">The assessment of the immunological compatibility of tissue from separate sources (potential donors and recipients), particularly prior to HSC or organ transplantation. (see </w:t>
            </w:r>
            <w:r w:rsidRPr="0077185F">
              <w:rPr>
                <w:rFonts w:ascii="Calibri" w:hAnsi="Calibri" w:cs="Calibri"/>
                <w:b/>
                <w:bCs/>
                <w:color w:val="222222"/>
                <w:sz w:val="20"/>
                <w:szCs w:val="20"/>
                <w:shd w:val="clear" w:color="auto" w:fill="FFFFFF"/>
              </w:rPr>
              <w:t>HLA</w:t>
            </w:r>
            <w:r w:rsidRPr="0077185F">
              <w:rPr>
                <w:rFonts w:ascii="Calibri" w:hAnsi="Calibri" w:cs="Calibri"/>
                <w:color w:val="222222"/>
                <w:sz w:val="20"/>
                <w:szCs w:val="20"/>
                <w:shd w:val="clear" w:color="auto" w:fill="FFFFFF"/>
              </w:rPr>
              <w:t xml:space="preserve">) </w:t>
            </w:r>
          </w:p>
        </w:tc>
      </w:tr>
      <w:tr w:rsidR="009C2EF0" w:rsidRPr="0077185F" w14:paraId="44758CBC" w14:textId="77777777">
        <w:tc>
          <w:tcPr>
            <w:tcW w:w="1869" w:type="dxa"/>
          </w:tcPr>
          <w:p w14:paraId="26797EB3"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transplant tourism</w:t>
            </w:r>
          </w:p>
        </w:tc>
        <w:tc>
          <w:tcPr>
            <w:tcW w:w="7141" w:type="dxa"/>
          </w:tcPr>
          <w:p w14:paraId="1DFE6BAD" w14:textId="4E162467" w:rsidR="009C2EF0" w:rsidRPr="0077185F" w:rsidRDefault="009C2EF0" w:rsidP="00EA22AE">
            <w:pPr>
              <w:spacing w:after="120"/>
              <w:rPr>
                <w:rFonts w:ascii="Calibri" w:hAnsi="Calibri" w:cs="Calibri"/>
                <w:color w:val="222222"/>
                <w:sz w:val="20"/>
                <w:szCs w:val="20"/>
                <w:shd w:val="clear" w:color="auto" w:fill="FFFFFF"/>
              </w:rPr>
            </w:pPr>
            <w:r w:rsidRPr="0077185F">
              <w:rPr>
                <w:rFonts w:ascii="Calibri" w:hAnsi="Calibri" w:cs="Calibri"/>
                <w:sz w:val="20"/>
                <w:szCs w:val="20"/>
              </w:rPr>
              <w:t>Travel for transplantation when it “involves organ trafficking and/or transplant commercialism or if the resources (organs, professionals and transplant centres) devoted to providing transplant to patients from outside a country undermine the country's ability to provide transplant services for its own population.</w:t>
            </w:r>
            <w:r w:rsidRPr="0077185F">
              <w:rPr>
                <w:rFonts w:ascii="Calibri" w:hAnsi="Calibri" w:cs="Calibri"/>
                <w:sz w:val="20"/>
                <w:szCs w:val="20"/>
              </w:rPr>
              <w:fldChar w:fldCharType="begin" w:fldLock="1"/>
            </w:r>
            <w:r w:rsidR="00EB088B">
              <w:rPr>
                <w:rFonts w:ascii="Calibri" w:hAnsi="Calibri" w:cs="Calibri"/>
                <w:sz w:val="20"/>
                <w:szCs w:val="20"/>
              </w:rPr>
              <w:instrText>ADDIN CSL_CITATION {"citationItems":[{"id":"ITEM-1","itemData":{"DOI":"10.1016/j.kint.2019.01.006","ISSN":"15231755","PMID":"30904066","author":[{"dropping-particle":"","family":"Martin","given":"Dominique E.","non-dropping-particle":"","parse-names":false,"suffix":""},{"dropping-particle":"","family":"Assche","given":"Kristof","non-dropping-particle":"Van","parse-names":false,"suffix":""},{"dropping-particle":"","family":"Domínguez-Gil","given":"Beatriz","non-dropping-particle":"","parse-names":false,"suffix":""},{"dropping-particle":"","family":"López-Fraga","given":"Marta","non-dropping-particle":"","parse-names":false,"suffix":""},{"dropping-particle":"","family":"Garcia Gallont","given":"Rudolf","non-dropping-particle":"","parse-names":false,"suffix":""},{"dropping-particle":"","family":"Muller","given":"Elmi","non-dropping-particle":"","parse-names":false,"suffix":""},{"dropping-particle":"","family":"Rondeau","given":"Eric","non-dropping-particle":"","parse-names":false,"suffix":""},{"dropping-particle":"","family":"Capron","given":"Alexander M.","non-dropping-particle":"","parse-names":false,"suffix":""}],"container-title":"Kidney International","id":"ITEM-1","issue":"4","issued":{"date-parts":[["2019"]]},"page":"757-759","title":"A new edition of the Declaration of Istanbul: updated guidance to combat organ trafficking and transplant tourism worldwide","type":"article-journal","volume":"95"},"uris":["http://www.mendeley.com/documents/?uuid=37cc9411-2f01-4000-8e7f-a7c78a631192"]}],"mendeley":{"formattedCitation":"(153)","plainTextFormattedCitation":"(153)","previouslyFormattedCitation":"(153)"},"properties":{"noteIndex":0},"schema":"https://github.com/citation-style-language/schema/raw/master/csl-citation.json"}</w:instrText>
            </w:r>
            <w:r w:rsidRPr="0077185F">
              <w:rPr>
                <w:rFonts w:ascii="Calibri" w:hAnsi="Calibri" w:cs="Calibri"/>
                <w:sz w:val="20"/>
                <w:szCs w:val="20"/>
              </w:rPr>
              <w:fldChar w:fldCharType="separate"/>
            </w:r>
            <w:r w:rsidR="00BA3D76" w:rsidRPr="00BA3D76">
              <w:rPr>
                <w:rFonts w:ascii="Calibri" w:hAnsi="Calibri" w:cs="Calibri"/>
                <w:noProof/>
                <w:sz w:val="20"/>
                <w:szCs w:val="20"/>
              </w:rPr>
              <w:t>(153)</w:t>
            </w:r>
            <w:r w:rsidRPr="0077185F">
              <w:rPr>
                <w:rFonts w:ascii="Calibri" w:hAnsi="Calibri" w:cs="Calibri"/>
                <w:sz w:val="20"/>
                <w:szCs w:val="20"/>
              </w:rPr>
              <w:fldChar w:fldCharType="end"/>
            </w:r>
            <w:r w:rsidRPr="0077185F">
              <w:rPr>
                <w:rFonts w:ascii="Calibri" w:hAnsi="Calibri" w:cs="Calibri"/>
                <w:sz w:val="20"/>
                <w:szCs w:val="20"/>
              </w:rPr>
              <w:t xml:space="preserve">” (see </w:t>
            </w:r>
            <w:hyperlink w:anchor="_Ethical_travel_for" w:history="1">
              <w:r w:rsidRPr="0077185F">
                <w:rPr>
                  <w:rStyle w:val="Hyperlink"/>
                  <w:rFonts w:ascii="Calibri" w:hAnsi="Calibri" w:cs="Calibri"/>
                  <w:sz w:val="20"/>
                  <w:szCs w:val="20"/>
                </w:rPr>
                <w:t xml:space="preserve">Chapter </w:t>
              </w:r>
              <w:r w:rsidR="00331FC8">
                <w:rPr>
                  <w:rStyle w:val="Hyperlink"/>
                  <w:rFonts w:ascii="Calibri" w:hAnsi="Calibri" w:cs="Calibri"/>
                  <w:sz w:val="20"/>
                  <w:szCs w:val="20"/>
                </w:rPr>
                <w:t>9</w:t>
              </w:r>
              <w:r w:rsidRPr="0077185F">
                <w:rPr>
                  <w:rStyle w:val="Hyperlink"/>
                  <w:rFonts w:ascii="Calibri" w:hAnsi="Calibri" w:cs="Calibri"/>
                  <w:sz w:val="20"/>
                  <w:szCs w:val="20"/>
                </w:rPr>
                <w:t>.4.1</w:t>
              </w:r>
            </w:hyperlink>
            <w:r w:rsidRPr="0077185F">
              <w:rPr>
                <w:rStyle w:val="Hyperlink"/>
                <w:rFonts w:ascii="Calibri" w:hAnsi="Calibri" w:cs="Calibri"/>
                <w:sz w:val="20"/>
                <w:szCs w:val="20"/>
              </w:rPr>
              <w:t>)</w:t>
            </w:r>
          </w:p>
        </w:tc>
      </w:tr>
      <w:tr w:rsidR="009C2EF0" w:rsidRPr="0077185F" w14:paraId="1BB6A485" w14:textId="77777777">
        <w:tc>
          <w:tcPr>
            <w:tcW w:w="1869" w:type="dxa"/>
          </w:tcPr>
          <w:p w14:paraId="6CA4EDAC" w14:textId="77777777" w:rsidR="009C2EF0" w:rsidRPr="0077185F" w:rsidRDefault="009C2EF0" w:rsidP="00EA22AE">
            <w:pPr>
              <w:spacing w:after="120"/>
              <w:rPr>
                <w:rFonts w:ascii="Calibri" w:hAnsi="Calibri" w:cs="Calibri"/>
                <w:sz w:val="20"/>
                <w:szCs w:val="20"/>
              </w:rPr>
            </w:pPr>
            <w:r w:rsidRPr="0077185F">
              <w:rPr>
                <w:rFonts w:ascii="Calibri" w:hAnsi="Calibri" w:cs="Calibri"/>
                <w:b/>
                <w:bCs/>
                <w:sz w:val="20"/>
                <w:szCs w:val="20"/>
              </w:rPr>
              <w:lastRenderedPageBreak/>
              <w:t>vascularised composite allograft</w:t>
            </w:r>
          </w:p>
        </w:tc>
        <w:tc>
          <w:tcPr>
            <w:tcW w:w="7141" w:type="dxa"/>
          </w:tcPr>
          <w:p w14:paraId="0E3ED679" w14:textId="4717AF43" w:rsidR="009C2EF0" w:rsidRPr="0077185F" w:rsidRDefault="009C2EF0" w:rsidP="00EA22AE">
            <w:pPr>
              <w:spacing w:after="120"/>
              <w:rPr>
                <w:rFonts w:ascii="Calibri" w:hAnsi="Calibri" w:cs="Calibri"/>
                <w:sz w:val="20"/>
                <w:szCs w:val="20"/>
              </w:rPr>
            </w:pPr>
            <w:r w:rsidRPr="0077185F">
              <w:rPr>
                <w:rStyle w:val="e24kjd"/>
                <w:rFonts w:ascii="Calibri" w:hAnsi="Calibri" w:cs="Calibri"/>
                <w:sz w:val="20"/>
                <w:szCs w:val="20"/>
              </w:rPr>
              <w:t>The transfer of a vascularised human body part containing multiple tissue types (skin, muscle, bone, nerves, and blood vessels) as an anatomical and/or structural unit from a human donor to a human recipient</w:t>
            </w:r>
            <w:r w:rsidRPr="0077185F">
              <w:rPr>
                <w:rFonts w:ascii="Calibri" w:hAnsi="Calibri" w:cs="Calibri"/>
                <w:sz w:val="20"/>
                <w:szCs w:val="20"/>
                <w:lang w:eastAsia="en-AU"/>
              </w:rPr>
              <w:t xml:space="preserve">, typically face and hand transplantation. (see </w:t>
            </w:r>
            <w:hyperlink w:anchor="_Ethical_considerations_of" w:history="1">
              <w:r w:rsidRPr="0077185F">
                <w:rPr>
                  <w:rStyle w:val="Hyperlink"/>
                  <w:rFonts w:ascii="Calibri" w:hAnsi="Calibri" w:cs="Calibri"/>
                  <w:sz w:val="20"/>
                  <w:szCs w:val="20"/>
                </w:rPr>
                <w:t>Chapter 1</w:t>
              </w:r>
              <w:r w:rsidR="00331FC8">
                <w:rPr>
                  <w:rStyle w:val="Hyperlink"/>
                  <w:rFonts w:ascii="Calibri" w:hAnsi="Calibri" w:cs="Calibri"/>
                  <w:sz w:val="20"/>
                  <w:szCs w:val="20"/>
                </w:rPr>
                <w:t>2</w:t>
              </w:r>
              <w:r w:rsidRPr="0077185F">
                <w:rPr>
                  <w:rStyle w:val="Hyperlink"/>
                  <w:rFonts w:ascii="Calibri" w:hAnsi="Calibri" w:cs="Calibri"/>
                  <w:sz w:val="20"/>
                  <w:szCs w:val="20"/>
                </w:rPr>
                <w:t>.6</w:t>
              </w:r>
            </w:hyperlink>
            <w:r w:rsidRPr="0077185F">
              <w:rPr>
                <w:rStyle w:val="Hyperlink"/>
                <w:rFonts w:ascii="Calibri" w:hAnsi="Calibri" w:cs="Calibri"/>
                <w:sz w:val="20"/>
                <w:szCs w:val="20"/>
              </w:rPr>
              <w:t>).</w:t>
            </w:r>
          </w:p>
        </w:tc>
      </w:tr>
      <w:tr w:rsidR="009C2EF0" w:rsidRPr="0077185F" w14:paraId="2C614300" w14:textId="77777777">
        <w:tc>
          <w:tcPr>
            <w:tcW w:w="1869" w:type="dxa"/>
          </w:tcPr>
          <w:p w14:paraId="48D23D82" w14:textId="77777777" w:rsidR="009C2EF0" w:rsidRPr="0077185F" w:rsidRDefault="009C2EF0" w:rsidP="00EA22AE">
            <w:pPr>
              <w:spacing w:after="120"/>
              <w:rPr>
                <w:rFonts w:ascii="Calibri" w:hAnsi="Calibri" w:cs="Calibri"/>
                <w:b/>
                <w:bCs/>
                <w:sz w:val="20"/>
                <w:szCs w:val="20"/>
              </w:rPr>
            </w:pPr>
            <w:r w:rsidRPr="0077185F">
              <w:rPr>
                <w:rFonts w:ascii="Calibri" w:hAnsi="Calibri" w:cs="Calibri"/>
                <w:b/>
                <w:bCs/>
                <w:sz w:val="20"/>
                <w:szCs w:val="20"/>
              </w:rPr>
              <w:t>voluntary assisted dying</w:t>
            </w:r>
          </w:p>
        </w:tc>
        <w:tc>
          <w:tcPr>
            <w:tcW w:w="7141" w:type="dxa"/>
          </w:tcPr>
          <w:p w14:paraId="448E9119" w14:textId="5D709FA8" w:rsidR="009C2EF0" w:rsidRPr="0077185F" w:rsidRDefault="00757378" w:rsidP="00EA22AE">
            <w:pPr>
              <w:spacing w:after="120"/>
              <w:rPr>
                <w:rFonts w:ascii="Calibri" w:hAnsi="Calibri" w:cs="Calibri"/>
                <w:sz w:val="20"/>
                <w:szCs w:val="20"/>
              </w:rPr>
            </w:pPr>
            <w:r>
              <w:rPr>
                <w:rFonts w:ascii="Calibri" w:hAnsi="Calibri" w:cs="Calibri"/>
                <w:sz w:val="20"/>
                <w:szCs w:val="20"/>
              </w:rPr>
              <w:t>W</w:t>
            </w:r>
            <w:r w:rsidR="009C2EF0" w:rsidRPr="0077185F">
              <w:rPr>
                <w:rFonts w:ascii="Calibri" w:hAnsi="Calibri" w:cs="Calibri"/>
                <w:sz w:val="20"/>
                <w:szCs w:val="20"/>
              </w:rPr>
              <w:t xml:space="preserve">hen a person who wishes to hasten their own death is given medical assistance to die. (see </w:t>
            </w:r>
            <w:hyperlink w:anchor="_Donation_after_voluntary" w:history="1">
              <w:r w:rsidR="009C2EF0" w:rsidRPr="0077185F">
                <w:rPr>
                  <w:rStyle w:val="Hyperlink"/>
                  <w:rFonts w:ascii="Calibri" w:hAnsi="Calibri" w:cs="Calibri"/>
                  <w:sz w:val="20"/>
                  <w:szCs w:val="20"/>
                </w:rPr>
                <w:t>Chapter 1</w:t>
              </w:r>
              <w:r w:rsidR="000D1A37">
                <w:rPr>
                  <w:rStyle w:val="Hyperlink"/>
                  <w:rFonts w:ascii="Calibri" w:hAnsi="Calibri" w:cs="Calibri"/>
                  <w:sz w:val="20"/>
                  <w:szCs w:val="20"/>
                </w:rPr>
                <w:t>1</w:t>
              </w:r>
              <w:r w:rsidR="009C2EF0" w:rsidRPr="0077185F">
                <w:rPr>
                  <w:rStyle w:val="Hyperlink"/>
                  <w:rFonts w:ascii="Calibri" w:hAnsi="Calibri" w:cs="Calibri"/>
                  <w:sz w:val="20"/>
                  <w:szCs w:val="20"/>
                </w:rPr>
                <w:t>.7</w:t>
              </w:r>
            </w:hyperlink>
            <w:r w:rsidR="009C2EF0" w:rsidRPr="0077185F">
              <w:rPr>
                <w:rFonts w:ascii="Calibri" w:hAnsi="Calibri" w:cs="Calibri"/>
                <w:sz w:val="20"/>
                <w:szCs w:val="20"/>
              </w:rPr>
              <w:t>)</w:t>
            </w:r>
          </w:p>
        </w:tc>
      </w:tr>
    </w:tbl>
    <w:p w14:paraId="30296DAF" w14:textId="77777777" w:rsidR="006C6EBA" w:rsidRPr="006720E4" w:rsidRDefault="006C6EBA" w:rsidP="00EA22AE">
      <w:pPr>
        <w:spacing w:after="120"/>
        <w:rPr>
          <w:rFonts w:ascii="Calibri" w:hAnsi="Calibri" w:cs="Calibri"/>
        </w:rPr>
      </w:pPr>
    </w:p>
    <w:p w14:paraId="406193E9" w14:textId="77777777" w:rsidR="006C6EBA" w:rsidRPr="006720E4" w:rsidRDefault="006C6EBA" w:rsidP="00EA22AE">
      <w:pPr>
        <w:spacing w:after="120"/>
        <w:rPr>
          <w:rFonts w:ascii="Calibri" w:hAnsi="Calibri" w:cs="Calibri"/>
          <w:b/>
          <w:bCs/>
          <w:color w:val="4472C4" w:themeColor="accent1"/>
          <w:sz w:val="32"/>
          <w:szCs w:val="32"/>
          <w:u w:val="single"/>
        </w:rPr>
      </w:pPr>
      <w:bookmarkStart w:id="5663" w:name="_Expanded_table_of"/>
      <w:bookmarkStart w:id="5664" w:name="_Toc70415033"/>
      <w:bookmarkStart w:id="5665" w:name="_Toc70844354"/>
      <w:bookmarkStart w:id="5666" w:name="_Toc70859058"/>
      <w:bookmarkStart w:id="5667" w:name="_Toc70861159"/>
      <w:bookmarkStart w:id="5668" w:name="_Toc70876645"/>
      <w:bookmarkStart w:id="5669" w:name="_Toc72615290"/>
      <w:bookmarkStart w:id="5670" w:name="_Toc73130016"/>
      <w:bookmarkStart w:id="5671" w:name="_Toc73301882"/>
      <w:bookmarkStart w:id="5672" w:name="_Toc73302388"/>
      <w:bookmarkStart w:id="5673" w:name="_Toc73303521"/>
      <w:bookmarkStart w:id="5674" w:name="_Toc73303728"/>
      <w:bookmarkStart w:id="5675" w:name="_Toc74080867"/>
      <w:bookmarkStart w:id="5676" w:name="_Toc74081175"/>
      <w:bookmarkStart w:id="5677" w:name="_Toc74081405"/>
      <w:bookmarkStart w:id="5678" w:name="_Toc74081693"/>
      <w:bookmarkStart w:id="5679" w:name="_Toc74171236"/>
      <w:bookmarkStart w:id="5680" w:name="_Toc74172470"/>
      <w:bookmarkStart w:id="5681" w:name="_Toc74173004"/>
      <w:bookmarkStart w:id="5682" w:name="_Toc74238910"/>
      <w:bookmarkStart w:id="5683" w:name="_Toc78304833"/>
      <w:bookmarkStart w:id="5684" w:name="_Toc79330943"/>
      <w:bookmarkStart w:id="5685" w:name="_Toc79331323"/>
      <w:bookmarkStart w:id="5686" w:name="_Toc79406569"/>
      <w:bookmarkEnd w:id="5663"/>
      <w:r w:rsidRPr="006720E4">
        <w:rPr>
          <w:rFonts w:ascii="Calibri" w:hAnsi="Calibri" w:cs="Calibri"/>
        </w:rPr>
        <w:br w:type="page"/>
      </w:r>
    </w:p>
    <w:p w14:paraId="7A743A77" w14:textId="77777777" w:rsidR="006C6EBA" w:rsidRPr="006720E4" w:rsidRDefault="006C6EBA" w:rsidP="00EA22AE">
      <w:pPr>
        <w:spacing w:after="120"/>
        <w:rPr>
          <w:rFonts w:ascii="Calibri" w:hAnsi="Calibri" w:cs="Calibri"/>
          <w:b/>
          <w:bCs/>
          <w:color w:val="4472C4" w:themeColor="accent1"/>
          <w:sz w:val="32"/>
          <w:szCs w:val="32"/>
          <w:u w:val="single"/>
        </w:rPr>
      </w:pPr>
      <w:bookmarkStart w:id="5687" w:name="_Expanded_table_of_1"/>
      <w:bookmarkStart w:id="5688" w:name="_Toc79406553"/>
      <w:bookmarkStart w:id="5689" w:name="_Toc82773786"/>
      <w:bookmarkStart w:id="5690" w:name="_Toc82774139"/>
      <w:bookmarkStart w:id="5691" w:name="_Toc70334024"/>
      <w:bookmarkStart w:id="5692" w:name="_Toc70415032"/>
      <w:bookmarkStart w:id="5693" w:name="_Toc70844353"/>
      <w:bookmarkStart w:id="5694" w:name="_Toc70859057"/>
      <w:bookmarkStart w:id="5695" w:name="_Toc70861158"/>
      <w:bookmarkStart w:id="5696" w:name="_Toc70876644"/>
      <w:bookmarkStart w:id="5697" w:name="_Toc72615289"/>
      <w:bookmarkStart w:id="5698" w:name="_Toc73130015"/>
      <w:bookmarkStart w:id="5699" w:name="_Toc73301881"/>
      <w:bookmarkStart w:id="5700" w:name="_Toc73302387"/>
      <w:bookmarkStart w:id="5701" w:name="_Toc73303520"/>
      <w:bookmarkStart w:id="5702" w:name="_Toc73303727"/>
      <w:bookmarkStart w:id="5703" w:name="_Toc74080866"/>
      <w:bookmarkStart w:id="5704" w:name="_Toc74081174"/>
      <w:bookmarkStart w:id="5705" w:name="_Toc74081404"/>
      <w:bookmarkStart w:id="5706" w:name="_Toc74081692"/>
      <w:bookmarkStart w:id="5707" w:name="_Toc74171235"/>
      <w:bookmarkStart w:id="5708" w:name="_Toc74172469"/>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p>
    <w:p w14:paraId="57F3EBDA" w14:textId="77777777" w:rsidR="006C6EBA" w:rsidRPr="006720E4" w:rsidRDefault="006C6EBA" w:rsidP="00EA22AE">
      <w:pPr>
        <w:pStyle w:val="Heading1"/>
        <w:numPr>
          <w:ilvl w:val="0"/>
          <w:numId w:val="0"/>
        </w:numPr>
        <w:ind w:left="360" w:hanging="360"/>
      </w:pPr>
      <w:bookmarkStart w:id="5709" w:name="_Index"/>
      <w:bookmarkStart w:id="5710" w:name="_Toc128314260"/>
      <w:bookmarkStart w:id="5711" w:name="_Toc135131502"/>
      <w:bookmarkEnd w:id="5709"/>
      <w:r w:rsidRPr="006720E4">
        <w:t>Index</w:t>
      </w:r>
      <w:bookmarkEnd w:id="5688"/>
      <w:bookmarkEnd w:id="5689"/>
      <w:bookmarkEnd w:id="5690"/>
      <w:bookmarkEnd w:id="5710"/>
      <w:bookmarkEnd w:id="5711"/>
    </w:p>
    <w:p w14:paraId="43ABF784" w14:textId="2C75D7E4" w:rsidR="006C6EBA" w:rsidRPr="006720E4" w:rsidRDefault="0081350D" w:rsidP="00EA22AE">
      <w:pPr>
        <w:spacing w:after="120"/>
        <w:rPr>
          <w:rFonts w:ascii="Calibri" w:hAnsi="Calibri" w:cs="Calibri"/>
          <w:sz w:val="22"/>
          <w:szCs w:val="22"/>
        </w:rPr>
      </w:pPr>
      <w:r>
        <w:rPr>
          <w:rFonts w:ascii="Calibri" w:hAnsi="Calibri" w:cs="Calibri"/>
          <w:sz w:val="22"/>
          <w:szCs w:val="22"/>
        </w:rPr>
        <w:t>To be completed when documented finalised.</w:t>
      </w:r>
    </w:p>
    <w:p w14:paraId="37435D51" w14:textId="77777777" w:rsidR="006C6EBA" w:rsidRPr="006720E4" w:rsidRDefault="006C6EBA" w:rsidP="00EA22AE">
      <w:pPr>
        <w:spacing w:after="120"/>
        <w:rPr>
          <w:rFonts w:ascii="Calibri" w:hAnsi="Calibri" w:cs="Calibri"/>
          <w:noProof/>
          <w:sz w:val="22"/>
          <w:szCs w:val="22"/>
        </w:rPr>
        <w:sectPr w:rsidR="006C6EBA" w:rsidRPr="006720E4" w:rsidSect="006C6EBA">
          <w:headerReference w:type="default" r:id="rId134"/>
          <w:footerReference w:type="even" r:id="rId135"/>
          <w:footerReference w:type="default" r:id="rId136"/>
          <w:headerReference w:type="first" r:id="rId137"/>
          <w:footerReference w:type="first" r:id="rId138"/>
          <w:pgSz w:w="11900" w:h="16840"/>
          <w:pgMar w:top="1440" w:right="1440" w:bottom="1440" w:left="1440" w:header="708" w:footer="708" w:gutter="0"/>
          <w:cols w:space="708"/>
          <w:titlePg/>
          <w:docGrid w:linePitch="360"/>
        </w:sectPr>
      </w:pPr>
      <w:r w:rsidRPr="006720E4">
        <w:rPr>
          <w:rFonts w:ascii="Calibri" w:hAnsi="Calibri" w:cs="Calibri"/>
          <w:sz w:val="22"/>
          <w:szCs w:val="22"/>
        </w:rPr>
        <w:fldChar w:fldCharType="begin"/>
      </w:r>
      <w:r w:rsidRPr="006720E4">
        <w:rPr>
          <w:rFonts w:ascii="Calibri" w:hAnsi="Calibri" w:cs="Calibri"/>
          <w:sz w:val="22"/>
          <w:szCs w:val="22"/>
        </w:rPr>
        <w:instrText xml:space="preserve"> INDEX \h "A" \c "2" \z "2057" </w:instrText>
      </w:r>
      <w:r w:rsidRPr="006720E4">
        <w:rPr>
          <w:rFonts w:ascii="Calibri" w:hAnsi="Calibri" w:cs="Calibri"/>
          <w:sz w:val="22"/>
          <w:szCs w:val="22"/>
        </w:rPr>
        <w:fldChar w:fldCharType="separate"/>
      </w:r>
    </w:p>
    <w:p w14:paraId="55A75B4A"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fldChar w:fldCharType="end"/>
      </w:r>
    </w:p>
    <w:p w14:paraId="106608A4" w14:textId="77777777" w:rsidR="006C6EBA" w:rsidRPr="006720E4" w:rsidRDefault="006C6EBA" w:rsidP="00EA22AE">
      <w:pPr>
        <w:spacing w:after="120"/>
        <w:rPr>
          <w:rFonts w:ascii="Calibri" w:hAnsi="Calibri" w:cs="Calibri"/>
          <w:sz w:val="22"/>
          <w:szCs w:val="22"/>
        </w:rPr>
      </w:pPr>
    </w:p>
    <w:p w14:paraId="35663E7D" w14:textId="77777777" w:rsidR="006C6EBA" w:rsidRDefault="006C6EBA" w:rsidP="00EA22AE">
      <w:pPr>
        <w:pStyle w:val="Heading1"/>
        <w:numPr>
          <w:ilvl w:val="0"/>
          <w:numId w:val="0"/>
        </w:numPr>
      </w:pPr>
      <w:bookmarkStart w:id="5712" w:name="_Appendix_1_–"/>
      <w:bookmarkStart w:id="5713" w:name="_Toc79330935"/>
      <w:bookmarkStart w:id="5714" w:name="_Toc79331315"/>
      <w:bookmarkStart w:id="5715" w:name="_Toc79406554"/>
      <w:bookmarkEnd w:id="5712"/>
      <w:r w:rsidRPr="006720E4">
        <w:br w:type="page"/>
      </w:r>
    </w:p>
    <w:p w14:paraId="7C26BA16" w14:textId="77777777" w:rsidR="00EF72F7" w:rsidRDefault="00EF72F7" w:rsidP="00EA22AE">
      <w:pPr>
        <w:pStyle w:val="Heading1"/>
        <w:numPr>
          <w:ilvl w:val="0"/>
          <w:numId w:val="0"/>
        </w:numPr>
      </w:pPr>
    </w:p>
    <w:p w14:paraId="2351A3B2" w14:textId="44C66F4E" w:rsidR="006C6EBA" w:rsidRPr="006720E4" w:rsidRDefault="006C6EBA" w:rsidP="00EA22AE">
      <w:pPr>
        <w:pStyle w:val="Heading1"/>
        <w:numPr>
          <w:ilvl w:val="0"/>
          <w:numId w:val="0"/>
        </w:numPr>
      </w:pPr>
      <w:bookmarkStart w:id="5716" w:name="_Appendix_2_–"/>
      <w:bookmarkStart w:id="5717" w:name="_Appendix_2_–_1"/>
      <w:bookmarkStart w:id="5718" w:name="_Appendix_3_–"/>
      <w:bookmarkStart w:id="5719" w:name="_Toc79330937"/>
      <w:bookmarkStart w:id="5720" w:name="_Toc79331317"/>
      <w:bookmarkStart w:id="5721" w:name="_Toc79406556"/>
      <w:bookmarkStart w:id="5722" w:name="_Toc82773794"/>
      <w:bookmarkStart w:id="5723" w:name="_Toc82774146"/>
      <w:bookmarkStart w:id="5724" w:name="_Toc128314262"/>
      <w:bookmarkStart w:id="5725" w:name="_Toc135131503"/>
      <w:bookmarkEnd w:id="5713"/>
      <w:bookmarkEnd w:id="5714"/>
      <w:bookmarkEnd w:id="5715"/>
      <w:bookmarkEnd w:id="5716"/>
      <w:bookmarkEnd w:id="5717"/>
      <w:bookmarkEnd w:id="5718"/>
      <w:r w:rsidRPr="006720E4">
        <w:t xml:space="preserve">Appendix </w:t>
      </w:r>
      <w:r w:rsidR="0081350D">
        <w:t>1</w:t>
      </w:r>
      <w:r w:rsidRPr="006720E4">
        <w:t xml:space="preserve"> – Further reading and resources</w:t>
      </w:r>
      <w:bookmarkEnd w:id="5719"/>
      <w:bookmarkEnd w:id="5720"/>
      <w:bookmarkEnd w:id="5721"/>
      <w:bookmarkEnd w:id="5722"/>
      <w:bookmarkEnd w:id="5723"/>
      <w:bookmarkEnd w:id="5724"/>
      <w:bookmarkEnd w:id="5725"/>
    </w:p>
    <w:p w14:paraId="0E01A06F" w14:textId="77777777" w:rsidR="006C6EBA" w:rsidRPr="006720E4" w:rsidRDefault="006C6EBA" w:rsidP="00EA22AE">
      <w:pPr>
        <w:spacing w:after="120"/>
        <w:rPr>
          <w:rFonts w:ascii="Calibri" w:hAnsi="Calibri" w:cs="Calibri"/>
          <w:sz w:val="22"/>
          <w:szCs w:val="22"/>
        </w:rPr>
      </w:pPr>
      <w:r w:rsidRPr="006720E4">
        <w:rPr>
          <w:rFonts w:ascii="Calibri" w:hAnsi="Calibri" w:cs="Calibri"/>
          <w:sz w:val="22"/>
          <w:szCs w:val="22"/>
        </w:rPr>
        <w:t>This Appendix provides a summary of recommended readings and resources for each of the chapters in these Guidelines.</w:t>
      </w:r>
    </w:p>
    <w:p w14:paraId="6F7481B6" w14:textId="336605A9" w:rsidR="006C6EBA" w:rsidRPr="006720E4" w:rsidRDefault="006C6EBA" w:rsidP="00EA22AE">
      <w:pPr>
        <w:pStyle w:val="Appendix3"/>
        <w:numPr>
          <w:ilvl w:val="0"/>
          <w:numId w:val="0"/>
        </w:numPr>
        <w:spacing w:after="120"/>
        <w:ind w:left="360"/>
      </w:pPr>
      <w:bookmarkStart w:id="5726" w:name="_Toc79330938"/>
      <w:bookmarkStart w:id="5727" w:name="_Toc79331318"/>
      <w:bookmarkStart w:id="5728" w:name="Ch2Resources"/>
      <w:bookmarkStart w:id="5729" w:name="_Toc79406557"/>
      <w:bookmarkStart w:id="5730" w:name="_Toc82623538"/>
      <w:bookmarkStart w:id="5731" w:name="_Toc82773795"/>
      <w:bookmarkStart w:id="5732" w:name="_Toc82774147"/>
      <w:bookmarkStart w:id="5733" w:name="_Toc128314263"/>
      <w:bookmarkStart w:id="5734" w:name="_Toc135131504"/>
      <w:r w:rsidRPr="006720E4">
        <w:t xml:space="preserve">Chapter </w:t>
      </w:r>
      <w:bookmarkEnd w:id="5726"/>
      <w:bookmarkEnd w:id="5727"/>
      <w:r w:rsidR="00EF72F7">
        <w:t>3</w:t>
      </w:r>
      <w:r w:rsidRPr="006720E4">
        <w:t xml:space="preserve"> Resources</w:t>
      </w:r>
      <w:bookmarkEnd w:id="5728"/>
      <w:bookmarkEnd w:id="5729"/>
      <w:bookmarkEnd w:id="5730"/>
      <w:bookmarkEnd w:id="5731"/>
      <w:bookmarkEnd w:id="5732"/>
      <w:bookmarkEnd w:id="5733"/>
      <w:bookmarkEnd w:id="5734"/>
    </w:p>
    <w:p w14:paraId="63A11694"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Australian ethical frameworks and guidelines relating to donation and transplantation</w:t>
      </w:r>
    </w:p>
    <w:p w14:paraId="35EC2886" w14:textId="77777777" w:rsidR="006C6EBA" w:rsidRPr="006720E4" w:rsidRDefault="006C6EBA" w:rsidP="00C3783C">
      <w:pPr>
        <w:pStyle w:val="NormalWeb"/>
        <w:numPr>
          <w:ilvl w:val="0"/>
          <w:numId w:val="45"/>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AMA Position Statement on Organ and Tissue Donation and Transplantation. 2017. </w:t>
      </w:r>
      <w:hyperlink r:id="rId139" w:history="1">
        <w:r w:rsidRPr="006720E4">
          <w:rPr>
            <w:rStyle w:val="Hyperlink"/>
            <w:rFonts w:eastAsiaTheme="majorEastAsia" w:cs="Calibri"/>
            <w:sz w:val="20"/>
            <w:szCs w:val="20"/>
          </w:rPr>
          <w:t>https://ama.com.au/sites/default/files/documents/AMA_Position_Statement_on_Organ_and_Tissue_Donation_and_Transplantation_2017_1.pdf</w:t>
        </w:r>
      </w:hyperlink>
    </w:p>
    <w:p w14:paraId="3FDB60B7" w14:textId="77777777" w:rsidR="006C6EBA" w:rsidRPr="006720E4" w:rsidRDefault="006C6EBA" w:rsidP="00C3783C">
      <w:pPr>
        <w:pStyle w:val="NormalWeb"/>
        <w:numPr>
          <w:ilvl w:val="0"/>
          <w:numId w:val="45"/>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ANZICS. The Statement on Death and Organ Donation. 2020. </w:t>
      </w:r>
      <w:hyperlink r:id="rId140" w:history="1">
        <w:r w:rsidRPr="006720E4">
          <w:rPr>
            <w:rStyle w:val="Hyperlink"/>
            <w:rFonts w:eastAsiaTheme="majorEastAsia" w:cs="Calibri"/>
            <w:sz w:val="20"/>
            <w:szCs w:val="21"/>
          </w:rPr>
          <w:t>https://www.anzics.com.au/wp-content/uploads/2020/07/ANZICS-Statement-on-Death-and-Organ-Donation-Edition-4.pdf</w:t>
        </w:r>
      </w:hyperlink>
    </w:p>
    <w:p w14:paraId="5E1A239F" w14:textId="7DB2AF71" w:rsidR="006C6EBA" w:rsidRPr="006720E4" w:rsidRDefault="006C6EBA" w:rsidP="00C3783C">
      <w:pPr>
        <w:pStyle w:val="NormalWeb"/>
        <w:numPr>
          <w:ilvl w:val="0"/>
          <w:numId w:val="45"/>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EBAANZ. Bioethical framework. 2015. </w:t>
      </w:r>
      <w:hyperlink r:id="rId141" w:history="1">
        <w:r w:rsidRPr="006720E4">
          <w:rPr>
            <w:rStyle w:val="Hyperlink"/>
            <w:rFonts w:eastAsiaTheme="majorEastAsia" w:cs="Calibri"/>
            <w:sz w:val="20"/>
            <w:szCs w:val="20"/>
          </w:rPr>
          <w:t>http://www.ebaanz.org/wp-content/uploads/2016/05/EBAANZ-Bioethic-Framework-2015.pdf</w:t>
        </w:r>
      </w:hyperlink>
    </w:p>
    <w:p w14:paraId="2BD56E1E" w14:textId="77777777" w:rsidR="006C6EBA" w:rsidRPr="006720E4" w:rsidRDefault="006C6EBA" w:rsidP="00C3783C">
      <w:pPr>
        <w:pStyle w:val="NormalWeb"/>
        <w:numPr>
          <w:ilvl w:val="0"/>
          <w:numId w:val="45"/>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Position statements from religious leaders in Australia on organ and tissue donation. </w:t>
      </w:r>
      <w:hyperlink r:id="rId142" w:history="1">
        <w:r w:rsidRPr="006720E4">
          <w:rPr>
            <w:rStyle w:val="Hyperlink"/>
            <w:rFonts w:eastAsiaTheme="majorEastAsia" w:cs="Calibri"/>
            <w:sz w:val="20"/>
            <w:szCs w:val="20"/>
          </w:rPr>
          <w:t>https://donatelife.gov.au/resources/multicultural-and-faith-communities/position-statements</w:t>
        </w:r>
      </w:hyperlink>
    </w:p>
    <w:p w14:paraId="35EE4932" w14:textId="77777777" w:rsidR="006C6EBA" w:rsidRPr="006720E4" w:rsidRDefault="006C6EBA" w:rsidP="00C3783C">
      <w:pPr>
        <w:pStyle w:val="NormalWeb"/>
        <w:numPr>
          <w:ilvl w:val="0"/>
          <w:numId w:val="45"/>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Royal College of Pathologists of Australasia. 2018. Guidelines - Ethical and Legal Issues in Relation to the Use of Human Tissue in Australia and New Zealand. </w:t>
      </w:r>
      <w:hyperlink r:id="rId143" w:history="1">
        <w:r w:rsidRPr="006720E4">
          <w:rPr>
            <w:rStyle w:val="Hyperlink"/>
            <w:rFonts w:eastAsiaTheme="majorEastAsia" w:cs="Calibri"/>
            <w:sz w:val="20"/>
            <w:szCs w:val="20"/>
          </w:rPr>
          <w:t>https://www.rcpa.edu.au/getattachment/ad0d4af1-901a-4056-af05-56bbc06167c1/Ethical-and-Legal-Issues-in-Relation-to-the-Use-of.aspx</w:t>
        </w:r>
      </w:hyperlink>
    </w:p>
    <w:p w14:paraId="117AC3E8" w14:textId="4B0170CB" w:rsidR="006C6EBA" w:rsidRPr="006720E4" w:rsidRDefault="006C6EBA" w:rsidP="00C3783C">
      <w:pPr>
        <w:pStyle w:val="NormalWeb"/>
        <w:numPr>
          <w:ilvl w:val="0"/>
          <w:numId w:val="45"/>
        </w:numPr>
        <w:spacing w:before="0" w:beforeAutospacing="0" w:after="120" w:afterAutospacing="0"/>
        <w:rPr>
          <w:rFonts w:cs="Calibri"/>
          <w:b/>
          <w:bCs/>
          <w:i/>
          <w:iCs/>
          <w:sz w:val="20"/>
          <w:szCs w:val="20"/>
        </w:rPr>
      </w:pPr>
      <w:r w:rsidRPr="006720E4">
        <w:rPr>
          <w:rFonts w:cs="Calibri"/>
          <w:sz w:val="20"/>
          <w:szCs w:val="20"/>
        </w:rPr>
        <w:t>TSANZ. Clinical Guidelines for Organ Transplantation from Deceased Donors. 2020.</w:t>
      </w:r>
      <w:r w:rsidRPr="006720E4">
        <w:rPr>
          <w:rFonts w:cs="Calibri"/>
          <w:sz w:val="20"/>
          <w:szCs w:val="21"/>
        </w:rPr>
        <w:t xml:space="preserve"> </w:t>
      </w:r>
      <w:hyperlink r:id="rId144" w:history="1">
        <w:r w:rsidRPr="006720E4">
          <w:rPr>
            <w:rStyle w:val="Hyperlink"/>
            <w:rFonts w:eastAsiaTheme="majorEastAsia" w:cs="Calibri"/>
            <w:sz w:val="20"/>
            <w:szCs w:val="20"/>
          </w:rPr>
          <w:t>https://tsanz.com.au/storage/documents/TSANZ_Clinical_Guidelines_Version-14.pdf</w:t>
        </w:r>
      </w:hyperlink>
    </w:p>
    <w:p w14:paraId="2DBA4C5C"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Australian ethical frameworks relating to general healthcare delivery</w:t>
      </w:r>
    </w:p>
    <w:p w14:paraId="5F103E49" w14:textId="77777777" w:rsidR="006C6EBA" w:rsidRPr="006720E4" w:rsidRDefault="006C6EBA" w:rsidP="00C3783C">
      <w:pPr>
        <w:pStyle w:val="NormalWeb"/>
        <w:numPr>
          <w:ilvl w:val="0"/>
          <w:numId w:val="46"/>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Australian Medical Association (AMA) Code of Ethics. 2016. </w:t>
      </w:r>
      <w:hyperlink r:id="rId145" w:history="1">
        <w:r w:rsidRPr="006720E4">
          <w:rPr>
            <w:rStyle w:val="Hyperlink"/>
            <w:rFonts w:eastAsiaTheme="majorEastAsia" w:cs="Calibri"/>
            <w:sz w:val="20"/>
            <w:szCs w:val="20"/>
          </w:rPr>
          <w:t>https://ama.com.au/sites/default/files/documents/AMA_Code_of_Ethics_2004._Editorially_Revised_2006._Revised_2016.pdf</w:t>
        </w:r>
      </w:hyperlink>
    </w:p>
    <w:p w14:paraId="0D3260B2" w14:textId="77777777" w:rsidR="006C6EBA" w:rsidRPr="006720E4" w:rsidRDefault="006C6EBA" w:rsidP="00C3783C">
      <w:pPr>
        <w:pStyle w:val="NormalWeb"/>
        <w:numPr>
          <w:ilvl w:val="0"/>
          <w:numId w:val="46"/>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Medical Board of Australia. Good Medical Practice: A Code of Conduct for Doctors in Australia. 2020. </w:t>
      </w:r>
      <w:hyperlink r:id="rId146" w:history="1">
        <w:r w:rsidRPr="006720E4">
          <w:rPr>
            <w:rStyle w:val="Hyperlink"/>
            <w:rFonts w:eastAsiaTheme="majorEastAsia" w:cs="Calibri"/>
            <w:sz w:val="20"/>
            <w:szCs w:val="20"/>
          </w:rPr>
          <w:t>https://www.ahpra.gov.au/documents/default.aspx?record=WD20%2f30051&amp;dbid=AP&amp;chksum=9BSTs75R4%2fcPJY7vrmzHPg%3d%3d</w:t>
        </w:r>
      </w:hyperlink>
    </w:p>
    <w:p w14:paraId="60B44EE6"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Global ethical frameworks and guidelines relating to donation and transplantation</w:t>
      </w:r>
    </w:p>
    <w:p w14:paraId="0043BD47" w14:textId="3EA26368" w:rsidR="006C6EBA" w:rsidRPr="006720E4" w:rsidRDefault="006C6EBA" w:rsidP="00C3783C">
      <w:pPr>
        <w:pStyle w:val="NormalWeb"/>
        <w:numPr>
          <w:ilvl w:val="0"/>
          <w:numId w:val="47"/>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Declaration of Istanbul on organ trafficking and transplant tourism. 2018. </w:t>
      </w:r>
      <w:hyperlink r:id="rId147" w:history="1">
        <w:r w:rsidRPr="006720E4">
          <w:rPr>
            <w:rStyle w:val="Hyperlink"/>
            <w:rFonts w:eastAsiaTheme="majorEastAsia" w:cs="Calibri"/>
            <w:sz w:val="20"/>
            <w:szCs w:val="20"/>
          </w:rPr>
          <w:t>https://journals.lww.com/transplantjournal/Fulltext/2019/02000/The_Declaration_of_Istanbul_on_Organ_Trafficking.3.aspx</w:t>
        </w:r>
      </w:hyperlink>
    </w:p>
    <w:p w14:paraId="41C0F99A" w14:textId="1AC8F097" w:rsidR="006C6EBA" w:rsidRPr="006720E4" w:rsidRDefault="006C6EBA" w:rsidP="00C3783C">
      <w:pPr>
        <w:pStyle w:val="NormalWeb"/>
        <w:numPr>
          <w:ilvl w:val="0"/>
          <w:numId w:val="47"/>
        </w:numPr>
        <w:spacing w:before="0" w:beforeAutospacing="0" w:after="120" w:afterAutospacing="0"/>
        <w:rPr>
          <w:rFonts w:cs="Calibri"/>
          <w:b/>
          <w:bCs/>
          <w:i/>
          <w:iCs/>
          <w:sz w:val="20"/>
          <w:szCs w:val="20"/>
        </w:rPr>
      </w:pPr>
      <w:r w:rsidRPr="006720E4">
        <w:rPr>
          <w:rFonts w:cs="Calibri"/>
          <w:color w:val="000000" w:themeColor="text1"/>
          <w:sz w:val="20"/>
          <w:szCs w:val="20"/>
        </w:rPr>
        <w:t xml:space="preserve">Global Alliance of Eye Bank Associations (GAEBA) </w:t>
      </w:r>
      <w:r w:rsidRPr="006720E4">
        <w:rPr>
          <w:rFonts w:cs="Calibri"/>
          <w:sz w:val="20"/>
          <w:szCs w:val="20"/>
        </w:rPr>
        <w:t xml:space="preserve">Barcelona Principles: An agreement on the use of human donated tissue for ocular transplantation, research and future technologies. 2018. </w:t>
      </w:r>
      <w:hyperlink r:id="rId148" w:history="1">
        <w:r w:rsidRPr="006720E4">
          <w:rPr>
            <w:rStyle w:val="Hyperlink"/>
            <w:rFonts w:eastAsiaTheme="majorEastAsia" w:cs="Calibri"/>
            <w:sz w:val="20"/>
            <w:szCs w:val="20"/>
          </w:rPr>
          <w:t>http://www.gaeba.org/wp-content/uploads/2018/05/GAEBA-2018-The-Barcelona-Principles-FINAL.pdf</w:t>
        </w:r>
      </w:hyperlink>
    </w:p>
    <w:p w14:paraId="23345440" w14:textId="29C29C4F" w:rsidR="006C6EBA" w:rsidRPr="006720E4" w:rsidRDefault="006C6EBA" w:rsidP="00C3783C">
      <w:pPr>
        <w:pStyle w:val="NormalWeb"/>
        <w:numPr>
          <w:ilvl w:val="0"/>
          <w:numId w:val="47"/>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World Health Organization (WHO) Guiding Principles on Human Cell, Tissue, and Organ Transplantation. 2010. </w:t>
      </w:r>
      <w:hyperlink r:id="rId149" w:history="1">
        <w:r w:rsidRPr="006720E4">
          <w:rPr>
            <w:rStyle w:val="Hyperlink"/>
            <w:rFonts w:eastAsiaTheme="majorEastAsia" w:cs="Calibri"/>
            <w:sz w:val="20"/>
            <w:szCs w:val="20"/>
          </w:rPr>
          <w:t>https://www.who.int/transplantation/Guiding_PrinciplesTransplantation_WHA63.22en.pdf</w:t>
        </w:r>
      </w:hyperlink>
    </w:p>
    <w:p w14:paraId="2990F22B" w14:textId="29F3592B" w:rsidR="006C6EBA" w:rsidRPr="006720E4" w:rsidRDefault="006C6EBA" w:rsidP="00C3783C">
      <w:pPr>
        <w:pStyle w:val="NormalWeb"/>
        <w:numPr>
          <w:ilvl w:val="0"/>
          <w:numId w:val="47"/>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World Medical Association (WMA) Statement on organ and tissue donation 2017. </w:t>
      </w:r>
      <w:hyperlink r:id="rId150" w:history="1">
        <w:r w:rsidRPr="006720E4">
          <w:rPr>
            <w:rStyle w:val="Hyperlink"/>
            <w:rFonts w:eastAsiaTheme="majorEastAsia" w:cs="Calibri"/>
            <w:sz w:val="20"/>
            <w:szCs w:val="20"/>
          </w:rPr>
          <w:t>https://www.wma.net/policies-post/wma-statement-on-organ-and-tissue-donation/</w:t>
        </w:r>
      </w:hyperlink>
    </w:p>
    <w:p w14:paraId="38A72A12" w14:textId="4BCF7A25" w:rsidR="006C6EBA" w:rsidRPr="006720E4" w:rsidRDefault="006C6EBA" w:rsidP="00C3783C">
      <w:pPr>
        <w:pStyle w:val="NormalWeb"/>
        <w:numPr>
          <w:ilvl w:val="0"/>
          <w:numId w:val="47"/>
        </w:numPr>
        <w:spacing w:before="0" w:beforeAutospacing="0" w:after="120" w:afterAutospacing="0"/>
        <w:rPr>
          <w:rFonts w:cs="Calibri"/>
          <w:b/>
          <w:bCs/>
          <w:i/>
          <w:iCs/>
          <w:sz w:val="20"/>
          <w:szCs w:val="20"/>
        </w:rPr>
      </w:pPr>
      <w:r w:rsidRPr="006720E4">
        <w:rPr>
          <w:rFonts w:cs="Calibri"/>
          <w:sz w:val="20"/>
          <w:szCs w:val="20"/>
        </w:rPr>
        <w:t xml:space="preserve">WMA Declaration of Sydney on the Determination of Death and the Recovery of Organs. 2016. </w:t>
      </w:r>
      <w:hyperlink r:id="rId151" w:history="1">
        <w:r w:rsidRPr="006720E4">
          <w:rPr>
            <w:rStyle w:val="Hyperlink"/>
            <w:rFonts w:eastAsiaTheme="majorEastAsia" w:cs="Calibri"/>
            <w:sz w:val="20"/>
            <w:szCs w:val="20"/>
          </w:rPr>
          <w:t>https://www.wma.net/policies-post/wma-declaration-of-sydney-on-the-determination-of-death-and-the-recovery-of-organs/</w:t>
        </w:r>
      </w:hyperlink>
      <w:r w:rsidRPr="006720E4">
        <w:rPr>
          <w:rFonts w:cs="Calibri"/>
          <w:sz w:val="20"/>
          <w:szCs w:val="20"/>
        </w:rPr>
        <w:t xml:space="preserve">  </w:t>
      </w:r>
    </w:p>
    <w:p w14:paraId="0005D533" w14:textId="718DC12B" w:rsidR="006C6EBA" w:rsidRPr="006720E4" w:rsidRDefault="006C6EBA" w:rsidP="00C3783C">
      <w:pPr>
        <w:pStyle w:val="ListParagraph"/>
        <w:numPr>
          <w:ilvl w:val="0"/>
          <w:numId w:val="47"/>
        </w:numPr>
        <w:spacing w:after="120"/>
        <w:contextualSpacing w:val="0"/>
        <w:rPr>
          <w:rFonts w:cs="Calibri"/>
          <w:sz w:val="20"/>
          <w:szCs w:val="20"/>
        </w:rPr>
      </w:pPr>
      <w:r w:rsidRPr="006720E4">
        <w:rPr>
          <w:rFonts w:cs="Calibri"/>
          <w:sz w:val="20"/>
          <w:szCs w:val="20"/>
        </w:rPr>
        <w:lastRenderedPageBreak/>
        <w:t xml:space="preserve">WMA Statement on Measures for the Prevention and Fight against Transplant-Related Crimes. 2020. </w:t>
      </w:r>
      <w:hyperlink r:id="rId152" w:history="1">
        <w:r w:rsidRPr="006720E4">
          <w:rPr>
            <w:rStyle w:val="Hyperlink"/>
            <w:rFonts w:eastAsiaTheme="majorEastAsia" w:cs="Calibri"/>
            <w:sz w:val="20"/>
            <w:szCs w:val="20"/>
          </w:rPr>
          <w:t>https://www.wma.net/policies-post/wma-statement-on-measures-for-the-prevention-and-fight-against-transplant-related-crimes/</w:t>
        </w:r>
      </w:hyperlink>
    </w:p>
    <w:p w14:paraId="7AD0C523" w14:textId="77777777" w:rsidR="006C6EBA" w:rsidRPr="006720E4" w:rsidRDefault="006C6EBA" w:rsidP="00C3783C">
      <w:pPr>
        <w:pStyle w:val="NormalWeb"/>
        <w:numPr>
          <w:ilvl w:val="0"/>
          <w:numId w:val="47"/>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World Marrow Donor Association. Collection of guidelines relating to haematopoietic stem cell donation and transplantation. </w:t>
      </w:r>
      <w:hyperlink r:id="rId153" w:history="1">
        <w:r w:rsidRPr="006720E4">
          <w:rPr>
            <w:rStyle w:val="Hyperlink"/>
            <w:rFonts w:eastAsiaTheme="majorEastAsia" w:cs="Calibri"/>
            <w:sz w:val="20"/>
            <w:szCs w:val="20"/>
          </w:rPr>
          <w:t>https://share.wmda.info/display/WMDAPD/WMDA+Scientific+Publications+and+Recommendations</w:t>
        </w:r>
      </w:hyperlink>
    </w:p>
    <w:p w14:paraId="3627D816"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Global ethical frameworks relating to general healthcare delivery</w:t>
      </w:r>
    </w:p>
    <w:p w14:paraId="31999BE2" w14:textId="77777777" w:rsidR="006C6EBA" w:rsidRPr="006720E4" w:rsidRDefault="006C6EBA" w:rsidP="00C3783C">
      <w:pPr>
        <w:pStyle w:val="NormalWeb"/>
        <w:numPr>
          <w:ilvl w:val="0"/>
          <w:numId w:val="48"/>
        </w:numPr>
        <w:spacing w:before="0" w:beforeAutospacing="0" w:after="120" w:afterAutospacing="0"/>
        <w:rPr>
          <w:rStyle w:val="Hyperlink"/>
          <w:rFonts w:eastAsiaTheme="majorEastAsia" w:cs="Calibri"/>
          <w:sz w:val="20"/>
          <w:szCs w:val="20"/>
        </w:rPr>
      </w:pPr>
      <w:r w:rsidRPr="006720E4">
        <w:rPr>
          <w:rFonts w:cs="Calibri"/>
          <w:sz w:val="20"/>
          <w:szCs w:val="20"/>
        </w:rPr>
        <w:t xml:space="preserve">International Council of Nurses (ICN) Code of Ethics. 2012. </w:t>
      </w:r>
      <w:hyperlink r:id="rId154" w:history="1">
        <w:r w:rsidRPr="006720E4">
          <w:rPr>
            <w:rStyle w:val="Hyperlink"/>
            <w:rFonts w:eastAsiaTheme="majorEastAsia" w:cs="Calibri"/>
            <w:sz w:val="20"/>
            <w:szCs w:val="20"/>
          </w:rPr>
          <w:t>https://www.icn.ch/sites/default/files/inline-files/2012_ICN_Codeofethicsfornurses_%20eng.pdf</w:t>
        </w:r>
      </w:hyperlink>
    </w:p>
    <w:p w14:paraId="6CFE0969" w14:textId="663885C1" w:rsidR="006C6EBA" w:rsidRPr="006720E4" w:rsidRDefault="006C6EBA" w:rsidP="00EA22AE">
      <w:pPr>
        <w:pStyle w:val="NormalWeb"/>
        <w:spacing w:before="0" w:beforeAutospacing="0" w:after="120" w:afterAutospacing="0"/>
        <w:rPr>
          <w:rFonts w:cs="Calibri"/>
          <w:b/>
          <w:bCs/>
          <w:i/>
          <w:iCs/>
          <w:color w:val="000000" w:themeColor="text1"/>
          <w:sz w:val="20"/>
          <w:szCs w:val="20"/>
        </w:rPr>
      </w:pPr>
      <w:r w:rsidRPr="006720E4">
        <w:rPr>
          <w:rFonts w:cs="Calibri"/>
          <w:b/>
          <w:bCs/>
          <w:i/>
          <w:iCs/>
          <w:color w:val="000000" w:themeColor="text1"/>
          <w:sz w:val="20"/>
          <w:szCs w:val="20"/>
        </w:rPr>
        <w:t>Cultural safety</w:t>
      </w:r>
    </w:p>
    <w:p w14:paraId="68BBF8F4" w14:textId="77777777" w:rsidR="006C6EBA" w:rsidRPr="006720E4" w:rsidRDefault="006C6EBA" w:rsidP="00C3783C">
      <w:pPr>
        <w:pStyle w:val="ListParagraph"/>
        <w:numPr>
          <w:ilvl w:val="0"/>
          <w:numId w:val="48"/>
        </w:numPr>
        <w:spacing w:after="120"/>
        <w:contextualSpacing w:val="0"/>
        <w:rPr>
          <w:rFonts w:cs="Calibri"/>
          <w:sz w:val="20"/>
          <w:szCs w:val="20"/>
        </w:rPr>
      </w:pPr>
      <w:r w:rsidRPr="006720E4">
        <w:rPr>
          <w:rFonts w:cs="Calibri"/>
          <w:sz w:val="20"/>
          <w:szCs w:val="20"/>
        </w:rPr>
        <w:t>Australian Health Ministers’ Advisory Council’s National Aboriginal and Torres Strait Islander Health Standing Committee. 2016. Cultural respect framework 2016–2026 for Aboriginal and Torres Strait Islander health: A national approach to building a culturally respectful health system. Canberra: Australian Health Ministers’ Advisory Council. Available at:</w:t>
      </w:r>
      <w:r w:rsidRPr="006720E4">
        <w:rPr>
          <w:rFonts w:cs="Calibri"/>
          <w:color w:val="000000" w:themeColor="text1"/>
          <w:sz w:val="20"/>
          <w:szCs w:val="20"/>
        </w:rPr>
        <w:t xml:space="preserve"> </w:t>
      </w:r>
      <w:hyperlink r:id="rId155" w:history="1">
        <w:r w:rsidRPr="006720E4">
          <w:rPr>
            <w:rStyle w:val="Hyperlink"/>
            <w:rFonts w:cs="Calibri"/>
            <w:sz w:val="20"/>
            <w:szCs w:val="20"/>
          </w:rPr>
          <w:t>https://nacchocommunique.files.wordpress.com/2016/12/cultural_respect_framework_1december2016_1.pdf</w:t>
        </w:r>
      </w:hyperlink>
      <w:r w:rsidRPr="006720E4">
        <w:rPr>
          <w:rFonts w:cs="Calibri"/>
          <w:color w:val="000000" w:themeColor="text1"/>
          <w:sz w:val="20"/>
          <w:szCs w:val="20"/>
        </w:rPr>
        <w:t xml:space="preserve"> </w:t>
      </w:r>
    </w:p>
    <w:p w14:paraId="0E4A9391" w14:textId="77777777" w:rsidR="006C6EBA" w:rsidRPr="006720E4" w:rsidRDefault="006C6EBA" w:rsidP="00EA22AE">
      <w:pPr>
        <w:pStyle w:val="NormalWeb"/>
        <w:tabs>
          <w:tab w:val="left" w:pos="5851"/>
        </w:tabs>
        <w:spacing w:before="0" w:beforeAutospacing="0" w:after="120" w:afterAutospacing="0"/>
        <w:rPr>
          <w:rFonts w:cs="Calibri"/>
          <w:b/>
          <w:bCs/>
          <w:i/>
          <w:iCs/>
          <w:color w:val="000000" w:themeColor="text1"/>
          <w:sz w:val="20"/>
          <w:szCs w:val="20"/>
        </w:rPr>
      </w:pPr>
      <w:r w:rsidRPr="006720E4">
        <w:rPr>
          <w:rFonts w:cs="Calibri"/>
          <w:b/>
          <w:bCs/>
          <w:i/>
          <w:iCs/>
          <w:color w:val="000000" w:themeColor="text1"/>
          <w:sz w:val="20"/>
          <w:szCs w:val="20"/>
        </w:rPr>
        <w:t>Faith based resources on donation and transplantation</w:t>
      </w:r>
      <w:r w:rsidRPr="006720E4">
        <w:rPr>
          <w:rFonts w:cs="Calibri"/>
          <w:b/>
          <w:bCs/>
          <w:i/>
          <w:iCs/>
          <w:color w:val="000000" w:themeColor="text1"/>
          <w:sz w:val="20"/>
          <w:szCs w:val="20"/>
        </w:rPr>
        <w:tab/>
      </w:r>
    </w:p>
    <w:p w14:paraId="5E0BDCDE" w14:textId="77777777" w:rsidR="006C6EBA" w:rsidRPr="006720E4" w:rsidRDefault="006C6EBA" w:rsidP="00C3783C">
      <w:pPr>
        <w:pStyle w:val="NormalWeb"/>
        <w:numPr>
          <w:ilvl w:val="0"/>
          <w:numId w:val="48"/>
        </w:numPr>
        <w:spacing w:before="0" w:beforeAutospacing="0" w:after="120" w:afterAutospacing="0"/>
        <w:rPr>
          <w:rFonts w:cs="Calibri"/>
          <w:color w:val="000000" w:themeColor="text1"/>
          <w:sz w:val="20"/>
          <w:szCs w:val="20"/>
        </w:rPr>
      </w:pPr>
      <w:r w:rsidRPr="006720E4">
        <w:rPr>
          <w:rFonts w:cs="Calibri"/>
          <w:color w:val="000000" w:themeColor="text1"/>
          <w:sz w:val="20"/>
          <w:szCs w:val="20"/>
        </w:rPr>
        <w:t xml:space="preserve">DonateLife. 2021. Position statements on organ and tissue donation. Available at: </w:t>
      </w:r>
      <w:hyperlink r:id="rId156" w:history="1">
        <w:r w:rsidRPr="006720E4">
          <w:rPr>
            <w:rStyle w:val="Hyperlink"/>
            <w:rFonts w:cs="Calibri"/>
            <w:sz w:val="20"/>
            <w:szCs w:val="20"/>
          </w:rPr>
          <w:t>https://www.donatelife.gov.au/resources/multicultural-and-faith-communities/position-statements</w:t>
        </w:r>
      </w:hyperlink>
      <w:r w:rsidRPr="006720E4">
        <w:rPr>
          <w:rFonts w:cs="Calibri"/>
          <w:color w:val="000000" w:themeColor="text1"/>
          <w:sz w:val="20"/>
          <w:szCs w:val="20"/>
        </w:rPr>
        <w:t xml:space="preserve"> </w:t>
      </w:r>
    </w:p>
    <w:p w14:paraId="08251D86" w14:textId="21703620" w:rsidR="006C6EBA" w:rsidRPr="006720E4" w:rsidRDefault="006C6EBA" w:rsidP="00EA22AE">
      <w:pPr>
        <w:pStyle w:val="NormalWeb"/>
        <w:spacing w:before="0" w:beforeAutospacing="0" w:after="120" w:afterAutospacing="0"/>
        <w:rPr>
          <w:rFonts w:cs="Calibri"/>
          <w:b/>
          <w:bCs/>
          <w:i/>
          <w:iCs/>
          <w:color w:val="000000" w:themeColor="text1"/>
          <w:sz w:val="20"/>
          <w:szCs w:val="20"/>
        </w:rPr>
      </w:pPr>
      <w:r w:rsidRPr="006720E4">
        <w:rPr>
          <w:rFonts w:cs="Calibri"/>
          <w:b/>
          <w:bCs/>
          <w:i/>
          <w:iCs/>
          <w:color w:val="000000" w:themeColor="text1"/>
          <w:sz w:val="20"/>
          <w:szCs w:val="20"/>
        </w:rPr>
        <w:t>Conscientious objection and conflicts of interest</w:t>
      </w:r>
    </w:p>
    <w:p w14:paraId="12EA4E3C" w14:textId="68D92A83" w:rsidR="006C6EBA" w:rsidRPr="006720E4" w:rsidRDefault="006C6EBA" w:rsidP="00C3783C">
      <w:pPr>
        <w:pStyle w:val="NormalWeb"/>
        <w:numPr>
          <w:ilvl w:val="0"/>
          <w:numId w:val="48"/>
        </w:numPr>
        <w:spacing w:before="0" w:beforeAutospacing="0" w:after="120" w:afterAutospacing="0"/>
        <w:rPr>
          <w:rFonts w:cs="Calibri"/>
          <w:b/>
          <w:bCs/>
          <w:i/>
          <w:iCs/>
          <w:color w:val="000000" w:themeColor="text1"/>
          <w:sz w:val="20"/>
          <w:szCs w:val="20"/>
        </w:rPr>
      </w:pPr>
      <w:r w:rsidRPr="006720E4">
        <w:rPr>
          <w:rFonts w:cs="Calibri"/>
          <w:color w:val="000000" w:themeColor="text1"/>
          <w:sz w:val="20"/>
          <w:szCs w:val="20"/>
        </w:rPr>
        <w:t xml:space="preserve">AMA. 2019. Position statement on conscientious objection. </w:t>
      </w:r>
      <w:hyperlink r:id="rId157" w:history="1">
        <w:r w:rsidRPr="006720E4">
          <w:rPr>
            <w:rStyle w:val="Hyperlink"/>
            <w:rFonts w:cs="Calibri"/>
            <w:sz w:val="20"/>
            <w:szCs w:val="20"/>
          </w:rPr>
          <w:t>https://ama.com.au/position-statement/conscientious-objection-2019</w:t>
        </w:r>
      </w:hyperlink>
      <w:r w:rsidRPr="006720E4">
        <w:rPr>
          <w:rFonts w:cs="Calibri"/>
          <w:sz w:val="20"/>
          <w:szCs w:val="20"/>
        </w:rPr>
        <w:t xml:space="preserve"> </w:t>
      </w:r>
    </w:p>
    <w:p w14:paraId="41C8223F" w14:textId="77777777" w:rsidR="006C6EBA" w:rsidRPr="006720E4" w:rsidRDefault="006C6EBA" w:rsidP="00C3783C">
      <w:pPr>
        <w:pStyle w:val="ListParagraph"/>
        <w:numPr>
          <w:ilvl w:val="0"/>
          <w:numId w:val="48"/>
        </w:numPr>
        <w:spacing w:after="120"/>
        <w:contextualSpacing w:val="0"/>
        <w:rPr>
          <w:rFonts w:cs="Calibri"/>
          <w:sz w:val="20"/>
          <w:szCs w:val="20"/>
        </w:rPr>
      </w:pPr>
      <w:r w:rsidRPr="006720E4">
        <w:rPr>
          <w:rFonts w:cs="Calibri"/>
          <w:sz w:val="20"/>
          <w:szCs w:val="20"/>
        </w:rPr>
        <w:t xml:space="preserve">AMA. 2018. Guidelines for Doctors on Managing Conflicts of Interest in Medicine. </w:t>
      </w:r>
      <w:hyperlink r:id="rId158" w:history="1">
        <w:r w:rsidRPr="006720E4">
          <w:rPr>
            <w:rStyle w:val="Hyperlink"/>
            <w:rFonts w:eastAsiaTheme="majorEastAsia" w:cs="Calibri"/>
            <w:sz w:val="20"/>
            <w:szCs w:val="20"/>
          </w:rPr>
          <w:t>https://ama.com.au/position-statement/guidelines-doctors-managing-conflicts-interest-medicine-2018</w:t>
        </w:r>
      </w:hyperlink>
    </w:p>
    <w:p w14:paraId="35D6AB8C" w14:textId="77777777" w:rsidR="006C6EBA" w:rsidRPr="006720E4" w:rsidRDefault="006C6EBA" w:rsidP="00C3783C">
      <w:pPr>
        <w:pStyle w:val="NormalWeb"/>
        <w:numPr>
          <w:ilvl w:val="0"/>
          <w:numId w:val="48"/>
        </w:numPr>
        <w:spacing w:before="0" w:beforeAutospacing="0" w:after="120" w:afterAutospacing="0"/>
        <w:rPr>
          <w:rFonts w:cs="Calibri"/>
          <w:b/>
          <w:bCs/>
          <w:i/>
          <w:iCs/>
          <w:color w:val="000000" w:themeColor="text1"/>
          <w:sz w:val="20"/>
          <w:szCs w:val="20"/>
        </w:rPr>
      </w:pPr>
      <w:r w:rsidRPr="006720E4">
        <w:rPr>
          <w:rFonts w:cs="Calibri"/>
          <w:sz w:val="20"/>
          <w:szCs w:val="21"/>
        </w:rPr>
        <w:t>Shaw D, Gardiner D, Lewis P, Jansen N, Wind T, Samuel U, Georgieva D, Ploeg R, Broderick A. Conscientious objection to deceased organ donation by healthcare professionals. Journal of the Intensive Care Society. 2018 Feb;19(1):43-7.</w:t>
      </w:r>
    </w:p>
    <w:p w14:paraId="077FD97A" w14:textId="77777777" w:rsidR="006C6EBA" w:rsidRPr="006720E4" w:rsidRDefault="006C6EBA" w:rsidP="00EA22AE">
      <w:pPr>
        <w:pStyle w:val="NormalWeb"/>
        <w:spacing w:before="0" w:beforeAutospacing="0" w:after="120" w:afterAutospacing="0"/>
        <w:rPr>
          <w:rFonts w:cs="Calibri"/>
          <w:b/>
          <w:bCs/>
          <w:i/>
          <w:iCs/>
          <w:color w:val="000000" w:themeColor="text1"/>
          <w:sz w:val="20"/>
          <w:szCs w:val="20"/>
        </w:rPr>
      </w:pPr>
      <w:r w:rsidRPr="006720E4">
        <w:rPr>
          <w:rFonts w:cs="Calibri"/>
          <w:b/>
          <w:bCs/>
          <w:i/>
          <w:iCs/>
          <w:color w:val="000000" w:themeColor="text1"/>
          <w:sz w:val="20"/>
          <w:szCs w:val="20"/>
        </w:rPr>
        <w:t>Ethical conflict resolution</w:t>
      </w:r>
    </w:p>
    <w:p w14:paraId="4EC6D8F6" w14:textId="77777777" w:rsidR="006C6EBA" w:rsidRPr="006720E4" w:rsidRDefault="006C6EBA" w:rsidP="00C3783C">
      <w:pPr>
        <w:pStyle w:val="ListParagraph"/>
        <w:numPr>
          <w:ilvl w:val="0"/>
          <w:numId w:val="50"/>
        </w:numPr>
        <w:spacing w:after="120"/>
        <w:contextualSpacing w:val="0"/>
        <w:rPr>
          <w:rFonts w:cs="Calibri"/>
          <w:sz w:val="20"/>
          <w:szCs w:val="21"/>
        </w:rPr>
      </w:pPr>
      <w:r w:rsidRPr="006720E4">
        <w:rPr>
          <w:rFonts w:cs="Calibri"/>
          <w:sz w:val="20"/>
          <w:szCs w:val="21"/>
        </w:rPr>
        <w:t>Bergman EJ. Identifying Sources of Clinical Conflict: A Tool for Practice and Training in Bioethics Mediation. J Clin Ethics. 2015 Jan 1;26(4):315-23.</w:t>
      </w:r>
    </w:p>
    <w:p w14:paraId="3D7E45AF" w14:textId="77777777" w:rsidR="006C6EBA" w:rsidRPr="006720E4" w:rsidRDefault="006C6EBA" w:rsidP="00C3783C">
      <w:pPr>
        <w:pStyle w:val="ListParagraph"/>
        <w:numPr>
          <w:ilvl w:val="0"/>
          <w:numId w:val="50"/>
        </w:numPr>
        <w:spacing w:after="120"/>
        <w:contextualSpacing w:val="0"/>
        <w:rPr>
          <w:rFonts w:cs="Calibri"/>
          <w:sz w:val="20"/>
          <w:szCs w:val="21"/>
        </w:rPr>
      </w:pPr>
      <w:r w:rsidRPr="006720E4">
        <w:rPr>
          <w:rFonts w:cs="Calibri"/>
          <w:sz w:val="20"/>
          <w:szCs w:val="21"/>
        </w:rPr>
        <w:t>Fiester A. Contentious conversations: using mediation techniques in difficult clinical ethics consultations. J Clin Ethics. 2015 Jan 1;26(4):324-30.</w:t>
      </w:r>
    </w:p>
    <w:p w14:paraId="30442F21" w14:textId="77777777" w:rsidR="006C6EBA" w:rsidRPr="006720E4" w:rsidRDefault="006C6EBA" w:rsidP="00EA22AE">
      <w:pPr>
        <w:pStyle w:val="NormalWeb"/>
        <w:spacing w:before="0" w:beforeAutospacing="0" w:after="120" w:afterAutospacing="0"/>
        <w:rPr>
          <w:rStyle w:val="Hyperlink"/>
          <w:rFonts w:eastAsiaTheme="majorEastAsia" w:cs="Calibri"/>
          <w:sz w:val="20"/>
          <w:szCs w:val="20"/>
        </w:rPr>
      </w:pPr>
      <w:r w:rsidRPr="006720E4">
        <w:rPr>
          <w:rFonts w:cs="Calibri"/>
          <w:b/>
          <w:bCs/>
          <w:i/>
          <w:iCs/>
          <w:color w:val="000000" w:themeColor="text1"/>
          <w:sz w:val="20"/>
          <w:szCs w:val="20"/>
        </w:rPr>
        <w:t>Legal resources</w:t>
      </w:r>
    </w:p>
    <w:p w14:paraId="42D0D5B0" w14:textId="6E40C8F7" w:rsidR="006C6EBA" w:rsidRPr="006720E4" w:rsidRDefault="006C6EBA" w:rsidP="00C3783C">
      <w:pPr>
        <w:pStyle w:val="NormalWeb"/>
        <w:numPr>
          <w:ilvl w:val="0"/>
          <w:numId w:val="48"/>
        </w:numPr>
        <w:spacing w:before="0" w:beforeAutospacing="0" w:after="120" w:afterAutospacing="0"/>
        <w:rPr>
          <w:rStyle w:val="Hyperlink"/>
          <w:rFonts w:cs="Calibri"/>
          <w:b/>
          <w:bCs/>
          <w:i/>
          <w:iCs/>
          <w:color w:val="auto"/>
          <w:sz w:val="20"/>
          <w:szCs w:val="20"/>
          <w:u w:val="none"/>
        </w:rPr>
      </w:pPr>
      <w:r w:rsidRPr="006720E4">
        <w:rPr>
          <w:rFonts w:cs="Calibri"/>
          <w:sz w:val="20"/>
          <w:szCs w:val="20"/>
        </w:rPr>
        <w:t xml:space="preserve">More information on the law regarding deceased donation is also available via this link: </w:t>
      </w:r>
      <w:hyperlink r:id="rId159" w:history="1">
        <w:r w:rsidRPr="006720E4">
          <w:rPr>
            <w:rStyle w:val="Hyperlink"/>
            <w:rFonts w:eastAsiaTheme="majorEastAsia" w:cs="Calibri"/>
            <w:sz w:val="20"/>
            <w:szCs w:val="20"/>
          </w:rPr>
          <w:t>QUT - Organ Donation</w:t>
        </w:r>
      </w:hyperlink>
    </w:p>
    <w:p w14:paraId="60A28C77"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General resources and further reading</w:t>
      </w:r>
    </w:p>
    <w:p w14:paraId="56F38EAA" w14:textId="466AA2B7" w:rsidR="006C6EBA" w:rsidRPr="006720E4" w:rsidRDefault="006C6EBA" w:rsidP="00C3783C">
      <w:pPr>
        <w:pStyle w:val="ListParagraph"/>
        <w:numPr>
          <w:ilvl w:val="0"/>
          <w:numId w:val="48"/>
        </w:numPr>
        <w:spacing w:after="120"/>
        <w:contextualSpacing w:val="0"/>
        <w:rPr>
          <w:rFonts w:cs="Calibri"/>
          <w:sz w:val="20"/>
          <w:szCs w:val="20"/>
        </w:rPr>
      </w:pPr>
      <w:r w:rsidRPr="006720E4">
        <w:rPr>
          <w:rFonts w:cs="Calibri"/>
          <w:sz w:val="20"/>
          <w:szCs w:val="20"/>
        </w:rPr>
        <w:t>Hays RE, LaPointe Rudow D, Dew MA, Taler SJ, Spicer H, Mandelbrot DA. The independent living donor advocate: a guidance document from the American Society of Transplantation's Living Donor Community of Practice (AST LDCOP). American Journal of Transplantation. 2015 Feb;15(2):518-25.</w:t>
      </w:r>
    </w:p>
    <w:p w14:paraId="58B4FD01" w14:textId="77777777" w:rsidR="006C6EBA" w:rsidRPr="006720E4" w:rsidRDefault="006C6EBA" w:rsidP="00C3783C">
      <w:pPr>
        <w:pStyle w:val="ListParagraph"/>
        <w:numPr>
          <w:ilvl w:val="0"/>
          <w:numId w:val="48"/>
        </w:numPr>
        <w:spacing w:after="120"/>
        <w:contextualSpacing w:val="0"/>
        <w:rPr>
          <w:rFonts w:cs="Calibri"/>
          <w:sz w:val="20"/>
          <w:szCs w:val="20"/>
        </w:rPr>
      </w:pPr>
      <w:r w:rsidRPr="006720E4">
        <w:rPr>
          <w:rFonts w:cs="Calibri"/>
          <w:sz w:val="20"/>
          <w:szCs w:val="20"/>
        </w:rPr>
        <w:t xml:space="preserve">Japanese Society of Tissue Transplantation. Guideline on Ethical Issues in Application of Human Tissue to Medical Practice Available at: </w:t>
      </w:r>
      <w:hyperlink r:id="rId160" w:history="1">
        <w:r w:rsidRPr="006720E4">
          <w:rPr>
            <w:rStyle w:val="Hyperlink"/>
            <w:rFonts w:eastAsiaTheme="majorEastAsia" w:cs="Calibri"/>
            <w:sz w:val="20"/>
            <w:szCs w:val="20"/>
          </w:rPr>
          <w:t>http://www.jstt.org/htm/guideline/Ethical.pdf</w:t>
        </w:r>
      </w:hyperlink>
    </w:p>
    <w:p w14:paraId="01BED6D0" w14:textId="77777777" w:rsidR="00A83E9D" w:rsidRDefault="00A83E9D">
      <w:pPr>
        <w:rPr>
          <w:rFonts w:ascii="Calibri" w:eastAsiaTheme="majorEastAsia" w:hAnsi="Calibri" w:cs="Calibri"/>
          <w:b/>
          <w:color w:val="2F5496" w:themeColor="accent1" w:themeShade="BF"/>
          <w:sz w:val="26"/>
          <w:szCs w:val="26"/>
        </w:rPr>
      </w:pPr>
      <w:bookmarkStart w:id="5735" w:name="_Toc79406558"/>
      <w:bookmarkStart w:id="5736" w:name="_Toc82623539"/>
      <w:bookmarkStart w:id="5737" w:name="_Toc82773796"/>
      <w:bookmarkStart w:id="5738" w:name="_Toc82774148"/>
      <w:bookmarkStart w:id="5739" w:name="_Toc128314264"/>
      <w:bookmarkStart w:id="5740" w:name="Ch3Resources"/>
      <w:r>
        <w:br w:type="page"/>
      </w:r>
    </w:p>
    <w:p w14:paraId="325AE2C2" w14:textId="0773D4FE" w:rsidR="006C6EBA" w:rsidRPr="006720E4" w:rsidRDefault="006C6EBA" w:rsidP="00EA22AE">
      <w:pPr>
        <w:pStyle w:val="Appendix3"/>
        <w:numPr>
          <w:ilvl w:val="0"/>
          <w:numId w:val="0"/>
        </w:numPr>
        <w:spacing w:after="120"/>
        <w:ind w:left="360"/>
      </w:pPr>
      <w:bookmarkStart w:id="5741" w:name="_Toc135131505"/>
      <w:r w:rsidRPr="006720E4">
        <w:lastRenderedPageBreak/>
        <w:t xml:space="preserve">Chapter </w:t>
      </w:r>
      <w:r w:rsidR="00A83E9D">
        <w:t>4</w:t>
      </w:r>
      <w:r w:rsidRPr="006720E4">
        <w:t xml:space="preserve"> Resources</w:t>
      </w:r>
      <w:bookmarkEnd w:id="5735"/>
      <w:bookmarkEnd w:id="5736"/>
      <w:bookmarkEnd w:id="5737"/>
      <w:bookmarkEnd w:id="5738"/>
      <w:bookmarkEnd w:id="5739"/>
      <w:bookmarkEnd w:id="5741"/>
    </w:p>
    <w:bookmarkEnd w:id="5740"/>
    <w:p w14:paraId="63BA0CAF"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 xml:space="preserve">Supporting decision-making </w:t>
      </w:r>
    </w:p>
    <w:p w14:paraId="7385781A" w14:textId="77777777" w:rsidR="006C6EBA" w:rsidRPr="006720E4" w:rsidRDefault="006C6EBA" w:rsidP="00C3783C">
      <w:pPr>
        <w:pStyle w:val="NormalWeb"/>
        <w:numPr>
          <w:ilvl w:val="0"/>
          <w:numId w:val="71"/>
        </w:numPr>
        <w:spacing w:before="0" w:beforeAutospacing="0" w:after="120" w:afterAutospacing="0"/>
        <w:rPr>
          <w:rStyle w:val="Hyperlink"/>
          <w:rFonts w:eastAsiaTheme="majorEastAsia" w:cs="Calibri"/>
          <w:sz w:val="20"/>
          <w:szCs w:val="20"/>
        </w:rPr>
      </w:pPr>
      <w:r w:rsidRPr="006720E4">
        <w:rPr>
          <w:rFonts w:cs="Calibri"/>
          <w:sz w:val="20"/>
          <w:szCs w:val="20"/>
        </w:rPr>
        <w:t xml:space="preserve">ANZICS. The Statement on Death and Organ Donation. 2020. </w:t>
      </w:r>
      <w:hyperlink r:id="rId161" w:history="1">
        <w:r w:rsidRPr="006720E4">
          <w:rPr>
            <w:rStyle w:val="Hyperlink"/>
            <w:rFonts w:eastAsiaTheme="majorEastAsia" w:cs="Calibri"/>
            <w:sz w:val="20"/>
            <w:szCs w:val="20"/>
          </w:rPr>
          <w:t>https://www.anzics.com.au/wp-content/uploads/2020/07/ANZICS-Statement-on-Death-and-Organ-Donation-Edition-4.pdf</w:t>
        </w:r>
      </w:hyperlink>
    </w:p>
    <w:p w14:paraId="625D782D" w14:textId="77777777" w:rsidR="006C6EBA" w:rsidRPr="006720E4" w:rsidRDefault="006C6EBA" w:rsidP="00C3783C">
      <w:pPr>
        <w:pStyle w:val="NormalWeb"/>
        <w:numPr>
          <w:ilvl w:val="0"/>
          <w:numId w:val="71"/>
        </w:numPr>
        <w:spacing w:before="0" w:beforeAutospacing="0" w:after="120" w:afterAutospacing="0"/>
        <w:rPr>
          <w:rStyle w:val="Hyperlink"/>
          <w:rFonts w:eastAsiaTheme="majorEastAsia" w:cs="Calibri"/>
          <w:sz w:val="20"/>
          <w:szCs w:val="20"/>
        </w:rPr>
      </w:pPr>
      <w:r w:rsidRPr="006720E4">
        <w:rPr>
          <w:rFonts w:cs="Calibri"/>
          <w:sz w:val="20"/>
          <w:szCs w:val="20"/>
        </w:rPr>
        <w:t xml:space="preserve">Australian Commission on Safety and Quality in Health Care. 2019. Shared decision making. Available at: </w:t>
      </w:r>
      <w:hyperlink r:id="rId162" w:history="1">
        <w:r w:rsidRPr="006720E4">
          <w:rPr>
            <w:rStyle w:val="Hyperlink"/>
            <w:rFonts w:eastAsiaTheme="majorEastAsia" w:cs="Calibri"/>
            <w:sz w:val="20"/>
            <w:szCs w:val="20"/>
          </w:rPr>
          <w:t>https://www.safetyandquality.gov.au/our-work/partnering-consumers/shared-decision-making</w:t>
        </w:r>
      </w:hyperlink>
    </w:p>
    <w:p w14:paraId="36D84491" w14:textId="77777777" w:rsidR="006C6EBA" w:rsidRPr="006720E4" w:rsidRDefault="006C6EBA" w:rsidP="00C3783C">
      <w:pPr>
        <w:pStyle w:val="NormalWeb"/>
        <w:numPr>
          <w:ilvl w:val="0"/>
          <w:numId w:val="71"/>
        </w:numPr>
        <w:spacing w:before="0" w:beforeAutospacing="0" w:after="120" w:afterAutospacing="0"/>
        <w:rPr>
          <w:rFonts w:cs="Calibri"/>
          <w:sz w:val="20"/>
          <w:szCs w:val="20"/>
        </w:rPr>
      </w:pPr>
      <w:r w:rsidRPr="006720E4">
        <w:rPr>
          <w:rFonts w:cs="Calibri"/>
          <w:sz w:val="20"/>
          <w:szCs w:val="20"/>
        </w:rPr>
        <w:t xml:space="preserve">Australian Commission on Safety and Quality in Health Care. 2017. User guide for Aboriginal and Torres Strait Islander Health. </w:t>
      </w:r>
      <w:hyperlink r:id="rId163" w:history="1">
        <w:r w:rsidRPr="006720E4">
          <w:rPr>
            <w:rStyle w:val="Hyperlink"/>
            <w:rFonts w:cs="Calibri"/>
            <w:sz w:val="20"/>
            <w:szCs w:val="20"/>
          </w:rPr>
          <w:t>https://www.safetyandquality.gov.au/sites/default/files/migrated/National-Safety-and-Quality-Health-Service-Standards-User-Guide-for-Aboriginal-and-Torres-Strait-Islander-Health.pdf</w:t>
        </w:r>
      </w:hyperlink>
      <w:r w:rsidRPr="006720E4">
        <w:rPr>
          <w:rFonts w:cs="Calibri"/>
          <w:sz w:val="20"/>
          <w:szCs w:val="20"/>
        </w:rPr>
        <w:t xml:space="preserve"> </w:t>
      </w:r>
    </w:p>
    <w:p w14:paraId="21CB4FEF" w14:textId="03F13168" w:rsidR="006C6EBA" w:rsidRPr="006720E4" w:rsidRDefault="006C6EBA" w:rsidP="00C3783C">
      <w:pPr>
        <w:pStyle w:val="ListParagraph"/>
        <w:numPr>
          <w:ilvl w:val="0"/>
          <w:numId w:val="71"/>
        </w:numPr>
        <w:spacing w:after="120"/>
        <w:contextualSpacing w:val="0"/>
        <w:rPr>
          <w:rFonts w:cs="Calibri"/>
          <w:sz w:val="20"/>
          <w:szCs w:val="20"/>
        </w:rPr>
      </w:pPr>
      <w:r w:rsidRPr="006720E4">
        <w:rPr>
          <w:rFonts w:cs="Calibri"/>
          <w:sz w:val="20"/>
          <w:szCs w:val="20"/>
        </w:rPr>
        <w:t xml:space="preserve">Donate Life. Position statement on the legal framework for consent to donation. </w:t>
      </w:r>
      <w:hyperlink r:id="rId164" w:history="1">
        <w:r w:rsidRPr="006720E4">
          <w:rPr>
            <w:rStyle w:val="Hyperlink"/>
            <w:rFonts w:cs="Calibri"/>
            <w:sz w:val="20"/>
            <w:szCs w:val="20"/>
          </w:rPr>
          <w:t>https://donatelife.gov.au/about-us/who-we-are/national-program/position-statement-legal-framework-consent-donation</w:t>
        </w:r>
      </w:hyperlink>
      <w:r w:rsidRPr="006720E4">
        <w:rPr>
          <w:rFonts w:cs="Calibri"/>
          <w:sz w:val="20"/>
          <w:szCs w:val="20"/>
        </w:rPr>
        <w:t xml:space="preserve"> </w:t>
      </w:r>
    </w:p>
    <w:p w14:paraId="0FC654D3" w14:textId="77777777" w:rsidR="006C6EBA" w:rsidRPr="006720E4" w:rsidRDefault="006C6EBA" w:rsidP="00EA22AE">
      <w:pPr>
        <w:spacing w:after="120"/>
        <w:rPr>
          <w:rFonts w:ascii="Calibri" w:hAnsi="Calibri" w:cs="Calibri"/>
          <w:b/>
          <w:bCs/>
          <w:i/>
          <w:iCs/>
          <w:sz w:val="20"/>
          <w:szCs w:val="20"/>
        </w:rPr>
      </w:pPr>
      <w:r w:rsidRPr="006720E4">
        <w:rPr>
          <w:rFonts w:ascii="Calibri" w:hAnsi="Calibri" w:cs="Calibri"/>
          <w:b/>
          <w:bCs/>
          <w:i/>
          <w:iCs/>
          <w:sz w:val="20"/>
          <w:szCs w:val="20"/>
        </w:rPr>
        <w:t>Organ donation by prisoners</w:t>
      </w:r>
    </w:p>
    <w:p w14:paraId="46B0E3B1" w14:textId="77777777" w:rsidR="006C6EBA" w:rsidRPr="006720E4" w:rsidRDefault="006C6EBA" w:rsidP="00C3783C">
      <w:pPr>
        <w:pStyle w:val="ListParagraph"/>
        <w:numPr>
          <w:ilvl w:val="0"/>
          <w:numId w:val="72"/>
        </w:numPr>
        <w:spacing w:after="120"/>
        <w:contextualSpacing w:val="0"/>
        <w:rPr>
          <w:rFonts w:cs="Calibri"/>
          <w:sz w:val="20"/>
          <w:szCs w:val="20"/>
        </w:rPr>
      </w:pPr>
      <w:r w:rsidRPr="006720E4">
        <w:rPr>
          <w:rFonts w:cs="Calibri"/>
          <w:sz w:val="20"/>
          <w:szCs w:val="20"/>
        </w:rPr>
        <w:t xml:space="preserve">British Transplant Society. 2016. Statement on living organ donation by prisoners. Available at: </w:t>
      </w:r>
      <w:hyperlink r:id="rId165" w:history="1">
        <w:r w:rsidRPr="006720E4">
          <w:rPr>
            <w:rStyle w:val="Hyperlink"/>
            <w:rFonts w:cs="Calibri"/>
            <w:sz w:val="20"/>
            <w:szCs w:val="20"/>
          </w:rPr>
          <w:t>https://bts.org.uk/wp-content/uploads/2016/09/04_BTS_Donation_Prisoners-1.pdf</w:t>
        </w:r>
      </w:hyperlink>
    </w:p>
    <w:p w14:paraId="0B1BCA41" w14:textId="77777777" w:rsidR="006C6EBA" w:rsidRPr="006720E4" w:rsidRDefault="006C6EBA" w:rsidP="00EA22AE">
      <w:pPr>
        <w:spacing w:after="120"/>
        <w:rPr>
          <w:rFonts w:ascii="Calibri" w:hAnsi="Calibri" w:cs="Calibri"/>
          <w:sz w:val="20"/>
          <w:szCs w:val="20"/>
        </w:rPr>
      </w:pPr>
    </w:p>
    <w:p w14:paraId="442AE7FE" w14:textId="77777777" w:rsidR="006C6EBA" w:rsidRPr="006720E4" w:rsidRDefault="006C6EBA" w:rsidP="00EA22AE">
      <w:pPr>
        <w:spacing w:after="120"/>
        <w:rPr>
          <w:rFonts w:ascii="Calibri" w:hAnsi="Calibri" w:cs="Calibri"/>
          <w:b/>
          <w:bCs/>
          <w:i/>
          <w:iCs/>
          <w:sz w:val="20"/>
          <w:szCs w:val="20"/>
        </w:rPr>
      </w:pPr>
      <w:r w:rsidRPr="006720E4">
        <w:rPr>
          <w:rFonts w:ascii="Calibri" w:hAnsi="Calibri" w:cs="Calibri"/>
          <w:b/>
          <w:bCs/>
          <w:i/>
          <w:iCs/>
          <w:sz w:val="20"/>
          <w:szCs w:val="20"/>
        </w:rPr>
        <w:t>Ethical and legal issues relating to deceased donation decision-making</w:t>
      </w:r>
    </w:p>
    <w:p w14:paraId="3D12E6F2" w14:textId="77777777" w:rsidR="006C6EBA" w:rsidRPr="006720E4" w:rsidRDefault="006C6EBA" w:rsidP="00C3783C">
      <w:pPr>
        <w:pStyle w:val="ListParagraph"/>
        <w:numPr>
          <w:ilvl w:val="0"/>
          <w:numId w:val="72"/>
        </w:numPr>
        <w:spacing w:after="120"/>
        <w:contextualSpacing w:val="0"/>
        <w:rPr>
          <w:rFonts w:cs="Calibri"/>
          <w:sz w:val="20"/>
          <w:szCs w:val="20"/>
        </w:rPr>
      </w:pPr>
      <w:r w:rsidRPr="006720E4">
        <w:rPr>
          <w:rFonts w:cs="Calibri"/>
          <w:sz w:val="20"/>
          <w:szCs w:val="20"/>
        </w:rPr>
        <w:t>Albertsen A. Against the family veto in organ procurement: Why the wishes of the dead should prevail when the living and the deceased disagree on organ donation. Bioethics. 2020 Mar;34(3):272-80.</w:t>
      </w:r>
    </w:p>
    <w:p w14:paraId="1932AC6E" w14:textId="77777777" w:rsidR="006C6EBA" w:rsidRPr="006720E4" w:rsidRDefault="006C6EBA" w:rsidP="00C3783C">
      <w:pPr>
        <w:pStyle w:val="ListParagraph"/>
        <w:numPr>
          <w:ilvl w:val="0"/>
          <w:numId w:val="72"/>
        </w:numPr>
        <w:spacing w:after="120"/>
        <w:contextualSpacing w:val="0"/>
        <w:rPr>
          <w:rFonts w:cs="Calibri"/>
          <w:sz w:val="20"/>
          <w:szCs w:val="20"/>
        </w:rPr>
      </w:pPr>
      <w:r w:rsidRPr="006720E4">
        <w:rPr>
          <w:rFonts w:cs="Calibri"/>
          <w:sz w:val="20"/>
          <w:szCs w:val="20"/>
        </w:rPr>
        <w:t>Bramstedt KA. Family refusals of registered consents: the disruption of organ donation by double‐standard surrogate decision‐making. Internal medicine journal. 2013 Feb;43(2):120-3.</w:t>
      </w:r>
    </w:p>
    <w:p w14:paraId="480DBB9F" w14:textId="57011DF9" w:rsidR="006C6EBA" w:rsidRPr="006720E4" w:rsidRDefault="006C6EBA" w:rsidP="00C3783C">
      <w:pPr>
        <w:pStyle w:val="ListParagraph"/>
        <w:numPr>
          <w:ilvl w:val="0"/>
          <w:numId w:val="72"/>
        </w:numPr>
        <w:spacing w:after="120"/>
        <w:contextualSpacing w:val="0"/>
        <w:rPr>
          <w:rFonts w:cs="Calibri"/>
          <w:sz w:val="20"/>
          <w:szCs w:val="20"/>
        </w:rPr>
      </w:pPr>
      <w:r w:rsidRPr="006720E4">
        <w:rPr>
          <w:rFonts w:cs="Calibri"/>
          <w:sz w:val="20"/>
          <w:szCs w:val="20"/>
        </w:rPr>
        <w:t>Morgan J, Hopkinson C, Hudson C, Murphy P, Gardiner D, McGowan O, Miller C. The Rule of Threes: three factors that triple the likelihood of families overriding first person consent for organ donation in the UK. Journal of the Intensive Care Society. 2018 May;19(2):101-6.</w:t>
      </w:r>
    </w:p>
    <w:p w14:paraId="51E39D6D" w14:textId="36B05B6F" w:rsidR="006C6EBA" w:rsidRPr="006720E4" w:rsidRDefault="006C6EBA" w:rsidP="00C3783C">
      <w:pPr>
        <w:pStyle w:val="ListParagraph"/>
        <w:numPr>
          <w:ilvl w:val="0"/>
          <w:numId w:val="72"/>
        </w:numPr>
        <w:spacing w:after="120"/>
        <w:contextualSpacing w:val="0"/>
        <w:rPr>
          <w:rFonts w:cs="Calibri"/>
          <w:sz w:val="20"/>
          <w:szCs w:val="20"/>
        </w:rPr>
      </w:pPr>
      <w:r w:rsidRPr="006720E4">
        <w:rPr>
          <w:rFonts w:cs="Calibri"/>
          <w:sz w:val="20"/>
          <w:szCs w:val="20"/>
        </w:rPr>
        <w:t xml:space="preserve">Sharif A, </w:t>
      </w:r>
      <w:proofErr w:type="spellStart"/>
      <w:r w:rsidRPr="006720E4">
        <w:rPr>
          <w:rFonts w:cs="Calibri"/>
          <w:sz w:val="20"/>
          <w:szCs w:val="20"/>
        </w:rPr>
        <w:t>Moorlock</w:t>
      </w:r>
      <w:proofErr w:type="spellEnd"/>
      <w:r w:rsidRPr="006720E4">
        <w:rPr>
          <w:rFonts w:cs="Calibri"/>
          <w:sz w:val="20"/>
          <w:szCs w:val="20"/>
        </w:rPr>
        <w:t xml:space="preserve"> G. Influencing relatives to respect donor autonomy: Should we nudge families to consent to organ donation?. Bioethics. 2018 Mar;32(3):155-63.</w:t>
      </w:r>
    </w:p>
    <w:p w14:paraId="241B3032" w14:textId="77777777" w:rsidR="006C6EBA" w:rsidRPr="006720E4" w:rsidRDefault="006C6EBA" w:rsidP="00C3783C">
      <w:pPr>
        <w:pStyle w:val="ListParagraph"/>
        <w:numPr>
          <w:ilvl w:val="0"/>
          <w:numId w:val="72"/>
        </w:numPr>
        <w:spacing w:after="120"/>
        <w:contextualSpacing w:val="0"/>
        <w:rPr>
          <w:rFonts w:cs="Calibri"/>
          <w:sz w:val="20"/>
          <w:szCs w:val="20"/>
        </w:rPr>
      </w:pPr>
      <w:r w:rsidRPr="006720E4">
        <w:rPr>
          <w:rFonts w:cs="Calibri"/>
          <w:sz w:val="20"/>
          <w:szCs w:val="20"/>
        </w:rPr>
        <w:t>Shaw D, Georgieva D, Haase B, Gardiner D, Lewis P, Jansen N, Wind T, Samuel U, McDonald M, Ploeg R. Family over rules? An ethical analysis of allowing families to overrule donation intentions. Transplantation. 2017 Mar 1;101(3):482-7.</w:t>
      </w:r>
    </w:p>
    <w:p w14:paraId="4214C096" w14:textId="26B07FC7" w:rsidR="006C6EBA" w:rsidRPr="006720E4" w:rsidRDefault="006C6EBA" w:rsidP="00C3783C">
      <w:pPr>
        <w:pStyle w:val="ListParagraph"/>
        <w:numPr>
          <w:ilvl w:val="0"/>
          <w:numId w:val="72"/>
        </w:numPr>
        <w:spacing w:after="120"/>
        <w:contextualSpacing w:val="0"/>
        <w:rPr>
          <w:rFonts w:cs="Calibri"/>
          <w:sz w:val="20"/>
          <w:szCs w:val="20"/>
        </w:rPr>
      </w:pPr>
      <w:r w:rsidRPr="006720E4">
        <w:rPr>
          <w:rFonts w:cs="Calibri"/>
          <w:sz w:val="20"/>
          <w:szCs w:val="20"/>
        </w:rPr>
        <w:t>Then SN, Martin DE. Transitions in decision-making authority at the end of life: a problem of law, ethics and practice in deceased donation. Journal of Medical Ethics. 2020 Nov 26.</w:t>
      </w:r>
    </w:p>
    <w:p w14:paraId="312D0CD7" w14:textId="77777777" w:rsidR="006C6EBA" w:rsidRPr="006720E4" w:rsidRDefault="006C6EBA" w:rsidP="00EA22AE">
      <w:pPr>
        <w:pStyle w:val="ListParagraph"/>
        <w:spacing w:after="120"/>
        <w:contextualSpacing w:val="0"/>
        <w:rPr>
          <w:rFonts w:cs="Calibri"/>
          <w:sz w:val="20"/>
          <w:szCs w:val="20"/>
        </w:rPr>
      </w:pPr>
    </w:p>
    <w:p w14:paraId="28525F7C" w14:textId="77777777" w:rsidR="006C6EBA" w:rsidRPr="006720E4" w:rsidRDefault="006C6EBA" w:rsidP="00EA22AE">
      <w:pPr>
        <w:pStyle w:val="NormalWeb"/>
        <w:spacing w:before="0" w:beforeAutospacing="0" w:after="120" w:afterAutospacing="0"/>
        <w:rPr>
          <w:rFonts w:cs="Calibri"/>
          <w:i/>
          <w:iCs/>
          <w:sz w:val="20"/>
          <w:szCs w:val="20"/>
        </w:rPr>
      </w:pPr>
      <w:r w:rsidRPr="006720E4">
        <w:rPr>
          <w:rFonts w:cs="Calibri"/>
          <w:b/>
          <w:bCs/>
          <w:i/>
          <w:iCs/>
          <w:sz w:val="20"/>
          <w:szCs w:val="20"/>
        </w:rPr>
        <w:t>International guidelines on decision-making about donation and transplantation</w:t>
      </w:r>
    </w:p>
    <w:p w14:paraId="7B25E78B" w14:textId="5C22AF96" w:rsidR="006C6EBA" w:rsidRPr="006720E4" w:rsidRDefault="006C6EBA" w:rsidP="00C3783C">
      <w:pPr>
        <w:pStyle w:val="ListParagraph"/>
        <w:numPr>
          <w:ilvl w:val="0"/>
          <w:numId w:val="73"/>
        </w:numPr>
        <w:spacing w:after="120"/>
        <w:contextualSpacing w:val="0"/>
        <w:rPr>
          <w:rFonts w:cs="Calibri"/>
          <w:sz w:val="20"/>
          <w:szCs w:val="20"/>
        </w:rPr>
      </w:pPr>
      <w:r w:rsidRPr="006720E4">
        <w:rPr>
          <w:rFonts w:cs="Calibri"/>
          <w:sz w:val="20"/>
          <w:szCs w:val="20"/>
        </w:rPr>
        <w:t xml:space="preserve">KDIGO. Chapter 2. Informed consent. </w:t>
      </w:r>
      <w:hyperlink r:id="rId166" w:history="1">
        <w:r w:rsidRPr="006720E4">
          <w:rPr>
            <w:rStyle w:val="Hyperlink"/>
            <w:rFonts w:cs="Calibri"/>
            <w:sz w:val="20"/>
            <w:szCs w:val="20"/>
          </w:rPr>
          <w:t>https://kdigo.org/wp-content/uploads/2017/07/2017-KDIGO-LD-GL.pdf</w:t>
        </w:r>
      </w:hyperlink>
    </w:p>
    <w:p w14:paraId="7830B4FB" w14:textId="39B6F378" w:rsidR="006C6EBA" w:rsidRPr="006720E4" w:rsidRDefault="006C6EBA" w:rsidP="00C3783C">
      <w:pPr>
        <w:pStyle w:val="ListParagraph"/>
        <w:numPr>
          <w:ilvl w:val="0"/>
          <w:numId w:val="73"/>
        </w:numPr>
        <w:spacing w:after="120"/>
        <w:contextualSpacing w:val="0"/>
        <w:rPr>
          <w:rFonts w:cs="Calibri"/>
          <w:sz w:val="20"/>
          <w:szCs w:val="20"/>
        </w:rPr>
      </w:pPr>
      <w:r w:rsidRPr="006720E4">
        <w:rPr>
          <w:rFonts w:eastAsiaTheme="majorEastAsia" w:cs="Calibri"/>
          <w:sz w:val="20"/>
          <w:szCs w:val="20"/>
        </w:rPr>
        <w:t>Human Tissue Authority. 2021.</w:t>
      </w:r>
      <w:r w:rsidRPr="006720E4">
        <w:rPr>
          <w:rFonts w:cs="Calibri"/>
          <w:sz w:val="20"/>
          <w:szCs w:val="20"/>
        </w:rPr>
        <w:t xml:space="preserve"> Code A: Guiding principles and the fundamental principle of consent. </w:t>
      </w:r>
      <w:hyperlink r:id="rId167" w:history="1">
        <w:r w:rsidRPr="006720E4">
          <w:rPr>
            <w:rStyle w:val="Hyperlink"/>
            <w:rFonts w:cs="Calibri"/>
            <w:sz w:val="20"/>
            <w:szCs w:val="20"/>
          </w:rPr>
          <w:t>https://content.hta.gov.uk/sites/default/files/2020-11/Code%20A.pdf</w:t>
        </w:r>
      </w:hyperlink>
      <w:r w:rsidRPr="006720E4">
        <w:rPr>
          <w:rFonts w:cs="Calibri"/>
          <w:sz w:val="20"/>
          <w:szCs w:val="20"/>
        </w:rPr>
        <w:t xml:space="preserve"> </w:t>
      </w:r>
    </w:p>
    <w:p w14:paraId="7F9BFA30" w14:textId="77777777" w:rsidR="006C6EBA" w:rsidRPr="006720E4" w:rsidRDefault="006C6EBA" w:rsidP="00C3783C">
      <w:pPr>
        <w:pStyle w:val="ListParagraph"/>
        <w:numPr>
          <w:ilvl w:val="0"/>
          <w:numId w:val="73"/>
        </w:numPr>
        <w:spacing w:after="120"/>
        <w:contextualSpacing w:val="0"/>
        <w:rPr>
          <w:rFonts w:cs="Calibri"/>
          <w:sz w:val="20"/>
          <w:szCs w:val="20"/>
        </w:rPr>
      </w:pPr>
      <w:r w:rsidRPr="006720E4">
        <w:rPr>
          <w:rFonts w:cs="Calibri"/>
          <w:sz w:val="20"/>
          <w:szCs w:val="20"/>
        </w:rPr>
        <w:t xml:space="preserve">UK Donation Ethics Committee. 2016. Involving the family in deceased organ donation. Available at. </w:t>
      </w:r>
      <w:hyperlink r:id="rId168" w:history="1">
        <w:r w:rsidRPr="006720E4">
          <w:rPr>
            <w:rStyle w:val="Hyperlink"/>
            <w:rFonts w:cs="Calibri"/>
            <w:sz w:val="20"/>
            <w:szCs w:val="20"/>
          </w:rPr>
          <w:t>http://www.aomrc.org.uk/wp-content/uploads/2016/07/Involving_family_deceased_organ_donation_0416-2.pdf</w:t>
        </w:r>
      </w:hyperlink>
    </w:p>
    <w:p w14:paraId="1DDA1121" w14:textId="3AA7249A" w:rsidR="006C6EBA" w:rsidRPr="006720E4" w:rsidRDefault="006C6EBA" w:rsidP="00C3783C">
      <w:pPr>
        <w:pStyle w:val="ListParagraph"/>
        <w:numPr>
          <w:ilvl w:val="0"/>
          <w:numId w:val="73"/>
        </w:numPr>
        <w:spacing w:after="120"/>
        <w:contextualSpacing w:val="0"/>
        <w:rPr>
          <w:rFonts w:cs="Calibri"/>
          <w:sz w:val="20"/>
          <w:szCs w:val="20"/>
        </w:rPr>
      </w:pPr>
      <w:r w:rsidRPr="006720E4">
        <w:rPr>
          <w:rFonts w:cs="Calibri"/>
          <w:sz w:val="20"/>
          <w:szCs w:val="20"/>
        </w:rPr>
        <w:t xml:space="preserve">NHS Blood and Transplant. 2015. Guidelines for consent for solid organ transplantation in adults. Available at: </w:t>
      </w:r>
      <w:hyperlink r:id="rId169" w:history="1">
        <w:r w:rsidRPr="006720E4">
          <w:rPr>
            <w:rStyle w:val="Hyperlink"/>
            <w:rFonts w:cs="Calibri"/>
            <w:sz w:val="20"/>
            <w:szCs w:val="20"/>
          </w:rPr>
          <w:t>https://nhsbtdbe.blob.core.windows.net/umbraco-assets-corp/4378/guidelines_consent_for_solid_organ_transplantation_adults.pdf</w:t>
        </w:r>
      </w:hyperlink>
      <w:r w:rsidRPr="006720E4">
        <w:rPr>
          <w:rFonts w:cs="Calibri"/>
          <w:sz w:val="20"/>
          <w:szCs w:val="20"/>
        </w:rPr>
        <w:t xml:space="preserve"> </w:t>
      </w:r>
    </w:p>
    <w:p w14:paraId="51CFE50C" w14:textId="7C949169" w:rsidR="006C6EBA" w:rsidRPr="006720E4" w:rsidRDefault="006C6EBA" w:rsidP="00EA22AE">
      <w:pPr>
        <w:pStyle w:val="Appendix3"/>
        <w:numPr>
          <w:ilvl w:val="0"/>
          <w:numId w:val="0"/>
        </w:numPr>
        <w:spacing w:after="120"/>
        <w:ind w:left="360"/>
      </w:pPr>
      <w:bookmarkStart w:id="5742" w:name="_Toc79406559"/>
      <w:bookmarkStart w:id="5743" w:name="_Toc82623540"/>
      <w:bookmarkStart w:id="5744" w:name="_Toc82773797"/>
      <w:bookmarkStart w:id="5745" w:name="_Toc82774149"/>
      <w:bookmarkStart w:id="5746" w:name="_Toc128314265"/>
      <w:bookmarkStart w:id="5747" w:name="_Toc135131506"/>
      <w:bookmarkStart w:id="5748" w:name="Ch4Resources"/>
      <w:r w:rsidRPr="006720E4">
        <w:lastRenderedPageBreak/>
        <w:t xml:space="preserve">Chapter </w:t>
      </w:r>
      <w:r w:rsidR="00A83E9D">
        <w:t>5</w:t>
      </w:r>
      <w:r w:rsidRPr="006720E4">
        <w:t xml:space="preserve"> Resources</w:t>
      </w:r>
      <w:bookmarkEnd w:id="5742"/>
      <w:bookmarkEnd w:id="5743"/>
      <w:bookmarkEnd w:id="5744"/>
      <w:bookmarkEnd w:id="5745"/>
      <w:bookmarkEnd w:id="5746"/>
      <w:bookmarkEnd w:id="5747"/>
    </w:p>
    <w:bookmarkEnd w:id="5748"/>
    <w:p w14:paraId="2F92D0D5"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Paediatric living organ donation</w:t>
      </w:r>
    </w:p>
    <w:p w14:paraId="2E623C31" w14:textId="77777777" w:rsidR="006C6EBA" w:rsidRPr="006720E4" w:rsidRDefault="006C6EBA" w:rsidP="00C3783C">
      <w:pPr>
        <w:pStyle w:val="ListParagraph"/>
        <w:numPr>
          <w:ilvl w:val="0"/>
          <w:numId w:val="75"/>
        </w:numPr>
        <w:spacing w:after="120"/>
        <w:contextualSpacing w:val="0"/>
        <w:rPr>
          <w:rFonts w:cs="Calibri"/>
          <w:sz w:val="20"/>
          <w:szCs w:val="20"/>
        </w:rPr>
      </w:pPr>
      <w:r w:rsidRPr="006720E4">
        <w:rPr>
          <w:rFonts w:cs="Calibri"/>
          <w:sz w:val="20"/>
          <w:szCs w:val="20"/>
        </w:rPr>
        <w:t xml:space="preserve">Ross LF, Thistlethwaite JR. Minors as living solid-organ donors. </w:t>
      </w:r>
      <w:proofErr w:type="spellStart"/>
      <w:r w:rsidRPr="006720E4">
        <w:rPr>
          <w:rFonts w:cs="Calibri"/>
          <w:sz w:val="20"/>
          <w:szCs w:val="20"/>
        </w:rPr>
        <w:t>Pediatrics</w:t>
      </w:r>
      <w:proofErr w:type="spellEnd"/>
      <w:r w:rsidRPr="006720E4">
        <w:rPr>
          <w:rFonts w:cs="Calibri"/>
          <w:sz w:val="20"/>
          <w:szCs w:val="20"/>
        </w:rPr>
        <w:t xml:space="preserve">. 2008 Aug 1;122(2):454-61. </w:t>
      </w:r>
      <w:hyperlink r:id="rId170" w:history="1">
        <w:r w:rsidRPr="006720E4">
          <w:rPr>
            <w:rStyle w:val="Hyperlink"/>
            <w:rFonts w:eastAsiaTheme="majorEastAsia" w:cs="Calibri"/>
            <w:sz w:val="20"/>
            <w:szCs w:val="20"/>
          </w:rPr>
          <w:t>https://pediatrics.aappublications.org/content/122/2/454</w:t>
        </w:r>
      </w:hyperlink>
    </w:p>
    <w:p w14:paraId="09AC0237" w14:textId="77777777" w:rsidR="006C6EBA" w:rsidRPr="006720E4" w:rsidRDefault="006C6EBA" w:rsidP="00C3783C">
      <w:pPr>
        <w:pStyle w:val="ListParagraph"/>
        <w:numPr>
          <w:ilvl w:val="0"/>
          <w:numId w:val="75"/>
        </w:numPr>
        <w:spacing w:after="120"/>
        <w:contextualSpacing w:val="0"/>
        <w:rPr>
          <w:rFonts w:cs="Calibri"/>
          <w:sz w:val="20"/>
          <w:szCs w:val="20"/>
        </w:rPr>
      </w:pPr>
      <w:r w:rsidRPr="006720E4">
        <w:rPr>
          <w:rFonts w:cs="Calibri"/>
          <w:sz w:val="20"/>
          <w:szCs w:val="20"/>
        </w:rPr>
        <w:t>Campbell M, Wright L, Greenberg RA, Grant D. How young is too young to be a living donor?. American Journal of Transplantation. 2013 Jul;13(7):1643-9.</w:t>
      </w:r>
    </w:p>
    <w:p w14:paraId="26DDA65D" w14:textId="3933F1E6" w:rsidR="006C6EBA" w:rsidRPr="006720E4" w:rsidRDefault="006C6EBA" w:rsidP="00C3783C">
      <w:pPr>
        <w:pStyle w:val="ListParagraph"/>
        <w:numPr>
          <w:ilvl w:val="0"/>
          <w:numId w:val="75"/>
        </w:numPr>
        <w:spacing w:after="120"/>
        <w:contextualSpacing w:val="0"/>
        <w:rPr>
          <w:rFonts w:cs="Calibri"/>
          <w:sz w:val="20"/>
          <w:szCs w:val="20"/>
        </w:rPr>
      </w:pPr>
      <w:r w:rsidRPr="006720E4">
        <w:rPr>
          <w:rFonts w:cs="Calibri"/>
          <w:sz w:val="20"/>
          <w:szCs w:val="20"/>
        </w:rPr>
        <w:t xml:space="preserve">Thys K, Van Assche K, Nobile H, </w:t>
      </w:r>
      <w:proofErr w:type="spellStart"/>
      <w:r w:rsidRPr="006720E4">
        <w:rPr>
          <w:rFonts w:cs="Calibri"/>
          <w:sz w:val="20"/>
          <w:szCs w:val="20"/>
        </w:rPr>
        <w:t>Siebelink</w:t>
      </w:r>
      <w:proofErr w:type="spellEnd"/>
      <w:r w:rsidRPr="006720E4">
        <w:rPr>
          <w:rFonts w:cs="Calibri"/>
          <w:sz w:val="20"/>
          <w:szCs w:val="20"/>
        </w:rPr>
        <w:t xml:space="preserve"> M, </w:t>
      </w:r>
      <w:proofErr w:type="spellStart"/>
      <w:r w:rsidRPr="006720E4">
        <w:rPr>
          <w:rFonts w:cs="Calibri"/>
          <w:sz w:val="20"/>
          <w:szCs w:val="20"/>
        </w:rPr>
        <w:t>Aujoulat</w:t>
      </w:r>
      <w:proofErr w:type="spellEnd"/>
      <w:r w:rsidRPr="006720E4">
        <w:rPr>
          <w:rFonts w:cs="Calibri"/>
          <w:sz w:val="20"/>
          <w:szCs w:val="20"/>
        </w:rPr>
        <w:t xml:space="preserve"> I, </w:t>
      </w:r>
      <w:proofErr w:type="spellStart"/>
      <w:r w:rsidRPr="006720E4">
        <w:rPr>
          <w:rFonts w:cs="Calibri"/>
          <w:sz w:val="20"/>
          <w:szCs w:val="20"/>
        </w:rPr>
        <w:t>Schotsmans</w:t>
      </w:r>
      <w:proofErr w:type="spellEnd"/>
      <w:r w:rsidRPr="006720E4">
        <w:rPr>
          <w:rFonts w:cs="Calibri"/>
          <w:sz w:val="20"/>
          <w:szCs w:val="20"/>
        </w:rPr>
        <w:t xml:space="preserve"> P, Dobbels F, </w:t>
      </w:r>
      <w:proofErr w:type="spellStart"/>
      <w:r w:rsidRPr="006720E4">
        <w:rPr>
          <w:rFonts w:cs="Calibri"/>
          <w:sz w:val="20"/>
          <w:szCs w:val="20"/>
        </w:rPr>
        <w:t>Borry</w:t>
      </w:r>
      <w:proofErr w:type="spellEnd"/>
      <w:r w:rsidRPr="006720E4">
        <w:rPr>
          <w:rFonts w:cs="Calibri"/>
          <w:sz w:val="20"/>
          <w:szCs w:val="20"/>
        </w:rPr>
        <w:t xml:space="preserve"> P. Could minors be living kidney donors? A systematic review of guidelines, position papers and reports. Transplant International. 2013 Oct;26(10):949-60.</w:t>
      </w:r>
    </w:p>
    <w:p w14:paraId="204401F9" w14:textId="18D3E91C" w:rsidR="006C6EBA" w:rsidRPr="006720E4" w:rsidRDefault="006C6EBA" w:rsidP="00C3783C">
      <w:pPr>
        <w:pStyle w:val="ListParagraph"/>
        <w:numPr>
          <w:ilvl w:val="0"/>
          <w:numId w:val="75"/>
        </w:numPr>
        <w:spacing w:after="120"/>
        <w:contextualSpacing w:val="0"/>
        <w:rPr>
          <w:rFonts w:cs="Calibri"/>
          <w:sz w:val="20"/>
          <w:szCs w:val="20"/>
        </w:rPr>
      </w:pPr>
      <w:r w:rsidRPr="006720E4">
        <w:rPr>
          <w:rFonts w:cs="Calibri"/>
          <w:sz w:val="20"/>
          <w:szCs w:val="20"/>
        </w:rPr>
        <w:t xml:space="preserve">Thys K, </w:t>
      </w:r>
      <w:proofErr w:type="spellStart"/>
      <w:r w:rsidRPr="006720E4">
        <w:rPr>
          <w:rFonts w:cs="Calibri"/>
          <w:sz w:val="20"/>
          <w:szCs w:val="20"/>
        </w:rPr>
        <w:t>Borry</w:t>
      </w:r>
      <w:proofErr w:type="spellEnd"/>
      <w:r w:rsidRPr="006720E4">
        <w:rPr>
          <w:rFonts w:cs="Calibri"/>
          <w:sz w:val="20"/>
          <w:szCs w:val="20"/>
        </w:rPr>
        <w:t xml:space="preserve"> P, </w:t>
      </w:r>
      <w:proofErr w:type="spellStart"/>
      <w:r w:rsidRPr="006720E4">
        <w:rPr>
          <w:rFonts w:cs="Calibri"/>
          <w:sz w:val="20"/>
          <w:szCs w:val="20"/>
        </w:rPr>
        <w:t>Schotsmans</w:t>
      </w:r>
      <w:proofErr w:type="spellEnd"/>
      <w:r w:rsidRPr="006720E4">
        <w:rPr>
          <w:rFonts w:cs="Calibri"/>
          <w:sz w:val="20"/>
          <w:szCs w:val="20"/>
        </w:rPr>
        <w:t xml:space="preserve"> P, Dobbels F. Should minors and young adults qualify as potential live kidney donors? The views of international transplant professionals. </w:t>
      </w:r>
      <w:proofErr w:type="spellStart"/>
      <w:r w:rsidRPr="006720E4">
        <w:rPr>
          <w:rFonts w:cs="Calibri"/>
          <w:sz w:val="20"/>
          <w:szCs w:val="20"/>
        </w:rPr>
        <w:t>Pediatric</w:t>
      </w:r>
      <w:proofErr w:type="spellEnd"/>
      <w:r w:rsidRPr="006720E4">
        <w:rPr>
          <w:rFonts w:cs="Calibri"/>
          <w:sz w:val="20"/>
          <w:szCs w:val="20"/>
        </w:rPr>
        <w:t xml:space="preserve"> transplantation. 2019 Sep;23(6):e13526.</w:t>
      </w:r>
    </w:p>
    <w:p w14:paraId="6C0C6C2B" w14:textId="14A2A7DF" w:rsidR="006C6EBA" w:rsidRPr="006720E4" w:rsidRDefault="006C6EBA" w:rsidP="00C3783C">
      <w:pPr>
        <w:pStyle w:val="NormalWeb"/>
        <w:numPr>
          <w:ilvl w:val="0"/>
          <w:numId w:val="74"/>
        </w:numPr>
        <w:spacing w:before="0" w:beforeAutospacing="0" w:after="120" w:afterAutospacing="0"/>
        <w:rPr>
          <w:rFonts w:cs="Calibri"/>
          <w:b/>
          <w:bCs/>
          <w:i/>
          <w:iCs/>
          <w:sz w:val="20"/>
          <w:szCs w:val="20"/>
        </w:rPr>
      </w:pPr>
      <w:r w:rsidRPr="006720E4">
        <w:rPr>
          <w:rFonts w:cs="Calibri"/>
          <w:sz w:val="20"/>
          <w:szCs w:val="20"/>
        </w:rPr>
        <w:t>Biller-</w:t>
      </w:r>
      <w:proofErr w:type="spellStart"/>
      <w:r w:rsidRPr="006720E4">
        <w:rPr>
          <w:rFonts w:cs="Calibri"/>
          <w:sz w:val="20"/>
          <w:szCs w:val="20"/>
        </w:rPr>
        <w:t>Andorno</w:t>
      </w:r>
      <w:proofErr w:type="spellEnd"/>
      <w:r w:rsidRPr="006720E4">
        <w:rPr>
          <w:rFonts w:cs="Calibri"/>
          <w:sz w:val="20"/>
          <w:szCs w:val="20"/>
        </w:rPr>
        <w:t xml:space="preserve"> N, </w:t>
      </w:r>
      <w:proofErr w:type="spellStart"/>
      <w:r w:rsidRPr="006720E4">
        <w:rPr>
          <w:rFonts w:cs="Calibri"/>
          <w:sz w:val="20"/>
          <w:szCs w:val="20"/>
        </w:rPr>
        <w:t>Agich</w:t>
      </w:r>
      <w:proofErr w:type="spellEnd"/>
      <w:r w:rsidRPr="006720E4">
        <w:rPr>
          <w:rFonts w:cs="Calibri"/>
          <w:sz w:val="20"/>
          <w:szCs w:val="20"/>
        </w:rPr>
        <w:t xml:space="preserve"> GJ, </w:t>
      </w:r>
      <w:proofErr w:type="spellStart"/>
      <w:r w:rsidRPr="006720E4">
        <w:rPr>
          <w:rFonts w:cs="Calibri"/>
          <w:sz w:val="20"/>
          <w:szCs w:val="20"/>
        </w:rPr>
        <w:t>Doepkens</w:t>
      </w:r>
      <w:proofErr w:type="spellEnd"/>
      <w:r w:rsidRPr="006720E4">
        <w:rPr>
          <w:rFonts w:cs="Calibri"/>
          <w:sz w:val="20"/>
          <w:szCs w:val="20"/>
        </w:rPr>
        <w:t xml:space="preserve"> K, </w:t>
      </w:r>
      <w:proofErr w:type="spellStart"/>
      <w:r w:rsidRPr="006720E4">
        <w:rPr>
          <w:rFonts w:cs="Calibri"/>
          <w:sz w:val="20"/>
          <w:szCs w:val="20"/>
        </w:rPr>
        <w:t>Schauenburg</w:t>
      </w:r>
      <w:proofErr w:type="spellEnd"/>
      <w:r w:rsidRPr="006720E4">
        <w:rPr>
          <w:rFonts w:cs="Calibri"/>
          <w:sz w:val="20"/>
          <w:szCs w:val="20"/>
        </w:rPr>
        <w:t xml:space="preserve"> H. Who shall be allowed to give? Living organ donors and the concept of autonomy. Theoretical medicine and bioethics. 2001 Aug;22(4):351-68.</w:t>
      </w:r>
    </w:p>
    <w:p w14:paraId="339EAF19"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Paediatric organ and tissue transplant recipients</w:t>
      </w:r>
    </w:p>
    <w:p w14:paraId="69B02720" w14:textId="77777777" w:rsidR="006C6EBA" w:rsidRPr="006720E4" w:rsidRDefault="006C6EBA" w:rsidP="00C3783C">
      <w:pPr>
        <w:pStyle w:val="NormalWeb"/>
        <w:numPr>
          <w:ilvl w:val="0"/>
          <w:numId w:val="74"/>
        </w:numPr>
        <w:spacing w:before="0" w:beforeAutospacing="0" w:after="120" w:afterAutospacing="0"/>
        <w:rPr>
          <w:rFonts w:cs="Calibri"/>
          <w:sz w:val="20"/>
          <w:szCs w:val="20"/>
        </w:rPr>
      </w:pPr>
      <w:r w:rsidRPr="006720E4">
        <w:rPr>
          <w:rFonts w:cs="Calibri"/>
          <w:sz w:val="20"/>
          <w:szCs w:val="20"/>
        </w:rPr>
        <w:t xml:space="preserve">Policy Statement: </w:t>
      </w:r>
      <w:proofErr w:type="spellStart"/>
      <w:r w:rsidRPr="006720E4">
        <w:rPr>
          <w:rFonts w:cs="Calibri"/>
          <w:sz w:val="20"/>
          <w:szCs w:val="20"/>
        </w:rPr>
        <w:t>Pediatric</w:t>
      </w:r>
      <w:proofErr w:type="spellEnd"/>
      <w:r w:rsidRPr="006720E4">
        <w:rPr>
          <w:rFonts w:cs="Calibri"/>
          <w:sz w:val="20"/>
          <w:szCs w:val="20"/>
        </w:rPr>
        <w:t xml:space="preserve"> organ donation and transplantation. </w:t>
      </w:r>
      <w:proofErr w:type="spellStart"/>
      <w:r w:rsidRPr="006720E4">
        <w:rPr>
          <w:rStyle w:val="Emphasis"/>
          <w:rFonts w:cs="Calibri"/>
          <w:sz w:val="20"/>
          <w:szCs w:val="20"/>
        </w:rPr>
        <w:t>Pediatrics</w:t>
      </w:r>
      <w:proofErr w:type="spellEnd"/>
      <w:r w:rsidRPr="006720E4">
        <w:rPr>
          <w:rFonts w:cs="Calibri"/>
          <w:sz w:val="20"/>
          <w:szCs w:val="20"/>
        </w:rPr>
        <w:t xml:space="preserve">. 2010;125(4):822–828. Available at: </w:t>
      </w:r>
      <w:hyperlink r:id="rId171" w:history="1">
        <w:r w:rsidRPr="006720E4">
          <w:rPr>
            <w:rStyle w:val="Hyperlink"/>
            <w:rFonts w:eastAsiaTheme="majorEastAsia" w:cs="Calibri"/>
            <w:sz w:val="20"/>
            <w:szCs w:val="20"/>
          </w:rPr>
          <w:t>http://pediatrics.aappublications.org/content/125/4/822.full</w:t>
        </w:r>
        <w:r w:rsidRPr="006720E4">
          <w:rPr>
            <w:rStyle w:val="Hyperlink"/>
            <w:rFonts w:cs="Calibri"/>
            <w:sz w:val="20"/>
            <w:szCs w:val="20"/>
          </w:rPr>
          <w:t>. Reaffirmed April 2019</w:t>
        </w:r>
      </w:hyperlink>
    </w:p>
    <w:p w14:paraId="25D9D6AF" w14:textId="77777777" w:rsidR="006C6EBA" w:rsidRPr="006720E4" w:rsidRDefault="006C6EBA" w:rsidP="00C3783C">
      <w:pPr>
        <w:pStyle w:val="ListParagraph"/>
        <w:numPr>
          <w:ilvl w:val="0"/>
          <w:numId w:val="74"/>
        </w:numPr>
        <w:spacing w:after="120"/>
        <w:contextualSpacing w:val="0"/>
        <w:rPr>
          <w:rFonts w:cs="Calibri"/>
          <w:sz w:val="20"/>
          <w:szCs w:val="20"/>
        </w:rPr>
      </w:pPr>
      <w:proofErr w:type="spellStart"/>
      <w:r w:rsidRPr="006720E4">
        <w:rPr>
          <w:rFonts w:cs="Calibri"/>
          <w:sz w:val="20"/>
          <w:szCs w:val="20"/>
        </w:rPr>
        <w:t>Marchac</w:t>
      </w:r>
      <w:proofErr w:type="spellEnd"/>
      <w:r w:rsidRPr="006720E4">
        <w:rPr>
          <w:rFonts w:cs="Calibri"/>
          <w:sz w:val="20"/>
          <w:szCs w:val="20"/>
        </w:rPr>
        <w:t xml:space="preserve"> A, </w:t>
      </w:r>
      <w:proofErr w:type="spellStart"/>
      <w:r w:rsidRPr="006720E4">
        <w:rPr>
          <w:rFonts w:cs="Calibri"/>
          <w:sz w:val="20"/>
          <w:szCs w:val="20"/>
        </w:rPr>
        <w:t>Kuschner</w:t>
      </w:r>
      <w:proofErr w:type="spellEnd"/>
      <w:r w:rsidRPr="006720E4">
        <w:rPr>
          <w:rFonts w:cs="Calibri"/>
          <w:sz w:val="20"/>
          <w:szCs w:val="20"/>
        </w:rPr>
        <w:t xml:space="preserve"> T, Paris J, Picard A, Vazquez MP, Lantieri L. Ethical issues in </w:t>
      </w:r>
      <w:proofErr w:type="spellStart"/>
      <w:r w:rsidRPr="006720E4">
        <w:rPr>
          <w:rFonts w:cs="Calibri"/>
          <w:sz w:val="20"/>
          <w:szCs w:val="20"/>
        </w:rPr>
        <w:t>pediatric</w:t>
      </w:r>
      <w:proofErr w:type="spellEnd"/>
      <w:r w:rsidRPr="006720E4">
        <w:rPr>
          <w:rFonts w:cs="Calibri"/>
          <w:sz w:val="20"/>
          <w:szCs w:val="20"/>
        </w:rPr>
        <w:t xml:space="preserve"> face transplantation: should we perform face transplantation in children?. Plastic and reconstructive surgery. 2016 Aug 1;138(2):449-54.</w:t>
      </w:r>
    </w:p>
    <w:p w14:paraId="310DCC2B" w14:textId="77777777" w:rsidR="006C6EBA" w:rsidRPr="006720E4" w:rsidRDefault="006C6EBA" w:rsidP="00C3783C">
      <w:pPr>
        <w:pStyle w:val="NormalWeb"/>
        <w:numPr>
          <w:ilvl w:val="0"/>
          <w:numId w:val="74"/>
        </w:numPr>
        <w:spacing w:before="0" w:beforeAutospacing="0" w:after="120" w:afterAutospacing="0"/>
        <w:rPr>
          <w:rFonts w:cs="Calibri"/>
          <w:b/>
          <w:bCs/>
          <w:i/>
          <w:iCs/>
          <w:sz w:val="20"/>
          <w:szCs w:val="20"/>
        </w:rPr>
      </w:pPr>
      <w:r w:rsidRPr="006720E4">
        <w:rPr>
          <w:rFonts w:cs="Calibri"/>
          <w:sz w:val="20"/>
          <w:szCs w:val="20"/>
        </w:rPr>
        <w:t xml:space="preserve">Statter MB, Noritz G, Committee on Bioethics. Children with intellectual and developmental disabilities as organ transplantation recipients. </w:t>
      </w:r>
      <w:proofErr w:type="spellStart"/>
      <w:r w:rsidRPr="006720E4">
        <w:rPr>
          <w:rFonts w:cs="Calibri"/>
          <w:sz w:val="20"/>
          <w:szCs w:val="20"/>
        </w:rPr>
        <w:t>Pediatrics</w:t>
      </w:r>
      <w:proofErr w:type="spellEnd"/>
      <w:r w:rsidRPr="006720E4">
        <w:rPr>
          <w:rFonts w:cs="Calibri"/>
          <w:sz w:val="20"/>
          <w:szCs w:val="20"/>
        </w:rPr>
        <w:t>. 2020 May 1;145(5).</w:t>
      </w:r>
    </w:p>
    <w:p w14:paraId="795E6A3B"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 xml:space="preserve">Paediatric donation of Haematopoietic stem cells </w:t>
      </w:r>
    </w:p>
    <w:p w14:paraId="361E46C1" w14:textId="77777777" w:rsidR="006C6EBA" w:rsidRPr="006720E4" w:rsidRDefault="006C6EBA" w:rsidP="00C3783C">
      <w:pPr>
        <w:pStyle w:val="NormalWeb"/>
        <w:numPr>
          <w:ilvl w:val="0"/>
          <w:numId w:val="74"/>
        </w:numPr>
        <w:spacing w:before="0" w:beforeAutospacing="0" w:after="120" w:afterAutospacing="0"/>
        <w:rPr>
          <w:rFonts w:cs="Calibri"/>
          <w:sz w:val="20"/>
          <w:szCs w:val="20"/>
        </w:rPr>
      </w:pPr>
      <w:r w:rsidRPr="006720E4">
        <w:rPr>
          <w:rFonts w:cs="Calibri"/>
          <w:sz w:val="20"/>
          <w:szCs w:val="20"/>
        </w:rPr>
        <w:t>Then SN, Kerridge I, Marks M, Children as Allogeneic Haematopoietic Progenitor (Stem) Cell Donors: ethically challenging and legally complex, (2018) 208(8) Medical Journal of Australia 334</w:t>
      </w:r>
    </w:p>
    <w:p w14:paraId="428D348D" w14:textId="77777777" w:rsidR="006C6EBA" w:rsidRPr="006720E4" w:rsidRDefault="006C6EBA" w:rsidP="00C3783C">
      <w:pPr>
        <w:pStyle w:val="NormalWeb"/>
        <w:numPr>
          <w:ilvl w:val="0"/>
          <w:numId w:val="74"/>
        </w:numPr>
        <w:spacing w:before="0" w:beforeAutospacing="0" w:after="120" w:afterAutospacing="0"/>
        <w:rPr>
          <w:rFonts w:cs="Calibri"/>
          <w:b/>
          <w:bCs/>
          <w:i/>
          <w:iCs/>
          <w:sz w:val="20"/>
          <w:szCs w:val="20"/>
        </w:rPr>
      </w:pPr>
      <w:r w:rsidRPr="006720E4">
        <w:rPr>
          <w:rFonts w:cs="Calibri"/>
          <w:sz w:val="20"/>
          <w:szCs w:val="20"/>
        </w:rPr>
        <w:t>SN Then, Children as Tissue Donors: Regulatory Protection, Medical Ethics and Practice, Springer, 2018</w:t>
      </w:r>
    </w:p>
    <w:p w14:paraId="3E25E847" w14:textId="1274CD85" w:rsidR="006C6EBA" w:rsidRPr="006720E4" w:rsidRDefault="006C6EBA" w:rsidP="00EA22AE">
      <w:pPr>
        <w:pStyle w:val="Appendix3"/>
        <w:numPr>
          <w:ilvl w:val="0"/>
          <w:numId w:val="0"/>
        </w:numPr>
        <w:spacing w:after="120"/>
        <w:ind w:left="360"/>
      </w:pPr>
      <w:bookmarkStart w:id="5749" w:name="_Toc79406560"/>
      <w:bookmarkStart w:id="5750" w:name="_Toc82623541"/>
      <w:bookmarkStart w:id="5751" w:name="_Toc82773798"/>
      <w:bookmarkStart w:id="5752" w:name="_Toc82774150"/>
      <w:bookmarkStart w:id="5753" w:name="_Toc128314266"/>
      <w:bookmarkStart w:id="5754" w:name="_Toc135131507"/>
      <w:bookmarkStart w:id="5755" w:name="Ch5Resources"/>
      <w:r w:rsidRPr="006720E4">
        <w:t xml:space="preserve">Chapter </w:t>
      </w:r>
      <w:r w:rsidR="00A83E9D">
        <w:t>6</w:t>
      </w:r>
      <w:r w:rsidRPr="006720E4">
        <w:t xml:space="preserve"> Resources</w:t>
      </w:r>
      <w:bookmarkEnd w:id="5749"/>
      <w:bookmarkEnd w:id="5750"/>
      <w:bookmarkEnd w:id="5751"/>
      <w:bookmarkEnd w:id="5752"/>
      <w:bookmarkEnd w:id="5753"/>
      <w:bookmarkEnd w:id="5754"/>
    </w:p>
    <w:bookmarkEnd w:id="5755"/>
    <w:p w14:paraId="4F4CCA94"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Care of donors and transplant recipients</w:t>
      </w:r>
    </w:p>
    <w:p w14:paraId="500460FD" w14:textId="38EF4892" w:rsidR="006C6EBA" w:rsidRPr="00A34343" w:rsidRDefault="006C6EBA" w:rsidP="00C3783C">
      <w:pPr>
        <w:pStyle w:val="NormalWeb"/>
        <w:numPr>
          <w:ilvl w:val="0"/>
          <w:numId w:val="76"/>
        </w:numPr>
        <w:spacing w:before="0" w:beforeAutospacing="0" w:after="120" w:afterAutospacing="0"/>
        <w:rPr>
          <w:rFonts w:cs="Calibri"/>
          <w:sz w:val="20"/>
          <w:szCs w:val="20"/>
          <w:lang w:val="fr-FR"/>
        </w:rPr>
      </w:pPr>
      <w:r w:rsidRPr="006720E4">
        <w:rPr>
          <w:rFonts w:cs="Calibri"/>
          <w:sz w:val="20"/>
          <w:szCs w:val="20"/>
        </w:rPr>
        <w:t xml:space="preserve">KDIGO guidelines. 2017. Evaluation and care of living kidney donors. </w:t>
      </w:r>
      <w:proofErr w:type="spellStart"/>
      <w:r w:rsidRPr="00A34343">
        <w:rPr>
          <w:rFonts w:cs="Calibri"/>
          <w:sz w:val="20"/>
          <w:szCs w:val="20"/>
          <w:lang w:val="fr-FR"/>
        </w:rPr>
        <w:t>Chapter</w:t>
      </w:r>
      <w:proofErr w:type="spellEnd"/>
      <w:r w:rsidRPr="00A34343">
        <w:rPr>
          <w:rFonts w:cs="Calibri"/>
          <w:sz w:val="20"/>
          <w:szCs w:val="20"/>
          <w:lang w:val="fr-FR"/>
        </w:rPr>
        <w:t xml:space="preserve"> 16. Psychosocial </w:t>
      </w:r>
      <w:proofErr w:type="spellStart"/>
      <w:r w:rsidRPr="00A34343">
        <w:rPr>
          <w:rFonts w:cs="Calibri"/>
          <w:sz w:val="20"/>
          <w:szCs w:val="20"/>
          <w:lang w:val="fr-FR"/>
        </w:rPr>
        <w:t>evaluation</w:t>
      </w:r>
      <w:proofErr w:type="spellEnd"/>
      <w:r w:rsidRPr="00A34343">
        <w:rPr>
          <w:rFonts w:cs="Calibri"/>
          <w:sz w:val="20"/>
          <w:szCs w:val="20"/>
          <w:lang w:val="fr-FR"/>
        </w:rPr>
        <w:t xml:space="preserve">. </w:t>
      </w:r>
      <w:r w:rsidRPr="00A34343">
        <w:rPr>
          <w:rFonts w:cs="Calibri"/>
          <w:b/>
          <w:bCs/>
          <w:sz w:val="20"/>
          <w:szCs w:val="20"/>
          <w:lang w:val="fr-FR"/>
        </w:rPr>
        <w:t>https://kdigo.org/wp-content/uploads/2017/07/2017-KDIGO-LD-GL.pdf</w:t>
      </w:r>
    </w:p>
    <w:p w14:paraId="53099FDA" w14:textId="77777777" w:rsidR="006C6EBA" w:rsidRPr="006720E4" w:rsidRDefault="006C6EBA" w:rsidP="00C3783C">
      <w:pPr>
        <w:pStyle w:val="NormalWeb"/>
        <w:numPr>
          <w:ilvl w:val="0"/>
          <w:numId w:val="76"/>
        </w:numPr>
        <w:spacing w:before="0" w:beforeAutospacing="0" w:after="120" w:afterAutospacing="0"/>
        <w:rPr>
          <w:rFonts w:cs="Calibri"/>
          <w:sz w:val="20"/>
          <w:szCs w:val="20"/>
        </w:rPr>
      </w:pPr>
      <w:r w:rsidRPr="006720E4">
        <w:rPr>
          <w:rFonts w:cs="Calibri"/>
          <w:sz w:val="20"/>
          <w:szCs w:val="20"/>
        </w:rPr>
        <w:t xml:space="preserve">WMDA. How to ensure donor care. </w:t>
      </w:r>
      <w:hyperlink r:id="rId172" w:history="1">
        <w:r w:rsidRPr="006720E4">
          <w:rPr>
            <w:rStyle w:val="Hyperlink"/>
            <w:rFonts w:cs="Calibri"/>
            <w:sz w:val="20"/>
            <w:szCs w:val="20"/>
          </w:rPr>
          <w:t>https://wmda.info/professionals/promoting-donor-care/donor-care/</w:t>
        </w:r>
      </w:hyperlink>
    </w:p>
    <w:p w14:paraId="33465526" w14:textId="77777777" w:rsidR="006C6EBA" w:rsidRPr="006720E4" w:rsidRDefault="006C6EBA" w:rsidP="00C3783C">
      <w:pPr>
        <w:pStyle w:val="NormalWeb"/>
        <w:numPr>
          <w:ilvl w:val="0"/>
          <w:numId w:val="76"/>
        </w:numPr>
        <w:spacing w:before="0" w:beforeAutospacing="0" w:after="120" w:afterAutospacing="0"/>
        <w:rPr>
          <w:rFonts w:cs="Calibri"/>
          <w:sz w:val="20"/>
          <w:szCs w:val="20"/>
        </w:rPr>
      </w:pPr>
      <w:r w:rsidRPr="006720E4">
        <w:rPr>
          <w:rFonts w:cs="Calibri"/>
          <w:sz w:val="20"/>
          <w:szCs w:val="20"/>
        </w:rPr>
        <w:t xml:space="preserve">WMDA. Recommendations on donor medical suitability. </w:t>
      </w:r>
      <w:hyperlink r:id="rId173" w:history="1">
        <w:r w:rsidRPr="006720E4">
          <w:rPr>
            <w:rStyle w:val="Hyperlink"/>
            <w:rFonts w:cs="Calibri"/>
            <w:sz w:val="20"/>
            <w:szCs w:val="20"/>
          </w:rPr>
          <w:t>https://share.wmda.info/display/DMSR/WMDA+Donor+Medical+Suitability+Recommendations+Main+page</w:t>
        </w:r>
      </w:hyperlink>
    </w:p>
    <w:p w14:paraId="2C3D5C50"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Risk acceptance in living organ donation</w:t>
      </w:r>
    </w:p>
    <w:p w14:paraId="490B23CE" w14:textId="4EBFCFEC" w:rsidR="006C6EBA" w:rsidRPr="006720E4" w:rsidRDefault="006C6EBA" w:rsidP="00C3783C">
      <w:pPr>
        <w:pStyle w:val="ListParagraph"/>
        <w:numPr>
          <w:ilvl w:val="0"/>
          <w:numId w:val="77"/>
        </w:numPr>
        <w:spacing w:after="120"/>
        <w:contextualSpacing w:val="0"/>
        <w:rPr>
          <w:rFonts w:cs="Calibri"/>
          <w:sz w:val="20"/>
          <w:szCs w:val="20"/>
        </w:rPr>
      </w:pPr>
      <w:r w:rsidRPr="006720E4">
        <w:rPr>
          <w:rFonts w:cs="Calibri"/>
          <w:sz w:val="20"/>
          <w:szCs w:val="20"/>
        </w:rPr>
        <w:t xml:space="preserve">Reese PP, </w:t>
      </w:r>
      <w:proofErr w:type="spellStart"/>
      <w:r w:rsidRPr="006720E4">
        <w:rPr>
          <w:rFonts w:cs="Calibri"/>
          <w:sz w:val="20"/>
          <w:szCs w:val="20"/>
        </w:rPr>
        <w:t>Boudville</w:t>
      </w:r>
      <w:proofErr w:type="spellEnd"/>
      <w:r w:rsidRPr="006720E4">
        <w:rPr>
          <w:rFonts w:cs="Calibri"/>
          <w:sz w:val="20"/>
          <w:szCs w:val="20"/>
        </w:rPr>
        <w:t xml:space="preserve"> N, Garg AX. Living kidney donation: outcomes, ethics, and uncertainty. The Lancet. 2015 May 16;385(9981):2003-13.</w:t>
      </w:r>
    </w:p>
    <w:p w14:paraId="4B697F42" w14:textId="2F986422" w:rsidR="006C6EBA" w:rsidRPr="006720E4" w:rsidRDefault="006C6EBA" w:rsidP="00C3783C">
      <w:pPr>
        <w:pStyle w:val="ListParagraph"/>
        <w:numPr>
          <w:ilvl w:val="0"/>
          <w:numId w:val="77"/>
        </w:numPr>
        <w:spacing w:after="120"/>
        <w:contextualSpacing w:val="0"/>
        <w:rPr>
          <w:rFonts w:cs="Calibri"/>
          <w:sz w:val="20"/>
          <w:szCs w:val="20"/>
        </w:rPr>
      </w:pPr>
      <w:r w:rsidRPr="006720E4">
        <w:rPr>
          <w:rFonts w:cs="Calibri"/>
          <w:sz w:val="20"/>
          <w:szCs w:val="20"/>
        </w:rPr>
        <w:t>Thiessen C, Gordon EJ, Reese PP, Kulkarni S. Development of a donor‐</w:t>
      </w:r>
      <w:proofErr w:type="spellStart"/>
      <w:r w:rsidRPr="006720E4">
        <w:rPr>
          <w:rFonts w:cs="Calibri"/>
          <w:sz w:val="20"/>
          <w:szCs w:val="20"/>
        </w:rPr>
        <w:t>centered</w:t>
      </w:r>
      <w:proofErr w:type="spellEnd"/>
      <w:r w:rsidRPr="006720E4">
        <w:rPr>
          <w:rFonts w:cs="Calibri"/>
          <w:sz w:val="20"/>
          <w:szCs w:val="20"/>
        </w:rPr>
        <w:t xml:space="preserve"> approach to risk assessment: Rebalancing nonmaleficence and autonomy. American Journal of Transplantation. 2015 Sep;15(9):2314-23.</w:t>
      </w:r>
    </w:p>
    <w:p w14:paraId="0E604AC6" w14:textId="77777777" w:rsidR="00A83E9D" w:rsidRDefault="00A83E9D" w:rsidP="00EA22AE">
      <w:pPr>
        <w:spacing w:after="120"/>
        <w:rPr>
          <w:rFonts w:ascii="Calibri" w:hAnsi="Calibri" w:cs="Calibri"/>
          <w:b/>
          <w:bCs/>
          <w:i/>
          <w:iCs/>
          <w:sz w:val="20"/>
          <w:szCs w:val="20"/>
        </w:rPr>
      </w:pPr>
    </w:p>
    <w:p w14:paraId="2943F69F" w14:textId="5838995C" w:rsidR="006C6EBA" w:rsidRPr="006720E4" w:rsidRDefault="006C6EBA" w:rsidP="00EA22AE">
      <w:pPr>
        <w:spacing w:after="120"/>
        <w:rPr>
          <w:rFonts w:ascii="Calibri" w:hAnsi="Calibri" w:cs="Calibri"/>
          <w:b/>
          <w:bCs/>
          <w:i/>
          <w:iCs/>
          <w:sz w:val="20"/>
          <w:szCs w:val="20"/>
        </w:rPr>
      </w:pPr>
      <w:r w:rsidRPr="006720E4">
        <w:rPr>
          <w:rFonts w:ascii="Calibri" w:hAnsi="Calibri" w:cs="Calibri"/>
          <w:b/>
          <w:bCs/>
          <w:i/>
          <w:iCs/>
          <w:sz w:val="20"/>
          <w:szCs w:val="20"/>
        </w:rPr>
        <w:lastRenderedPageBreak/>
        <w:t>Decision-making about non-standard risk donor organ transplants</w:t>
      </w:r>
    </w:p>
    <w:p w14:paraId="2F58FDF7" w14:textId="77777777" w:rsidR="006C6EBA" w:rsidRPr="006720E4" w:rsidRDefault="006C6EBA" w:rsidP="00C3783C">
      <w:pPr>
        <w:pStyle w:val="ListParagraph"/>
        <w:numPr>
          <w:ilvl w:val="0"/>
          <w:numId w:val="77"/>
        </w:numPr>
        <w:spacing w:after="120"/>
        <w:contextualSpacing w:val="0"/>
        <w:rPr>
          <w:rFonts w:cs="Calibri"/>
          <w:sz w:val="20"/>
          <w:szCs w:val="20"/>
        </w:rPr>
      </w:pPr>
      <w:r w:rsidRPr="006720E4">
        <w:rPr>
          <w:rFonts w:cs="Calibri"/>
          <w:sz w:val="20"/>
          <w:szCs w:val="20"/>
        </w:rPr>
        <w:t>Wong G, Howell M, Patrick E, Yang J. Taking kidneys for granted? Time to reflect on the choices we make. Transplantation. 2017 Dec 1;101(12):2812-3.</w:t>
      </w:r>
    </w:p>
    <w:p w14:paraId="0413BC29" w14:textId="12342EB3" w:rsidR="006C6EBA" w:rsidRPr="006720E4" w:rsidRDefault="006C6EBA" w:rsidP="00C3783C">
      <w:pPr>
        <w:pStyle w:val="ListParagraph"/>
        <w:numPr>
          <w:ilvl w:val="0"/>
          <w:numId w:val="77"/>
        </w:numPr>
        <w:spacing w:after="120"/>
        <w:contextualSpacing w:val="0"/>
        <w:rPr>
          <w:rFonts w:cs="Calibri"/>
          <w:sz w:val="20"/>
          <w:szCs w:val="20"/>
        </w:rPr>
      </w:pPr>
      <w:r w:rsidRPr="006720E4">
        <w:rPr>
          <w:rFonts w:cs="Calibri"/>
          <w:sz w:val="20"/>
          <w:szCs w:val="20"/>
        </w:rPr>
        <w:t>Gordon EJ, Butt Z, Jensen SE, Lok‐Ming Lehr A, Franklin J, Becker Y, Sherman L, Chon WJ, Beauvais N, Hanneman J, Penrod D. Opportunities for shared decision making in kidney transplantation. American Journal of Transplantation. 2013 May;13(5):1149-58.</w:t>
      </w:r>
    </w:p>
    <w:p w14:paraId="042612B1" w14:textId="361909CB" w:rsidR="006C6EBA" w:rsidRPr="006720E4" w:rsidRDefault="006C6EBA" w:rsidP="00EA22AE">
      <w:pPr>
        <w:pStyle w:val="Appendix3"/>
        <w:numPr>
          <w:ilvl w:val="0"/>
          <w:numId w:val="0"/>
        </w:numPr>
        <w:spacing w:after="120"/>
        <w:ind w:left="360"/>
      </w:pPr>
      <w:bookmarkStart w:id="5756" w:name="_Toc79406561"/>
      <w:bookmarkStart w:id="5757" w:name="_Toc82623542"/>
      <w:bookmarkStart w:id="5758" w:name="_Toc82773799"/>
      <w:bookmarkStart w:id="5759" w:name="_Toc82774151"/>
      <w:bookmarkStart w:id="5760" w:name="_Toc128314267"/>
      <w:bookmarkStart w:id="5761" w:name="_Toc135131508"/>
      <w:bookmarkStart w:id="5762" w:name="Ch6Resources"/>
      <w:r w:rsidRPr="006720E4">
        <w:t xml:space="preserve">Chapter </w:t>
      </w:r>
      <w:r w:rsidR="00A83E9D">
        <w:t>7</w:t>
      </w:r>
      <w:r w:rsidRPr="006720E4">
        <w:t xml:space="preserve"> Resources</w:t>
      </w:r>
      <w:bookmarkEnd w:id="5756"/>
      <w:bookmarkEnd w:id="5757"/>
      <w:bookmarkEnd w:id="5758"/>
      <w:bookmarkEnd w:id="5759"/>
      <w:bookmarkEnd w:id="5760"/>
      <w:bookmarkEnd w:id="5761"/>
    </w:p>
    <w:bookmarkEnd w:id="5762"/>
    <w:p w14:paraId="43A7C0B4"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Privacy</w:t>
      </w:r>
    </w:p>
    <w:p w14:paraId="1598A045" w14:textId="76F03708" w:rsidR="006C6EBA" w:rsidRPr="006720E4" w:rsidRDefault="006C6EBA" w:rsidP="00C3783C">
      <w:pPr>
        <w:pStyle w:val="NormalWeb"/>
        <w:numPr>
          <w:ilvl w:val="0"/>
          <w:numId w:val="80"/>
        </w:numPr>
        <w:spacing w:before="0" w:beforeAutospacing="0" w:after="120" w:afterAutospacing="0"/>
        <w:rPr>
          <w:rStyle w:val="Emphasis"/>
          <w:rFonts w:cs="Calibri"/>
          <w:i w:val="0"/>
          <w:iCs w:val="0"/>
          <w:color w:val="000000" w:themeColor="text1"/>
          <w:sz w:val="20"/>
          <w:szCs w:val="20"/>
        </w:rPr>
      </w:pPr>
      <w:r w:rsidRPr="006720E4">
        <w:rPr>
          <w:rFonts w:cs="Calibri"/>
          <w:sz w:val="20"/>
          <w:szCs w:val="20"/>
        </w:rPr>
        <w:t xml:space="preserve">OAIC. 2019. The </w:t>
      </w:r>
      <w:r w:rsidRPr="006720E4">
        <w:rPr>
          <w:rStyle w:val="Emphasis"/>
          <w:rFonts w:cs="Calibri"/>
          <w:i w:val="0"/>
          <w:iCs w:val="0"/>
          <w:color w:val="000000" w:themeColor="text1"/>
          <w:sz w:val="20"/>
          <w:szCs w:val="20"/>
        </w:rPr>
        <w:t xml:space="preserve">Australian Privacy Principles Guidelines. </w:t>
      </w:r>
      <w:hyperlink r:id="rId174" w:history="1">
        <w:r w:rsidRPr="006720E4">
          <w:rPr>
            <w:rStyle w:val="Hyperlink"/>
            <w:rFonts w:cs="Calibri"/>
            <w:sz w:val="20"/>
            <w:szCs w:val="20"/>
          </w:rPr>
          <w:t>https://www.oaic.gov.au/privacy/australian-privacy-principles-guidelines</w:t>
        </w:r>
      </w:hyperlink>
    </w:p>
    <w:p w14:paraId="1B49399B" w14:textId="787C1BF9" w:rsidR="006C6EBA" w:rsidRPr="006720E4" w:rsidRDefault="006C6EBA" w:rsidP="00C3783C">
      <w:pPr>
        <w:pStyle w:val="NormalWeb"/>
        <w:numPr>
          <w:ilvl w:val="0"/>
          <w:numId w:val="80"/>
        </w:numPr>
        <w:spacing w:before="0" w:beforeAutospacing="0" w:after="120" w:afterAutospacing="0"/>
        <w:rPr>
          <w:rFonts w:cs="Calibri"/>
          <w:sz w:val="20"/>
          <w:szCs w:val="20"/>
        </w:rPr>
      </w:pPr>
      <w:r w:rsidRPr="006720E4">
        <w:rPr>
          <w:rFonts w:cs="Calibri"/>
          <w:sz w:val="20"/>
          <w:szCs w:val="20"/>
        </w:rPr>
        <w:t>Thiessen C, Kim YA, Formica R, Bia M, Kulkarni S. Opting out: Confidentiality and availability of an ‘</w:t>
      </w:r>
      <w:proofErr w:type="spellStart"/>
      <w:r w:rsidRPr="006720E4">
        <w:rPr>
          <w:rFonts w:cs="Calibri"/>
          <w:sz w:val="20"/>
          <w:szCs w:val="20"/>
        </w:rPr>
        <w:t>alibi’for</w:t>
      </w:r>
      <w:proofErr w:type="spellEnd"/>
      <w:r w:rsidRPr="006720E4">
        <w:rPr>
          <w:rFonts w:cs="Calibri"/>
          <w:sz w:val="20"/>
          <w:szCs w:val="20"/>
        </w:rPr>
        <w:t xml:space="preserve"> potential living kidney donors in the USA. Journal of Medical Ethics. 2015 Jul 1;41(7):506-10.</w:t>
      </w:r>
    </w:p>
    <w:p w14:paraId="6333AE2C" w14:textId="55D97AD6" w:rsidR="006C6EBA" w:rsidRPr="006720E4" w:rsidRDefault="006C6EBA" w:rsidP="00C3783C">
      <w:pPr>
        <w:pStyle w:val="NormalWeb"/>
        <w:numPr>
          <w:ilvl w:val="0"/>
          <w:numId w:val="80"/>
        </w:numPr>
        <w:spacing w:before="0" w:beforeAutospacing="0" w:after="120" w:afterAutospacing="0"/>
        <w:rPr>
          <w:rFonts w:cs="Calibri"/>
          <w:sz w:val="20"/>
          <w:szCs w:val="20"/>
        </w:rPr>
      </w:pPr>
      <w:proofErr w:type="spellStart"/>
      <w:r w:rsidRPr="006720E4">
        <w:rPr>
          <w:rFonts w:cs="Calibri"/>
          <w:sz w:val="20"/>
          <w:szCs w:val="20"/>
        </w:rPr>
        <w:t>Meggiolaro</w:t>
      </w:r>
      <w:proofErr w:type="spellEnd"/>
      <w:r w:rsidRPr="006720E4">
        <w:rPr>
          <w:rFonts w:cs="Calibri"/>
          <w:sz w:val="20"/>
          <w:szCs w:val="20"/>
        </w:rPr>
        <w:t xml:space="preserve"> N, Barlow-Stewart K, Dunlop K, Newson AJ, Fleming J. Disclosure to genetic relatives without consent–Australian genetic professionals’ awareness of the health privacy law. BMC medical ethics. 2020 Dec 1;21(1):13. </w:t>
      </w:r>
      <w:hyperlink r:id="rId175" w:history="1">
        <w:r w:rsidRPr="006720E4">
          <w:rPr>
            <w:rStyle w:val="Hyperlink"/>
            <w:rFonts w:cs="Calibri"/>
            <w:sz w:val="20"/>
            <w:szCs w:val="20"/>
          </w:rPr>
          <w:t>https://bmcmedethics.biomedcentral.com/articles/10.1186/s12910-020-0451-1</w:t>
        </w:r>
      </w:hyperlink>
    </w:p>
    <w:p w14:paraId="50ADB708"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Misattributed paternity</w:t>
      </w:r>
    </w:p>
    <w:p w14:paraId="3353A112" w14:textId="77777777" w:rsidR="006C6EBA" w:rsidRPr="006720E4" w:rsidRDefault="006C6EBA" w:rsidP="00C3783C">
      <w:pPr>
        <w:pStyle w:val="ListParagraph"/>
        <w:numPr>
          <w:ilvl w:val="0"/>
          <w:numId w:val="93"/>
        </w:numPr>
        <w:spacing w:after="120"/>
        <w:contextualSpacing w:val="0"/>
        <w:rPr>
          <w:rFonts w:cs="Calibri"/>
          <w:sz w:val="20"/>
          <w:szCs w:val="20"/>
        </w:rPr>
      </w:pPr>
      <w:r w:rsidRPr="006720E4">
        <w:rPr>
          <w:rFonts w:cs="Calibri"/>
          <w:sz w:val="20"/>
          <w:szCs w:val="20"/>
        </w:rPr>
        <w:t xml:space="preserve">Freeman MA, Parker LS. Answers to Questions that Weren’t Asked: The Ethical Complexities of Identifying Misattributed Paternity During the Transplant Evaluation Process. </w:t>
      </w:r>
      <w:proofErr w:type="spellStart"/>
      <w:r w:rsidRPr="006720E4">
        <w:rPr>
          <w:rFonts w:cs="Calibri"/>
          <w:sz w:val="20"/>
          <w:szCs w:val="20"/>
        </w:rPr>
        <w:t>InEthical</w:t>
      </w:r>
      <w:proofErr w:type="spellEnd"/>
      <w:r w:rsidRPr="006720E4">
        <w:rPr>
          <w:rFonts w:cs="Calibri"/>
          <w:sz w:val="20"/>
          <w:szCs w:val="20"/>
        </w:rPr>
        <w:t xml:space="preserve"> Issues in </w:t>
      </w:r>
      <w:proofErr w:type="spellStart"/>
      <w:r w:rsidRPr="006720E4">
        <w:rPr>
          <w:rFonts w:cs="Calibri"/>
          <w:sz w:val="20"/>
          <w:szCs w:val="20"/>
        </w:rPr>
        <w:t>Pediatric</w:t>
      </w:r>
      <w:proofErr w:type="spellEnd"/>
      <w:r w:rsidRPr="006720E4">
        <w:rPr>
          <w:rFonts w:cs="Calibri"/>
          <w:sz w:val="20"/>
          <w:szCs w:val="20"/>
        </w:rPr>
        <w:t xml:space="preserve"> Organ Transplantation 2016 (pp. 43-59). Springer, Cham.</w:t>
      </w:r>
    </w:p>
    <w:p w14:paraId="2A571059" w14:textId="77777777" w:rsidR="006C6EBA" w:rsidRPr="006720E4" w:rsidRDefault="006C6EBA" w:rsidP="00C3783C">
      <w:pPr>
        <w:pStyle w:val="ListParagraph"/>
        <w:numPr>
          <w:ilvl w:val="0"/>
          <w:numId w:val="93"/>
        </w:numPr>
        <w:spacing w:after="120"/>
        <w:contextualSpacing w:val="0"/>
        <w:rPr>
          <w:rFonts w:cs="Calibri"/>
          <w:sz w:val="20"/>
          <w:szCs w:val="20"/>
        </w:rPr>
      </w:pPr>
      <w:r w:rsidRPr="006720E4">
        <w:rPr>
          <w:rFonts w:cs="Calibri"/>
          <w:sz w:val="20"/>
          <w:szCs w:val="20"/>
        </w:rPr>
        <w:t>Jacobson S, Eggert J, Deluca J, Speckhart D. Misattributed paternity in hematopoietic stem cell transplantation: The role of the healthcare provider. Clinical journal of oncology nursing. 2015 Apr 1;19(2):218-21.</w:t>
      </w:r>
    </w:p>
    <w:p w14:paraId="691AF3E1" w14:textId="26791D24" w:rsidR="006C6EBA" w:rsidRPr="006720E4" w:rsidRDefault="006C6EBA" w:rsidP="00C3783C">
      <w:pPr>
        <w:pStyle w:val="NormalWeb"/>
        <w:numPr>
          <w:ilvl w:val="0"/>
          <w:numId w:val="93"/>
        </w:numPr>
        <w:spacing w:before="0" w:beforeAutospacing="0" w:after="120" w:afterAutospacing="0"/>
        <w:rPr>
          <w:rFonts w:cs="Calibri"/>
          <w:sz w:val="20"/>
          <w:szCs w:val="20"/>
        </w:rPr>
      </w:pPr>
      <w:r w:rsidRPr="006720E4">
        <w:rPr>
          <w:rFonts w:cs="Calibri"/>
          <w:sz w:val="20"/>
          <w:szCs w:val="20"/>
        </w:rPr>
        <w:t xml:space="preserve">Young A, Kim SJ, Gibney EM, Parikh CR, </w:t>
      </w:r>
      <w:proofErr w:type="spellStart"/>
      <w:r w:rsidRPr="006720E4">
        <w:rPr>
          <w:rFonts w:cs="Calibri"/>
          <w:sz w:val="20"/>
          <w:szCs w:val="20"/>
        </w:rPr>
        <w:t>Cuerden</w:t>
      </w:r>
      <w:proofErr w:type="spellEnd"/>
      <w:r w:rsidRPr="006720E4">
        <w:rPr>
          <w:rFonts w:cs="Calibri"/>
          <w:sz w:val="20"/>
          <w:szCs w:val="20"/>
        </w:rPr>
        <w:t xml:space="preserve"> MS, Horvat LD, </w:t>
      </w:r>
      <w:proofErr w:type="spellStart"/>
      <w:r w:rsidRPr="006720E4">
        <w:rPr>
          <w:rFonts w:cs="Calibri"/>
          <w:sz w:val="20"/>
          <w:szCs w:val="20"/>
        </w:rPr>
        <w:t>Hizo</w:t>
      </w:r>
      <w:proofErr w:type="spellEnd"/>
      <w:r w:rsidRPr="006720E4">
        <w:rPr>
          <w:rFonts w:cs="Calibri"/>
          <w:sz w:val="20"/>
          <w:szCs w:val="20"/>
        </w:rPr>
        <w:t>-Abes P, Garg AX, Donor Nephrectomy Outcomes Research (DONOR) Network. Discovering misattributed paternity in living kidney donation: prevalence, preference, and practice. Transplantation. 2009 May 27;87(10):1429-35.</w:t>
      </w:r>
    </w:p>
    <w:p w14:paraId="4A0AFEDE" w14:textId="0F5FBDE1"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Ethical governance of donation and transplantation registries</w:t>
      </w:r>
    </w:p>
    <w:p w14:paraId="22E0555B" w14:textId="77777777" w:rsidR="006C6EBA" w:rsidRPr="006720E4" w:rsidRDefault="006C6EBA" w:rsidP="00C3783C">
      <w:pPr>
        <w:pStyle w:val="NormalWeb"/>
        <w:numPr>
          <w:ilvl w:val="0"/>
          <w:numId w:val="79"/>
        </w:numPr>
        <w:spacing w:before="0" w:beforeAutospacing="0" w:after="120" w:afterAutospacing="0"/>
        <w:rPr>
          <w:rFonts w:cs="Calibri"/>
          <w:sz w:val="20"/>
          <w:szCs w:val="20"/>
        </w:rPr>
      </w:pPr>
      <w:r w:rsidRPr="006720E4">
        <w:rPr>
          <w:rFonts w:cs="Calibri"/>
          <w:sz w:val="20"/>
          <w:szCs w:val="20"/>
        </w:rPr>
        <w:t xml:space="preserve">Australian Commission on Safety and Quality in Healthcare. 2014. Framework for Australian Clinical Quality Registries. </w:t>
      </w:r>
      <w:hyperlink r:id="rId176" w:history="1">
        <w:r w:rsidRPr="006720E4">
          <w:rPr>
            <w:rStyle w:val="Hyperlink"/>
            <w:rFonts w:cs="Calibri"/>
            <w:sz w:val="20"/>
            <w:szCs w:val="20"/>
          </w:rPr>
          <w:t>https://www.safetyandquality.gov.au/sites/default/files/migrated/Framework-for-Australian-Clinical-Quality-Registries.pdf</w:t>
        </w:r>
      </w:hyperlink>
    </w:p>
    <w:p w14:paraId="13373B35" w14:textId="6704255F" w:rsidR="006C6EBA" w:rsidRPr="006720E4" w:rsidRDefault="006C6EBA" w:rsidP="00C3783C">
      <w:pPr>
        <w:pStyle w:val="NormalWeb"/>
        <w:numPr>
          <w:ilvl w:val="0"/>
          <w:numId w:val="79"/>
        </w:numPr>
        <w:spacing w:before="0" w:beforeAutospacing="0" w:after="120" w:afterAutospacing="0"/>
        <w:rPr>
          <w:rFonts w:cs="Calibri"/>
          <w:sz w:val="20"/>
          <w:szCs w:val="20"/>
        </w:rPr>
      </w:pPr>
      <w:r w:rsidRPr="006720E4">
        <w:rPr>
          <w:rFonts w:cs="Calibri"/>
          <w:sz w:val="20"/>
          <w:szCs w:val="20"/>
        </w:rPr>
        <w:t xml:space="preserve">WMDA. 2021. International standards unrelated haematopoietic stem cell donor registries. </w:t>
      </w:r>
      <w:hyperlink r:id="rId177" w:history="1">
        <w:r w:rsidRPr="006720E4">
          <w:rPr>
            <w:rStyle w:val="Hyperlink"/>
            <w:rFonts w:cs="Calibri"/>
            <w:sz w:val="20"/>
            <w:szCs w:val="20"/>
          </w:rPr>
          <w:t>https://wmda.info/wp-content/uploads/2021/01/WMDA-2020-Standards_AM1_Jan2021-1.pdf</w:t>
        </w:r>
      </w:hyperlink>
    </w:p>
    <w:p w14:paraId="48E72E1B" w14:textId="77777777" w:rsidR="006C6EBA" w:rsidRPr="006720E4" w:rsidRDefault="006C6EBA" w:rsidP="00C3783C">
      <w:pPr>
        <w:pStyle w:val="NormalWeb"/>
        <w:numPr>
          <w:ilvl w:val="0"/>
          <w:numId w:val="79"/>
        </w:numPr>
        <w:spacing w:before="0" w:beforeAutospacing="0" w:after="120" w:afterAutospacing="0"/>
        <w:rPr>
          <w:rFonts w:cs="Calibri"/>
          <w:sz w:val="20"/>
          <w:szCs w:val="20"/>
        </w:rPr>
      </w:pPr>
      <w:proofErr w:type="spellStart"/>
      <w:r w:rsidRPr="006720E4">
        <w:rPr>
          <w:rFonts w:cs="Calibri"/>
          <w:sz w:val="20"/>
          <w:szCs w:val="20"/>
        </w:rPr>
        <w:t>Maiam</w:t>
      </w:r>
      <w:proofErr w:type="spellEnd"/>
      <w:r w:rsidRPr="006720E4">
        <w:rPr>
          <w:rFonts w:cs="Calibri"/>
          <w:sz w:val="20"/>
          <w:szCs w:val="20"/>
        </w:rPr>
        <w:t xml:space="preserve"> </w:t>
      </w:r>
      <w:proofErr w:type="spellStart"/>
      <w:r w:rsidRPr="006720E4">
        <w:rPr>
          <w:rFonts w:cs="Calibri"/>
          <w:sz w:val="20"/>
          <w:szCs w:val="20"/>
        </w:rPr>
        <w:t>Nayri</w:t>
      </w:r>
      <w:proofErr w:type="spellEnd"/>
      <w:r w:rsidRPr="006720E4">
        <w:rPr>
          <w:rFonts w:cs="Calibri"/>
          <w:sz w:val="20"/>
          <w:szCs w:val="20"/>
        </w:rPr>
        <w:t xml:space="preserve"> </w:t>
      </w:r>
      <w:proofErr w:type="spellStart"/>
      <w:r w:rsidRPr="006720E4">
        <w:rPr>
          <w:rFonts w:cs="Calibri"/>
          <w:sz w:val="20"/>
          <w:szCs w:val="20"/>
        </w:rPr>
        <w:t>Wingara</w:t>
      </w:r>
      <w:proofErr w:type="spellEnd"/>
      <w:r w:rsidRPr="006720E4">
        <w:rPr>
          <w:rFonts w:cs="Calibri"/>
          <w:sz w:val="20"/>
          <w:szCs w:val="20"/>
        </w:rPr>
        <w:t xml:space="preserve">. Various resources on Indigenous Data Sovereignty. Available at: </w:t>
      </w:r>
      <w:hyperlink r:id="rId178" w:history="1">
        <w:r w:rsidRPr="006720E4">
          <w:rPr>
            <w:rStyle w:val="Hyperlink"/>
            <w:rFonts w:cs="Calibri"/>
            <w:sz w:val="20"/>
            <w:szCs w:val="20"/>
          </w:rPr>
          <w:t>https://www.maiamnayriwingara.org/news-and-updates</w:t>
        </w:r>
      </w:hyperlink>
    </w:p>
    <w:p w14:paraId="67E09115"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Anonymity in non-directed donation</w:t>
      </w:r>
    </w:p>
    <w:p w14:paraId="2D2AB337" w14:textId="77777777" w:rsidR="006C6EBA" w:rsidRPr="006720E4" w:rsidRDefault="006C6EBA" w:rsidP="00C3783C">
      <w:pPr>
        <w:pStyle w:val="ListParagraph"/>
        <w:numPr>
          <w:ilvl w:val="0"/>
          <w:numId w:val="78"/>
        </w:numPr>
        <w:spacing w:after="120"/>
        <w:contextualSpacing w:val="0"/>
        <w:rPr>
          <w:rFonts w:cs="Calibri"/>
          <w:sz w:val="20"/>
          <w:szCs w:val="20"/>
        </w:rPr>
      </w:pPr>
      <w:r w:rsidRPr="006720E4">
        <w:rPr>
          <w:rFonts w:cs="Calibri"/>
          <w:sz w:val="20"/>
          <w:szCs w:val="20"/>
        </w:rPr>
        <w:t xml:space="preserve">DonateLife. 2017. Report on the community consultative forum - Contact between donor families and transplant recipients. </w:t>
      </w:r>
      <w:hyperlink r:id="rId179" w:history="1">
        <w:r w:rsidRPr="006720E4">
          <w:rPr>
            <w:rStyle w:val="Hyperlink"/>
            <w:rFonts w:cs="Calibri"/>
            <w:sz w:val="20"/>
            <w:szCs w:val="20"/>
          </w:rPr>
          <w:t>https://donatelife.gov.au/sites/default/files/Report%20on%20the%20community%20consultative%20forum.pdf</w:t>
        </w:r>
      </w:hyperlink>
      <w:r w:rsidRPr="006720E4">
        <w:rPr>
          <w:rFonts w:cs="Calibri"/>
          <w:sz w:val="20"/>
          <w:szCs w:val="20"/>
        </w:rPr>
        <w:t xml:space="preserve"> </w:t>
      </w:r>
    </w:p>
    <w:p w14:paraId="5A29FDA0" w14:textId="251A960A" w:rsidR="006C6EBA" w:rsidRPr="006720E4" w:rsidRDefault="006C6EBA" w:rsidP="00C3783C">
      <w:pPr>
        <w:pStyle w:val="ListParagraph"/>
        <w:numPr>
          <w:ilvl w:val="0"/>
          <w:numId w:val="78"/>
        </w:numPr>
        <w:spacing w:after="120"/>
        <w:contextualSpacing w:val="0"/>
        <w:rPr>
          <w:rFonts w:cs="Calibri"/>
          <w:sz w:val="20"/>
          <w:szCs w:val="20"/>
        </w:rPr>
      </w:pPr>
      <w:r w:rsidRPr="006720E4">
        <w:rPr>
          <w:rFonts w:cs="Calibri"/>
          <w:sz w:val="20"/>
          <w:szCs w:val="20"/>
        </w:rPr>
        <w:t xml:space="preserve">DonateLife. Information for donor families and transplant recipients regarding direct contact. </w:t>
      </w:r>
      <w:hyperlink r:id="rId180" w:history="1">
        <w:r w:rsidRPr="006720E4">
          <w:rPr>
            <w:rStyle w:val="Hyperlink"/>
            <w:rFonts w:cs="Calibri"/>
            <w:sz w:val="20"/>
            <w:szCs w:val="20"/>
          </w:rPr>
          <w:t>https://donatelife.gov.au/sites/default/files/Information%20for%20donor%20families%20and%20transplant%20recipients.pdf</w:t>
        </w:r>
      </w:hyperlink>
      <w:r w:rsidRPr="006720E4">
        <w:rPr>
          <w:rFonts w:cs="Calibri"/>
          <w:sz w:val="20"/>
          <w:szCs w:val="20"/>
        </w:rPr>
        <w:t xml:space="preserve"> </w:t>
      </w:r>
    </w:p>
    <w:p w14:paraId="17F3C941" w14:textId="39A5571C" w:rsidR="006C6EBA" w:rsidRPr="006720E4" w:rsidRDefault="006C6EBA" w:rsidP="00C3783C">
      <w:pPr>
        <w:pStyle w:val="ListParagraph"/>
        <w:numPr>
          <w:ilvl w:val="0"/>
          <w:numId w:val="78"/>
        </w:numPr>
        <w:spacing w:after="120"/>
        <w:contextualSpacing w:val="0"/>
        <w:rPr>
          <w:rFonts w:cs="Calibri"/>
          <w:sz w:val="20"/>
          <w:szCs w:val="20"/>
        </w:rPr>
      </w:pPr>
      <w:r w:rsidRPr="006720E4">
        <w:rPr>
          <w:rFonts w:cs="Calibri"/>
          <w:sz w:val="20"/>
          <w:szCs w:val="20"/>
        </w:rPr>
        <w:t xml:space="preserve">Pronk MC, </w:t>
      </w:r>
      <w:proofErr w:type="spellStart"/>
      <w:r w:rsidRPr="006720E4">
        <w:rPr>
          <w:rFonts w:cs="Calibri"/>
          <w:sz w:val="20"/>
          <w:szCs w:val="20"/>
        </w:rPr>
        <w:t>Slaats</w:t>
      </w:r>
      <w:proofErr w:type="spellEnd"/>
      <w:r w:rsidRPr="006720E4">
        <w:rPr>
          <w:rFonts w:cs="Calibri"/>
          <w:sz w:val="20"/>
          <w:szCs w:val="20"/>
        </w:rPr>
        <w:t xml:space="preserve"> D, van der Pant KA, Vervelde J, </w:t>
      </w:r>
      <w:proofErr w:type="spellStart"/>
      <w:r w:rsidRPr="006720E4">
        <w:rPr>
          <w:rFonts w:cs="Calibri"/>
          <w:sz w:val="20"/>
          <w:szCs w:val="20"/>
        </w:rPr>
        <w:t>Dooper</w:t>
      </w:r>
      <w:proofErr w:type="spellEnd"/>
      <w:r w:rsidRPr="006720E4">
        <w:rPr>
          <w:rFonts w:cs="Calibri"/>
          <w:sz w:val="20"/>
          <w:szCs w:val="20"/>
        </w:rPr>
        <w:t xml:space="preserve"> IM, Dor FJ, Weimar W, van de </w:t>
      </w:r>
      <w:proofErr w:type="spellStart"/>
      <w:r w:rsidRPr="006720E4">
        <w:rPr>
          <w:rFonts w:cs="Calibri"/>
          <w:sz w:val="20"/>
          <w:szCs w:val="20"/>
        </w:rPr>
        <w:t>Wetering</w:t>
      </w:r>
      <w:proofErr w:type="spellEnd"/>
      <w:r w:rsidRPr="006720E4">
        <w:rPr>
          <w:rFonts w:cs="Calibri"/>
          <w:sz w:val="20"/>
          <w:szCs w:val="20"/>
        </w:rPr>
        <w:t xml:space="preserve"> J, Zuidema WC, Massey EK. Toward a conditional approach to anonymity? An explorative </w:t>
      </w:r>
      <w:proofErr w:type="spellStart"/>
      <w:r w:rsidRPr="006720E4">
        <w:rPr>
          <w:rFonts w:cs="Calibri"/>
          <w:sz w:val="20"/>
          <w:szCs w:val="20"/>
        </w:rPr>
        <w:t>multicenter</w:t>
      </w:r>
      <w:proofErr w:type="spellEnd"/>
      <w:r w:rsidRPr="006720E4">
        <w:rPr>
          <w:rFonts w:cs="Calibri"/>
          <w:sz w:val="20"/>
          <w:szCs w:val="20"/>
        </w:rPr>
        <w:t xml:space="preserve"> </w:t>
      </w:r>
      <w:r w:rsidRPr="006720E4">
        <w:rPr>
          <w:rFonts w:cs="Calibri"/>
          <w:sz w:val="20"/>
          <w:szCs w:val="20"/>
        </w:rPr>
        <w:lastRenderedPageBreak/>
        <w:t>longitudinal study among anonymous living kidney donors and recipients. Transplant International. 2017 Dec;30(12):1243-52.</w:t>
      </w:r>
    </w:p>
    <w:p w14:paraId="7E7C8C30" w14:textId="77777777" w:rsidR="006C6EBA" w:rsidRPr="006720E4" w:rsidRDefault="006C6EBA" w:rsidP="00C3783C">
      <w:pPr>
        <w:pStyle w:val="ListParagraph"/>
        <w:numPr>
          <w:ilvl w:val="0"/>
          <w:numId w:val="78"/>
        </w:numPr>
        <w:spacing w:after="120"/>
        <w:contextualSpacing w:val="0"/>
        <w:rPr>
          <w:rFonts w:cs="Calibri"/>
          <w:sz w:val="20"/>
          <w:szCs w:val="20"/>
        </w:rPr>
      </w:pPr>
      <w:r w:rsidRPr="006720E4">
        <w:rPr>
          <w:rFonts w:cs="Calibri"/>
          <w:sz w:val="20"/>
          <w:szCs w:val="20"/>
        </w:rPr>
        <w:t xml:space="preserve">Petrini C, Riva L, Floridia G, </w:t>
      </w:r>
      <w:proofErr w:type="spellStart"/>
      <w:r w:rsidRPr="006720E4">
        <w:rPr>
          <w:rFonts w:cs="Calibri"/>
          <w:sz w:val="20"/>
          <w:szCs w:val="20"/>
        </w:rPr>
        <w:t>Mannelli</w:t>
      </w:r>
      <w:proofErr w:type="spellEnd"/>
      <w:r w:rsidRPr="006720E4">
        <w:rPr>
          <w:rFonts w:cs="Calibri"/>
          <w:sz w:val="20"/>
          <w:szCs w:val="20"/>
        </w:rPr>
        <w:t xml:space="preserve"> C. Anonymity and Organ Donation: Ethical and Policy Implications After the Opinion Released by the Italian Committee for Bioethics. Transplantation proceedings 2020; 52(5):1525-7.</w:t>
      </w:r>
    </w:p>
    <w:p w14:paraId="0B1B1BE1" w14:textId="77777777" w:rsidR="006C6EBA" w:rsidRPr="006720E4" w:rsidRDefault="006C6EBA" w:rsidP="00C3783C">
      <w:pPr>
        <w:pStyle w:val="ListParagraph"/>
        <w:numPr>
          <w:ilvl w:val="0"/>
          <w:numId w:val="78"/>
        </w:numPr>
        <w:spacing w:after="120"/>
        <w:contextualSpacing w:val="0"/>
        <w:rPr>
          <w:rFonts w:cs="Calibri"/>
          <w:sz w:val="20"/>
          <w:szCs w:val="20"/>
        </w:rPr>
      </w:pPr>
      <w:r w:rsidRPr="00A34343">
        <w:rPr>
          <w:rFonts w:cs="Calibri"/>
          <w:sz w:val="20"/>
          <w:szCs w:val="20"/>
          <w:lang w:val="fr-FR"/>
        </w:rPr>
        <w:t xml:space="preserve">De Santo NG, </w:t>
      </w:r>
      <w:proofErr w:type="spellStart"/>
      <w:r w:rsidRPr="00A34343">
        <w:rPr>
          <w:rFonts w:cs="Calibri"/>
          <w:sz w:val="20"/>
          <w:szCs w:val="20"/>
          <w:lang w:val="fr-FR"/>
        </w:rPr>
        <w:t>Cirillo</w:t>
      </w:r>
      <w:proofErr w:type="spellEnd"/>
      <w:r w:rsidRPr="00A34343">
        <w:rPr>
          <w:rFonts w:cs="Calibri"/>
          <w:sz w:val="20"/>
          <w:szCs w:val="20"/>
          <w:lang w:val="fr-FR"/>
        </w:rPr>
        <w:t xml:space="preserve"> M, De Santo LS, et al. </w:t>
      </w:r>
      <w:r w:rsidRPr="006720E4">
        <w:rPr>
          <w:rFonts w:cs="Calibri"/>
          <w:sz w:val="20"/>
          <w:szCs w:val="20"/>
        </w:rPr>
        <w:t>Legislative proposal in Italy to facilitate contacts between deceased organ donor families and transplant recipients. Journal of Nephrology. 2020 Dec;33(6):1333-42.</w:t>
      </w:r>
    </w:p>
    <w:p w14:paraId="2A0945C1" w14:textId="77777777" w:rsidR="006C6EBA" w:rsidRPr="006720E4" w:rsidRDefault="006C6EBA" w:rsidP="00C3783C">
      <w:pPr>
        <w:pStyle w:val="ListParagraph"/>
        <w:numPr>
          <w:ilvl w:val="0"/>
          <w:numId w:val="78"/>
        </w:numPr>
        <w:spacing w:after="120"/>
        <w:contextualSpacing w:val="0"/>
        <w:rPr>
          <w:rFonts w:cs="Calibri"/>
          <w:sz w:val="20"/>
          <w:szCs w:val="20"/>
        </w:rPr>
      </w:pPr>
      <w:r w:rsidRPr="006720E4">
        <w:rPr>
          <w:rFonts w:cs="Calibri"/>
          <w:sz w:val="20"/>
          <w:szCs w:val="20"/>
        </w:rPr>
        <w:t xml:space="preserve">Le </w:t>
      </w:r>
      <w:proofErr w:type="spellStart"/>
      <w:r w:rsidRPr="006720E4">
        <w:rPr>
          <w:rFonts w:cs="Calibri"/>
          <w:sz w:val="20"/>
          <w:szCs w:val="20"/>
        </w:rPr>
        <w:t>Clainche</w:t>
      </w:r>
      <w:proofErr w:type="spellEnd"/>
      <w:r w:rsidRPr="006720E4">
        <w:rPr>
          <w:rFonts w:cs="Calibri"/>
          <w:sz w:val="20"/>
          <w:szCs w:val="20"/>
        </w:rPr>
        <w:t xml:space="preserve">-Piel M. How the face became an anonymous organ. Surgeons and transplant patients struggling with the anonymous donation policy in France. </w:t>
      </w:r>
      <w:proofErr w:type="spellStart"/>
      <w:r w:rsidRPr="006720E4">
        <w:rPr>
          <w:rFonts w:cs="Calibri"/>
          <w:sz w:val="20"/>
          <w:szCs w:val="20"/>
        </w:rPr>
        <w:t>Sociologie</w:t>
      </w:r>
      <w:proofErr w:type="spellEnd"/>
      <w:r w:rsidRPr="006720E4">
        <w:rPr>
          <w:rFonts w:cs="Calibri"/>
          <w:sz w:val="20"/>
          <w:szCs w:val="20"/>
        </w:rPr>
        <w:t>. 2020;11(2):149-66.</w:t>
      </w:r>
      <w:bookmarkStart w:id="5763" w:name="_Toc70328749"/>
      <w:bookmarkStart w:id="5764" w:name="_Toc70333979"/>
    </w:p>
    <w:p w14:paraId="40C5CDBD" w14:textId="170B981A" w:rsidR="006C6EBA" w:rsidRPr="006720E4" w:rsidRDefault="006C6EBA" w:rsidP="00C3783C">
      <w:pPr>
        <w:pStyle w:val="ListParagraph"/>
        <w:numPr>
          <w:ilvl w:val="0"/>
          <w:numId w:val="78"/>
        </w:numPr>
        <w:spacing w:after="120"/>
        <w:contextualSpacing w:val="0"/>
        <w:rPr>
          <w:rFonts w:cs="Calibri"/>
          <w:sz w:val="20"/>
          <w:szCs w:val="20"/>
        </w:rPr>
      </w:pPr>
      <w:r w:rsidRPr="006720E4">
        <w:rPr>
          <w:rFonts w:cs="Calibri"/>
          <w:sz w:val="20"/>
          <w:szCs w:val="20"/>
        </w:rPr>
        <w:t>National Kidney Foundation. National Communication guidelines Regarding Communication Among: Donor Families, Transplant Candidates/Recipients, Health Care Professionals</w:t>
      </w:r>
      <w:bookmarkEnd w:id="5763"/>
      <w:bookmarkEnd w:id="5764"/>
      <w:r w:rsidRPr="006720E4">
        <w:rPr>
          <w:rFonts w:cs="Calibri"/>
          <w:sz w:val="20"/>
          <w:szCs w:val="20"/>
        </w:rPr>
        <w:t xml:space="preserve">. </w:t>
      </w:r>
      <w:hyperlink r:id="rId181" w:history="1">
        <w:r w:rsidRPr="006720E4">
          <w:rPr>
            <w:rStyle w:val="Hyperlink"/>
            <w:rFonts w:cs="Calibri"/>
            <w:sz w:val="20"/>
            <w:szCs w:val="20"/>
          </w:rPr>
          <w:t>https://www.kidney.org/transplantation/donorfamilies/infoPolicyGuidelines</w:t>
        </w:r>
      </w:hyperlink>
      <w:r w:rsidRPr="006720E4">
        <w:rPr>
          <w:rFonts w:cs="Calibri"/>
          <w:sz w:val="20"/>
          <w:szCs w:val="20"/>
        </w:rPr>
        <w:t xml:space="preserve"> </w:t>
      </w:r>
    </w:p>
    <w:p w14:paraId="7F729037" w14:textId="57D75B79" w:rsidR="006C6EBA" w:rsidRPr="006720E4" w:rsidRDefault="006C6EBA" w:rsidP="00EA22AE">
      <w:pPr>
        <w:pStyle w:val="Appendix3"/>
        <w:numPr>
          <w:ilvl w:val="0"/>
          <w:numId w:val="0"/>
        </w:numPr>
        <w:spacing w:after="120"/>
        <w:ind w:left="360"/>
      </w:pPr>
      <w:bookmarkStart w:id="5765" w:name="_Toc79406562"/>
      <w:bookmarkStart w:id="5766" w:name="_Toc82623543"/>
      <w:bookmarkStart w:id="5767" w:name="_Toc82773800"/>
      <w:bookmarkStart w:id="5768" w:name="_Toc82774152"/>
      <w:bookmarkStart w:id="5769" w:name="_Toc128314268"/>
      <w:bookmarkStart w:id="5770" w:name="_Toc135131509"/>
      <w:bookmarkStart w:id="5771" w:name="Ch7Resources"/>
      <w:r w:rsidRPr="006720E4">
        <w:t xml:space="preserve">Chapter </w:t>
      </w:r>
      <w:r w:rsidR="00A83E9D">
        <w:t>8</w:t>
      </w:r>
      <w:r w:rsidRPr="006720E4">
        <w:t xml:space="preserve"> Resources</w:t>
      </w:r>
      <w:bookmarkEnd w:id="5765"/>
      <w:bookmarkEnd w:id="5766"/>
      <w:bookmarkEnd w:id="5767"/>
      <w:bookmarkEnd w:id="5768"/>
      <w:bookmarkEnd w:id="5769"/>
      <w:bookmarkEnd w:id="5770"/>
    </w:p>
    <w:bookmarkEnd w:id="5771"/>
    <w:p w14:paraId="691395E6"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Principles used in resource allocation</w:t>
      </w:r>
    </w:p>
    <w:p w14:paraId="2F6A8594" w14:textId="77777777" w:rsidR="006C6EBA" w:rsidRPr="006720E4" w:rsidRDefault="006C6EBA" w:rsidP="00C3783C">
      <w:pPr>
        <w:pStyle w:val="ListParagraph"/>
        <w:numPr>
          <w:ilvl w:val="0"/>
          <w:numId w:val="83"/>
        </w:numPr>
        <w:spacing w:after="120"/>
        <w:contextualSpacing w:val="0"/>
        <w:rPr>
          <w:rFonts w:cs="Calibri"/>
          <w:sz w:val="20"/>
          <w:szCs w:val="20"/>
        </w:rPr>
      </w:pPr>
      <w:r w:rsidRPr="006720E4">
        <w:rPr>
          <w:rFonts w:cs="Calibri"/>
          <w:sz w:val="20"/>
          <w:szCs w:val="20"/>
        </w:rPr>
        <w:t>Persad G, Wertheimer A, Emanuel EJ. Principles for allocation of scarce medical interventions. The Lancet. 2009 Jan 31;373(9661):423-31.</w:t>
      </w:r>
    </w:p>
    <w:p w14:paraId="24933D42" w14:textId="32D6E980"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 xml:space="preserve">Equity in access to transplantation </w:t>
      </w:r>
    </w:p>
    <w:p w14:paraId="3FA1D32F" w14:textId="77777777" w:rsidR="006C6EBA" w:rsidRPr="006720E4" w:rsidRDefault="006C6EBA" w:rsidP="00C3783C">
      <w:pPr>
        <w:pStyle w:val="NormalWeb"/>
        <w:numPr>
          <w:ilvl w:val="0"/>
          <w:numId w:val="82"/>
        </w:numPr>
        <w:spacing w:before="0" w:beforeAutospacing="0" w:after="120" w:afterAutospacing="0"/>
        <w:rPr>
          <w:rFonts w:cs="Calibri"/>
          <w:b/>
          <w:bCs/>
          <w:i/>
          <w:iCs/>
          <w:sz w:val="20"/>
          <w:szCs w:val="20"/>
        </w:rPr>
      </w:pPr>
      <w:r w:rsidRPr="006720E4">
        <w:rPr>
          <w:rFonts w:cs="Calibri"/>
          <w:sz w:val="20"/>
          <w:szCs w:val="20"/>
        </w:rPr>
        <w:t>Grace BS, Clayton PA, Cass A, McDonald SP. Transplantation rates for living-but not deceased-donor kidneys vary with socioeconomic status in Australia. Kidney international. 2013 Jan 1;83(1):138-45.</w:t>
      </w:r>
    </w:p>
    <w:p w14:paraId="3E2F937B"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Organ allocation</w:t>
      </w:r>
    </w:p>
    <w:p w14:paraId="4239B49E" w14:textId="79C894FC" w:rsidR="006C6EBA" w:rsidRPr="006720E4" w:rsidRDefault="006C6EBA" w:rsidP="00C3783C">
      <w:pPr>
        <w:pStyle w:val="NormalWeb"/>
        <w:numPr>
          <w:ilvl w:val="0"/>
          <w:numId w:val="81"/>
        </w:numPr>
        <w:spacing w:before="0" w:beforeAutospacing="0" w:after="120" w:afterAutospacing="0"/>
        <w:rPr>
          <w:rFonts w:cs="Calibri"/>
          <w:b/>
          <w:bCs/>
          <w:i/>
          <w:iCs/>
          <w:sz w:val="20"/>
          <w:szCs w:val="20"/>
        </w:rPr>
      </w:pPr>
      <w:r w:rsidRPr="006720E4">
        <w:rPr>
          <w:rFonts w:cs="Calibri"/>
          <w:sz w:val="20"/>
          <w:szCs w:val="20"/>
        </w:rPr>
        <w:t xml:space="preserve">TSANZ Clinical guidelines 1.4. </w:t>
      </w:r>
      <w:hyperlink r:id="rId182" w:history="1">
        <w:r w:rsidRPr="006720E4">
          <w:rPr>
            <w:rStyle w:val="Hyperlink"/>
            <w:rFonts w:cs="Calibri"/>
            <w:sz w:val="20"/>
            <w:szCs w:val="20"/>
          </w:rPr>
          <w:t>https://tsanz.com.au/storage/documents/TSANZ_Clinical_Guidelines_Version-14.pdf</w:t>
        </w:r>
      </w:hyperlink>
      <w:r w:rsidRPr="006720E4">
        <w:rPr>
          <w:rFonts w:cs="Calibri"/>
          <w:sz w:val="20"/>
          <w:szCs w:val="20"/>
        </w:rPr>
        <w:t xml:space="preserve"> </w:t>
      </w:r>
    </w:p>
    <w:p w14:paraId="3AD2F08F" w14:textId="1F087E50" w:rsidR="006C6EBA" w:rsidRPr="006720E4" w:rsidRDefault="006C6EBA" w:rsidP="00C3783C">
      <w:pPr>
        <w:pStyle w:val="NormalWeb"/>
        <w:numPr>
          <w:ilvl w:val="0"/>
          <w:numId w:val="81"/>
        </w:numPr>
        <w:spacing w:before="0" w:beforeAutospacing="0" w:after="120" w:afterAutospacing="0"/>
        <w:rPr>
          <w:rStyle w:val="Hyperlink"/>
          <w:rFonts w:cs="Calibri"/>
          <w:b/>
          <w:bCs/>
          <w:i/>
          <w:iCs/>
          <w:color w:val="auto"/>
          <w:sz w:val="20"/>
          <w:szCs w:val="20"/>
          <w:u w:val="none"/>
        </w:rPr>
      </w:pPr>
      <w:r w:rsidRPr="006720E4">
        <w:rPr>
          <w:rFonts w:cs="Calibri"/>
          <w:sz w:val="20"/>
          <w:szCs w:val="20"/>
        </w:rPr>
        <w:t>OPTN.</w:t>
      </w:r>
      <w:r w:rsidRPr="006720E4">
        <w:rPr>
          <w:rFonts w:cs="Calibri"/>
          <w:b/>
          <w:bCs/>
          <w:i/>
          <w:iCs/>
          <w:sz w:val="20"/>
          <w:szCs w:val="20"/>
        </w:rPr>
        <w:t xml:space="preserve"> </w:t>
      </w:r>
      <w:r w:rsidRPr="006720E4">
        <w:rPr>
          <w:rFonts w:cs="Calibri"/>
          <w:sz w:val="20"/>
          <w:szCs w:val="20"/>
        </w:rPr>
        <w:t xml:space="preserve">Impact of multiorgan transplants on equity of organ allocation. </w:t>
      </w:r>
      <w:hyperlink r:id="rId183" w:history="1">
        <w:r w:rsidRPr="006720E4">
          <w:rPr>
            <w:rStyle w:val="Hyperlink"/>
            <w:rFonts w:eastAsiaTheme="majorEastAsia" w:cs="Calibri"/>
            <w:bCs/>
            <w:sz w:val="20"/>
            <w:szCs w:val="20"/>
          </w:rPr>
          <w:t>https://optn.transplant.hrsa.gov/media/2989/ethics_boardreport_201906.pdf</w:t>
        </w:r>
      </w:hyperlink>
    </w:p>
    <w:p w14:paraId="49636BA6" w14:textId="77777777" w:rsidR="006C6EBA" w:rsidRPr="006720E4" w:rsidRDefault="006C6EBA" w:rsidP="00C3783C">
      <w:pPr>
        <w:pStyle w:val="NormalWeb"/>
        <w:numPr>
          <w:ilvl w:val="0"/>
          <w:numId w:val="81"/>
        </w:numPr>
        <w:spacing w:before="0" w:beforeAutospacing="0" w:after="120" w:afterAutospacing="0"/>
        <w:rPr>
          <w:rFonts w:cs="Calibri"/>
          <w:i/>
          <w:iCs/>
          <w:sz w:val="20"/>
          <w:szCs w:val="20"/>
        </w:rPr>
      </w:pPr>
      <w:r w:rsidRPr="006720E4">
        <w:rPr>
          <w:rFonts w:cs="Calibri"/>
          <w:i/>
          <w:iCs/>
          <w:sz w:val="20"/>
          <w:szCs w:val="20"/>
        </w:rPr>
        <w:t xml:space="preserve">OPTN. </w:t>
      </w:r>
      <w:r w:rsidRPr="006720E4">
        <w:rPr>
          <w:rFonts w:cs="Calibri"/>
          <w:sz w:val="20"/>
          <w:szCs w:val="20"/>
        </w:rPr>
        <w:t xml:space="preserve">Ethical principles in the allocation of human organs. </w:t>
      </w:r>
      <w:hyperlink r:id="rId184" w:history="1">
        <w:r w:rsidRPr="006720E4">
          <w:rPr>
            <w:rStyle w:val="Hyperlink"/>
            <w:rFonts w:cs="Calibri"/>
            <w:sz w:val="20"/>
            <w:szCs w:val="20"/>
          </w:rPr>
          <w:t>https://optn.transplant.hrsa.gov/resources/ethics/ethical-principles-in-the-allocation-of-human-organs/</w:t>
        </w:r>
      </w:hyperlink>
      <w:r w:rsidRPr="006720E4">
        <w:rPr>
          <w:rFonts w:cs="Calibri"/>
          <w:sz w:val="20"/>
          <w:szCs w:val="20"/>
        </w:rPr>
        <w:t xml:space="preserve"> </w:t>
      </w:r>
    </w:p>
    <w:p w14:paraId="0625A702" w14:textId="77777777" w:rsidR="006C6EBA" w:rsidRPr="006720E4" w:rsidRDefault="006C6EBA" w:rsidP="00C3783C">
      <w:pPr>
        <w:pStyle w:val="NormalWeb"/>
        <w:numPr>
          <w:ilvl w:val="0"/>
          <w:numId w:val="81"/>
        </w:numPr>
        <w:spacing w:before="0" w:beforeAutospacing="0" w:after="120" w:afterAutospacing="0"/>
        <w:rPr>
          <w:rFonts w:cs="Calibri"/>
          <w:i/>
          <w:iCs/>
          <w:sz w:val="20"/>
          <w:szCs w:val="20"/>
        </w:rPr>
      </w:pPr>
      <w:r w:rsidRPr="006720E4">
        <w:rPr>
          <w:rFonts w:cs="Calibri"/>
          <w:sz w:val="20"/>
          <w:szCs w:val="20"/>
        </w:rPr>
        <w:t>Caulfield T, Murdoch B, Sapir-</w:t>
      </w:r>
      <w:proofErr w:type="spellStart"/>
      <w:r w:rsidRPr="006720E4">
        <w:rPr>
          <w:rFonts w:cs="Calibri"/>
          <w:sz w:val="20"/>
          <w:szCs w:val="20"/>
        </w:rPr>
        <w:t>Pichhadze</w:t>
      </w:r>
      <w:proofErr w:type="spellEnd"/>
      <w:r w:rsidRPr="006720E4">
        <w:rPr>
          <w:rFonts w:cs="Calibri"/>
          <w:sz w:val="20"/>
          <w:szCs w:val="20"/>
        </w:rPr>
        <w:t xml:space="preserve"> R, Keown P. 2020. Policy Challenges for Organ Allocation in an Era of “Precision Medicine”. Canadian Journal of Kidney Health and Disease</w:t>
      </w:r>
    </w:p>
    <w:p w14:paraId="6D84BA2F" w14:textId="77777777" w:rsidR="006C6EBA" w:rsidRPr="006720E4" w:rsidRDefault="006C6EBA" w:rsidP="00C3783C">
      <w:pPr>
        <w:pStyle w:val="NormalWeb"/>
        <w:numPr>
          <w:ilvl w:val="0"/>
          <w:numId w:val="81"/>
        </w:numPr>
        <w:spacing w:before="0" w:beforeAutospacing="0" w:after="120" w:afterAutospacing="0"/>
        <w:rPr>
          <w:rFonts w:cs="Calibri"/>
          <w:i/>
          <w:iCs/>
          <w:sz w:val="20"/>
          <w:szCs w:val="20"/>
        </w:rPr>
      </w:pPr>
      <w:r w:rsidRPr="006720E4">
        <w:rPr>
          <w:rFonts w:cs="Calibri"/>
          <w:sz w:val="20"/>
          <w:szCs w:val="20"/>
        </w:rPr>
        <w:t xml:space="preserve">Veatch RM. Egalitarian and maximin theories of justice: directed donation of organs for transplant. </w:t>
      </w:r>
      <w:r w:rsidRPr="006720E4">
        <w:rPr>
          <w:rFonts w:cs="Calibri"/>
          <w:i/>
          <w:iCs/>
          <w:sz w:val="20"/>
          <w:szCs w:val="20"/>
        </w:rPr>
        <w:t>Journal of medicine and philosophy</w:t>
      </w:r>
      <w:r w:rsidRPr="006720E4">
        <w:rPr>
          <w:rFonts w:cs="Calibri"/>
          <w:sz w:val="20"/>
          <w:szCs w:val="20"/>
        </w:rPr>
        <w:t>. 1998;23(5):456-76.</w:t>
      </w:r>
    </w:p>
    <w:p w14:paraId="17E7A1B3" w14:textId="23E272CB" w:rsidR="006C6EBA" w:rsidRPr="006720E4" w:rsidRDefault="006C6EBA" w:rsidP="00C3783C">
      <w:pPr>
        <w:pStyle w:val="NormalWeb"/>
        <w:numPr>
          <w:ilvl w:val="0"/>
          <w:numId w:val="81"/>
        </w:numPr>
        <w:spacing w:before="0" w:beforeAutospacing="0" w:after="120" w:afterAutospacing="0"/>
        <w:rPr>
          <w:rFonts w:cs="Calibri"/>
          <w:b/>
          <w:bCs/>
          <w:i/>
          <w:iCs/>
          <w:sz w:val="20"/>
          <w:szCs w:val="20"/>
        </w:rPr>
      </w:pPr>
      <w:proofErr w:type="spellStart"/>
      <w:r w:rsidRPr="006720E4">
        <w:rPr>
          <w:rFonts w:cs="Calibri"/>
          <w:sz w:val="20"/>
          <w:szCs w:val="20"/>
        </w:rPr>
        <w:t>Schicktanz</w:t>
      </w:r>
      <w:proofErr w:type="spellEnd"/>
      <w:r w:rsidRPr="006720E4">
        <w:rPr>
          <w:rFonts w:cs="Calibri"/>
          <w:sz w:val="20"/>
          <w:szCs w:val="20"/>
        </w:rPr>
        <w:t xml:space="preserve"> S, Simon A, Raphael S, Ahlert M. The ethical debate over child priority in post-mortem organ allocation: A scoping review and practical-ethical outlook. Transplantation Reviews. 2020 Jul 1;34(3):100543.</w:t>
      </w:r>
    </w:p>
    <w:p w14:paraId="2C3316FC" w14:textId="415AA445" w:rsidR="006C6EBA" w:rsidRPr="006720E4" w:rsidRDefault="006C6EBA" w:rsidP="00C3783C">
      <w:pPr>
        <w:pStyle w:val="NormalWeb"/>
        <w:numPr>
          <w:ilvl w:val="0"/>
          <w:numId w:val="81"/>
        </w:numPr>
        <w:spacing w:before="0" w:beforeAutospacing="0" w:after="120" w:afterAutospacing="0"/>
        <w:rPr>
          <w:rFonts w:cs="Calibri"/>
          <w:b/>
          <w:bCs/>
          <w:i/>
          <w:iCs/>
          <w:sz w:val="16"/>
          <w:szCs w:val="16"/>
        </w:rPr>
      </w:pPr>
      <w:r w:rsidRPr="006720E4">
        <w:rPr>
          <w:rFonts w:cs="Calibri"/>
          <w:sz w:val="20"/>
          <w:szCs w:val="20"/>
        </w:rPr>
        <w:t>Tong A, Howard K, Wong G, Cass A, Jan S, Irving M, Craig JC. Nephrologists' perspectives on waitlisting and allocation of deceased donor kidneys for transplant. American journal of kidney diseases. 2011 Nov 1;58(5):704-16.</w:t>
      </w:r>
    </w:p>
    <w:p w14:paraId="3F059BE9" w14:textId="6A94FE89" w:rsidR="006C6EBA" w:rsidRPr="006720E4" w:rsidRDefault="006C6EBA" w:rsidP="00EA22AE">
      <w:pPr>
        <w:pStyle w:val="Appendix3"/>
        <w:numPr>
          <w:ilvl w:val="0"/>
          <w:numId w:val="0"/>
        </w:numPr>
        <w:spacing w:after="120"/>
        <w:ind w:left="360"/>
      </w:pPr>
      <w:bookmarkStart w:id="5772" w:name="_Toc79406563"/>
      <w:bookmarkStart w:id="5773" w:name="_Toc82623544"/>
      <w:bookmarkStart w:id="5774" w:name="_Toc82773801"/>
      <w:bookmarkStart w:id="5775" w:name="_Toc82774153"/>
      <w:bookmarkStart w:id="5776" w:name="_Toc128314269"/>
      <w:bookmarkStart w:id="5777" w:name="_Toc135131510"/>
      <w:bookmarkStart w:id="5778" w:name="Ch8Resources"/>
      <w:r w:rsidRPr="006720E4">
        <w:t xml:space="preserve">Chapter </w:t>
      </w:r>
      <w:r w:rsidR="00A83E9D">
        <w:t>9</w:t>
      </w:r>
      <w:r w:rsidRPr="006720E4">
        <w:t xml:space="preserve"> Resources</w:t>
      </w:r>
      <w:bookmarkEnd w:id="5772"/>
      <w:bookmarkEnd w:id="5773"/>
      <w:bookmarkEnd w:id="5774"/>
      <w:bookmarkEnd w:id="5775"/>
      <w:bookmarkEnd w:id="5776"/>
      <w:bookmarkEnd w:id="5777"/>
    </w:p>
    <w:bookmarkEnd w:id="5778"/>
    <w:p w14:paraId="553B15BB" w14:textId="4D5CD2B1"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Self-sufficiency</w:t>
      </w:r>
    </w:p>
    <w:p w14:paraId="56BD89D6" w14:textId="7D0BB227" w:rsidR="006C6EBA" w:rsidRPr="006720E4" w:rsidRDefault="006C6EBA" w:rsidP="00C3783C">
      <w:pPr>
        <w:pStyle w:val="ListParagraph"/>
        <w:numPr>
          <w:ilvl w:val="0"/>
          <w:numId w:val="84"/>
        </w:numPr>
        <w:spacing w:after="120"/>
        <w:contextualSpacing w:val="0"/>
        <w:rPr>
          <w:rFonts w:cs="Calibri"/>
          <w:sz w:val="20"/>
          <w:szCs w:val="20"/>
        </w:rPr>
      </w:pPr>
      <w:r w:rsidRPr="006720E4">
        <w:rPr>
          <w:rFonts w:cs="Calibri"/>
          <w:sz w:val="20"/>
          <w:szCs w:val="20"/>
        </w:rPr>
        <w:t xml:space="preserve">Delmonico FL, Domínguez-Gil B, </w:t>
      </w:r>
      <w:proofErr w:type="spellStart"/>
      <w:r w:rsidRPr="006720E4">
        <w:rPr>
          <w:rFonts w:cs="Calibri"/>
          <w:sz w:val="20"/>
          <w:szCs w:val="20"/>
        </w:rPr>
        <w:t>Matesanz</w:t>
      </w:r>
      <w:proofErr w:type="spellEnd"/>
      <w:r w:rsidRPr="006720E4">
        <w:rPr>
          <w:rFonts w:cs="Calibri"/>
          <w:sz w:val="20"/>
          <w:szCs w:val="20"/>
        </w:rPr>
        <w:t xml:space="preserve"> R, Noel L. A call for government accountability to achieve national self-sufficiency in organ donation and transplantation. The Lancet. 2011 Oct 15;378(9800):1414-8.</w:t>
      </w:r>
    </w:p>
    <w:p w14:paraId="405DCDF4" w14:textId="44BE8AEA" w:rsidR="006C6EBA" w:rsidRPr="006720E4" w:rsidRDefault="006C6EBA" w:rsidP="00C3783C">
      <w:pPr>
        <w:pStyle w:val="ListParagraph"/>
        <w:numPr>
          <w:ilvl w:val="0"/>
          <w:numId w:val="84"/>
        </w:numPr>
        <w:spacing w:after="120"/>
        <w:contextualSpacing w:val="0"/>
        <w:rPr>
          <w:rFonts w:cs="Calibri"/>
          <w:sz w:val="20"/>
          <w:szCs w:val="20"/>
        </w:rPr>
      </w:pPr>
      <w:r w:rsidRPr="006720E4">
        <w:rPr>
          <w:rFonts w:cs="Calibri"/>
          <w:sz w:val="20"/>
          <w:szCs w:val="20"/>
        </w:rPr>
        <w:lastRenderedPageBreak/>
        <w:t>World Health Organization. Madrid resolution on organ donation and transplantation. Transplantation. 2011;91(Suppl 11):S29.</w:t>
      </w:r>
    </w:p>
    <w:p w14:paraId="69B2E31A" w14:textId="77777777" w:rsidR="006C6EBA" w:rsidRPr="006720E4" w:rsidRDefault="006C6EBA" w:rsidP="00C3783C">
      <w:pPr>
        <w:pStyle w:val="ListParagraph"/>
        <w:numPr>
          <w:ilvl w:val="0"/>
          <w:numId w:val="84"/>
        </w:numPr>
        <w:spacing w:after="120"/>
        <w:contextualSpacing w:val="0"/>
        <w:rPr>
          <w:rFonts w:cs="Calibri"/>
          <w:sz w:val="20"/>
          <w:szCs w:val="20"/>
        </w:rPr>
      </w:pPr>
      <w:r w:rsidRPr="006720E4">
        <w:rPr>
          <w:rFonts w:cs="Calibri"/>
          <w:sz w:val="20"/>
          <w:szCs w:val="20"/>
        </w:rPr>
        <w:t>Third WHO Global Consultation on Organ Donation and Transplantation: Striving to Achieve Self-Sufficiency, March 23–25, 2010, Madrid, Spain. Transplantation. 2011 Jun 15;91:S27-8.</w:t>
      </w:r>
    </w:p>
    <w:p w14:paraId="0EBF5801"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Import and export of tissues</w:t>
      </w:r>
    </w:p>
    <w:p w14:paraId="5D9FE5FE" w14:textId="77777777" w:rsidR="006C6EBA" w:rsidRPr="006720E4" w:rsidRDefault="006C6EBA" w:rsidP="00C3783C">
      <w:pPr>
        <w:pStyle w:val="ListParagraph"/>
        <w:numPr>
          <w:ilvl w:val="0"/>
          <w:numId w:val="85"/>
        </w:numPr>
        <w:spacing w:after="120"/>
        <w:contextualSpacing w:val="0"/>
        <w:rPr>
          <w:rFonts w:cs="Calibri"/>
          <w:sz w:val="20"/>
          <w:szCs w:val="20"/>
        </w:rPr>
      </w:pPr>
      <w:r w:rsidRPr="006720E4">
        <w:rPr>
          <w:rFonts w:cs="Calibri"/>
          <w:sz w:val="20"/>
          <w:szCs w:val="20"/>
        </w:rPr>
        <w:t>Martin DE, Kelly R, Jones GL, Machin H, Pollock GA. Ethical issues in transnational eye banking. Cornea. 2016 Nov 16;36(2):252-7.</w:t>
      </w:r>
    </w:p>
    <w:p w14:paraId="5A4733FD" w14:textId="5CE3F984" w:rsidR="006C6EBA" w:rsidRPr="006720E4" w:rsidRDefault="006C6EBA" w:rsidP="00C3783C">
      <w:pPr>
        <w:pStyle w:val="ListParagraph"/>
        <w:numPr>
          <w:ilvl w:val="0"/>
          <w:numId w:val="85"/>
        </w:numPr>
        <w:spacing w:after="120"/>
        <w:contextualSpacing w:val="0"/>
        <w:rPr>
          <w:rFonts w:cs="Calibri"/>
          <w:sz w:val="20"/>
          <w:szCs w:val="20"/>
        </w:rPr>
      </w:pPr>
      <w:r w:rsidRPr="006720E4">
        <w:rPr>
          <w:rFonts w:cs="Calibri"/>
          <w:sz w:val="20"/>
          <w:szCs w:val="20"/>
        </w:rPr>
        <w:t>Schulz-Baldes A, Biller-</w:t>
      </w:r>
      <w:proofErr w:type="spellStart"/>
      <w:r w:rsidRPr="006720E4">
        <w:rPr>
          <w:rFonts w:cs="Calibri"/>
          <w:sz w:val="20"/>
          <w:szCs w:val="20"/>
        </w:rPr>
        <w:t>Andorno</w:t>
      </w:r>
      <w:proofErr w:type="spellEnd"/>
      <w:r w:rsidRPr="006720E4">
        <w:rPr>
          <w:rFonts w:cs="Calibri"/>
          <w:sz w:val="20"/>
          <w:szCs w:val="20"/>
        </w:rPr>
        <w:t xml:space="preserve"> N, Capron AM. International perspectives on the ethics and regulation of human cell and tissue transplantation. Bulletin of the World Health Organization. 2007;85:941-8.</w:t>
      </w:r>
    </w:p>
    <w:p w14:paraId="78A24E45" w14:textId="30E813DF" w:rsidR="006C6EBA" w:rsidRPr="006720E4" w:rsidRDefault="006C6EBA" w:rsidP="00C3783C">
      <w:pPr>
        <w:pStyle w:val="NormalWeb"/>
        <w:numPr>
          <w:ilvl w:val="0"/>
          <w:numId w:val="85"/>
        </w:numPr>
        <w:spacing w:before="0" w:beforeAutospacing="0" w:after="120" w:afterAutospacing="0"/>
        <w:rPr>
          <w:rFonts w:cs="Calibri"/>
          <w:b/>
          <w:bCs/>
          <w:i/>
          <w:iCs/>
          <w:sz w:val="20"/>
          <w:szCs w:val="20"/>
        </w:rPr>
      </w:pPr>
      <w:r w:rsidRPr="006720E4">
        <w:rPr>
          <w:rFonts w:cs="Calibri"/>
          <w:sz w:val="20"/>
          <w:szCs w:val="20"/>
        </w:rPr>
        <w:t xml:space="preserve">Córdoba A, Mejía LF, Mannis MJ, Navas A, Madrigal-Bustamante JA, Graue-Hernandez EO. Current global bioethical dilemmas in corneal transplantation. </w:t>
      </w:r>
      <w:r w:rsidRPr="006720E4">
        <w:rPr>
          <w:rFonts w:cs="Calibri"/>
          <w:i/>
          <w:iCs/>
          <w:sz w:val="20"/>
          <w:szCs w:val="20"/>
        </w:rPr>
        <w:t>Cornea</w:t>
      </w:r>
      <w:r w:rsidRPr="006720E4">
        <w:rPr>
          <w:rFonts w:cs="Calibri"/>
          <w:sz w:val="20"/>
          <w:szCs w:val="20"/>
        </w:rPr>
        <w:t>. 2020 Apr 1;39(4):529-33.</w:t>
      </w:r>
    </w:p>
    <w:p w14:paraId="05A19359"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 xml:space="preserve">International travel for organ transplantation </w:t>
      </w:r>
    </w:p>
    <w:p w14:paraId="229E6E90" w14:textId="77777777" w:rsidR="006C6EBA" w:rsidRPr="006720E4" w:rsidRDefault="006C6EBA" w:rsidP="00C3783C">
      <w:pPr>
        <w:pStyle w:val="ListParagraph"/>
        <w:numPr>
          <w:ilvl w:val="0"/>
          <w:numId w:val="117"/>
        </w:numPr>
        <w:spacing w:after="120"/>
        <w:contextualSpacing w:val="0"/>
        <w:rPr>
          <w:rFonts w:cs="Calibri"/>
          <w:sz w:val="20"/>
          <w:szCs w:val="20"/>
        </w:rPr>
      </w:pPr>
      <w:r w:rsidRPr="006720E4">
        <w:rPr>
          <w:rFonts w:cs="Calibri"/>
          <w:sz w:val="20"/>
          <w:szCs w:val="20"/>
        </w:rPr>
        <w:t xml:space="preserve">Council of Europe. 2017. Resolution CM/Res(2017)1 on principles for the selection, evaluation, donation and follow-up of the non-resident living organ donors  </w:t>
      </w:r>
      <w:hyperlink r:id="rId185" w:history="1">
        <w:r w:rsidRPr="006720E4">
          <w:rPr>
            <w:rStyle w:val="Hyperlink"/>
            <w:rFonts w:cs="Calibri"/>
            <w:sz w:val="20"/>
            <w:szCs w:val="20"/>
          </w:rPr>
          <w:t>https://www.edqm.eu/sites/default/files/cmres_2017_1-on_principles_for_selection_eval_donation_and_follow_up_of_nrld.pdf</w:t>
        </w:r>
      </w:hyperlink>
      <w:r w:rsidRPr="006720E4">
        <w:rPr>
          <w:rFonts w:cs="Calibri"/>
          <w:sz w:val="20"/>
          <w:szCs w:val="20"/>
        </w:rPr>
        <w:t xml:space="preserve"> </w:t>
      </w:r>
    </w:p>
    <w:p w14:paraId="33044AC0" w14:textId="524F2076" w:rsidR="006C6EBA" w:rsidRPr="006720E4" w:rsidRDefault="006C6EBA" w:rsidP="00C3783C">
      <w:pPr>
        <w:pStyle w:val="ListParagraph"/>
        <w:numPr>
          <w:ilvl w:val="0"/>
          <w:numId w:val="87"/>
        </w:numPr>
        <w:spacing w:after="120"/>
        <w:contextualSpacing w:val="0"/>
        <w:rPr>
          <w:rFonts w:cs="Calibri"/>
          <w:sz w:val="20"/>
          <w:szCs w:val="20"/>
        </w:rPr>
      </w:pPr>
      <w:r w:rsidRPr="006720E4">
        <w:rPr>
          <w:rFonts w:cs="Calibri"/>
          <w:sz w:val="20"/>
          <w:szCs w:val="20"/>
        </w:rPr>
        <w:t>Domínguez-Gil B, Danovitch G, Martin DE, López-Fraga M, Van Assche K, Morris ML, Lavee J, Erlich G, Fadhil R, Busic M, Rankin G. Management of patients who receive an organ transplant abroad and return home for follow-up care: recommendations from the Declaration of Istanbul Custodian Group. Transplantation. 2018 Jan 1;102(1):e2-9.</w:t>
      </w:r>
    </w:p>
    <w:p w14:paraId="46B489AE" w14:textId="3359C80A" w:rsidR="006C6EBA" w:rsidRPr="006720E4" w:rsidRDefault="006C6EBA" w:rsidP="00C3783C">
      <w:pPr>
        <w:pStyle w:val="ListParagraph"/>
        <w:numPr>
          <w:ilvl w:val="0"/>
          <w:numId w:val="87"/>
        </w:numPr>
        <w:spacing w:after="120"/>
        <w:contextualSpacing w:val="0"/>
        <w:rPr>
          <w:rFonts w:cs="Calibri"/>
          <w:sz w:val="20"/>
          <w:szCs w:val="20"/>
        </w:rPr>
      </w:pPr>
      <w:r w:rsidRPr="00A34343">
        <w:rPr>
          <w:rFonts w:cs="Calibri"/>
          <w:sz w:val="20"/>
          <w:szCs w:val="20"/>
          <w:lang w:val="fr-FR"/>
        </w:rPr>
        <w:t xml:space="preserve">Martin DE, Van </w:t>
      </w:r>
      <w:proofErr w:type="spellStart"/>
      <w:r w:rsidRPr="00A34343">
        <w:rPr>
          <w:rFonts w:cs="Calibri"/>
          <w:sz w:val="20"/>
          <w:szCs w:val="20"/>
          <w:lang w:val="fr-FR"/>
        </w:rPr>
        <w:t>Assche</w:t>
      </w:r>
      <w:proofErr w:type="spellEnd"/>
      <w:r w:rsidRPr="00A34343">
        <w:rPr>
          <w:rFonts w:cs="Calibri"/>
          <w:sz w:val="20"/>
          <w:szCs w:val="20"/>
          <w:lang w:val="fr-FR"/>
        </w:rPr>
        <w:t xml:space="preserve"> K, </w:t>
      </w:r>
      <w:proofErr w:type="spellStart"/>
      <w:r w:rsidRPr="00A34343">
        <w:rPr>
          <w:rFonts w:cs="Calibri"/>
          <w:sz w:val="20"/>
          <w:szCs w:val="20"/>
          <w:lang w:val="fr-FR"/>
        </w:rPr>
        <w:t>Domínguez</w:t>
      </w:r>
      <w:proofErr w:type="spellEnd"/>
      <w:r w:rsidRPr="00A34343">
        <w:rPr>
          <w:rFonts w:cs="Calibri"/>
          <w:sz w:val="20"/>
          <w:szCs w:val="20"/>
          <w:lang w:val="fr-FR"/>
        </w:rPr>
        <w:t xml:space="preserve">-Gil B, </w:t>
      </w:r>
      <w:proofErr w:type="spellStart"/>
      <w:r w:rsidRPr="00A34343">
        <w:rPr>
          <w:rFonts w:cs="Calibri"/>
          <w:sz w:val="20"/>
          <w:szCs w:val="20"/>
          <w:lang w:val="fr-FR"/>
        </w:rPr>
        <w:t>López</w:t>
      </w:r>
      <w:proofErr w:type="spellEnd"/>
      <w:r w:rsidRPr="00A34343">
        <w:rPr>
          <w:rFonts w:cs="Calibri"/>
          <w:sz w:val="20"/>
          <w:szCs w:val="20"/>
          <w:lang w:val="fr-FR"/>
        </w:rPr>
        <w:t xml:space="preserve">-Fraga M, </w:t>
      </w:r>
      <w:proofErr w:type="spellStart"/>
      <w:r w:rsidRPr="00A34343">
        <w:rPr>
          <w:rFonts w:cs="Calibri"/>
          <w:sz w:val="20"/>
          <w:szCs w:val="20"/>
          <w:lang w:val="fr-FR"/>
        </w:rPr>
        <w:t>Gallont</w:t>
      </w:r>
      <w:proofErr w:type="spellEnd"/>
      <w:r w:rsidRPr="00A34343">
        <w:rPr>
          <w:rFonts w:cs="Calibri"/>
          <w:sz w:val="20"/>
          <w:szCs w:val="20"/>
          <w:lang w:val="fr-FR"/>
        </w:rPr>
        <w:t xml:space="preserve"> RG, Muller E, Capron AM. </w:t>
      </w:r>
      <w:r w:rsidRPr="006720E4">
        <w:rPr>
          <w:rFonts w:cs="Calibri"/>
          <w:sz w:val="20"/>
          <w:szCs w:val="20"/>
        </w:rPr>
        <w:t>Strengthening global efforts to combat organ trafficking and transplant tourism: implications of the 2018 edition of the Declaration of Istanbul. Transplantation direct. 2019 Mar;5(3).</w:t>
      </w:r>
    </w:p>
    <w:p w14:paraId="1712C190"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Compassionate access to deceased donor organs</w:t>
      </w:r>
    </w:p>
    <w:p w14:paraId="459873A0" w14:textId="77777777" w:rsidR="006C6EBA" w:rsidRPr="006720E4" w:rsidRDefault="006C6EBA" w:rsidP="00C3783C">
      <w:pPr>
        <w:pStyle w:val="NormalWeb"/>
        <w:numPr>
          <w:ilvl w:val="0"/>
          <w:numId w:val="86"/>
        </w:numPr>
        <w:spacing w:before="0" w:beforeAutospacing="0" w:after="120" w:afterAutospacing="0"/>
        <w:rPr>
          <w:rFonts w:cs="Calibri"/>
          <w:b/>
          <w:bCs/>
          <w:i/>
          <w:iCs/>
          <w:sz w:val="20"/>
          <w:szCs w:val="20"/>
        </w:rPr>
      </w:pPr>
      <w:r w:rsidRPr="006720E4">
        <w:rPr>
          <w:rFonts w:cs="Calibri"/>
          <w:sz w:val="20"/>
          <w:szCs w:val="20"/>
        </w:rPr>
        <w:t xml:space="preserve">Fortin MC, Greenberg RA. Should Transplantation Be Offered to </w:t>
      </w:r>
      <w:proofErr w:type="spellStart"/>
      <w:r w:rsidRPr="006720E4">
        <w:rPr>
          <w:rFonts w:cs="Calibri"/>
          <w:sz w:val="20"/>
          <w:szCs w:val="20"/>
        </w:rPr>
        <w:t>Pediatric</w:t>
      </w:r>
      <w:proofErr w:type="spellEnd"/>
      <w:r w:rsidRPr="006720E4">
        <w:rPr>
          <w:rFonts w:cs="Calibri"/>
          <w:sz w:val="20"/>
          <w:szCs w:val="20"/>
        </w:rPr>
        <w:t xml:space="preserve"> Foreign Nationals?. In Ethical Issues in </w:t>
      </w:r>
      <w:proofErr w:type="spellStart"/>
      <w:r w:rsidRPr="006720E4">
        <w:rPr>
          <w:rFonts w:cs="Calibri"/>
          <w:sz w:val="20"/>
          <w:szCs w:val="20"/>
        </w:rPr>
        <w:t>Pediatric</w:t>
      </w:r>
      <w:proofErr w:type="spellEnd"/>
      <w:r w:rsidRPr="006720E4">
        <w:rPr>
          <w:rFonts w:cs="Calibri"/>
          <w:sz w:val="20"/>
          <w:szCs w:val="20"/>
        </w:rPr>
        <w:t xml:space="preserve"> Organ Transplantation 2016 (pp. 237-257). Springer, Cham.</w:t>
      </w:r>
    </w:p>
    <w:p w14:paraId="04989174" w14:textId="165BF197" w:rsidR="006C6EBA" w:rsidRPr="006720E4" w:rsidRDefault="006C6EBA" w:rsidP="00C3783C">
      <w:pPr>
        <w:pStyle w:val="ListParagraph"/>
        <w:numPr>
          <w:ilvl w:val="0"/>
          <w:numId w:val="86"/>
        </w:numPr>
        <w:spacing w:after="120"/>
        <w:contextualSpacing w:val="0"/>
        <w:rPr>
          <w:rFonts w:cs="Calibri"/>
          <w:sz w:val="20"/>
          <w:szCs w:val="20"/>
        </w:rPr>
      </w:pPr>
      <w:r w:rsidRPr="006720E4">
        <w:rPr>
          <w:rFonts w:cs="Calibri"/>
          <w:sz w:val="20"/>
          <w:szCs w:val="20"/>
        </w:rPr>
        <w:t>Fortin MC, Williams-Jones B. Should we perform kidney transplants on foreign nationals?. Journal of medical ethics. 2014 Dec 1;40(12):821-6.</w:t>
      </w:r>
    </w:p>
    <w:p w14:paraId="6C10B7D3" w14:textId="604FEC0B" w:rsidR="006C6EBA" w:rsidRPr="006720E4" w:rsidRDefault="006C6EBA" w:rsidP="00C3783C">
      <w:pPr>
        <w:pStyle w:val="NormalWeb"/>
        <w:numPr>
          <w:ilvl w:val="0"/>
          <w:numId w:val="86"/>
        </w:numPr>
        <w:spacing w:before="0" w:beforeAutospacing="0" w:after="120" w:afterAutospacing="0"/>
        <w:rPr>
          <w:rFonts w:cs="Calibri"/>
          <w:b/>
          <w:bCs/>
          <w:i/>
          <w:iCs/>
          <w:sz w:val="20"/>
          <w:szCs w:val="20"/>
        </w:rPr>
      </w:pPr>
      <w:r w:rsidRPr="006720E4">
        <w:rPr>
          <w:rFonts w:cs="Calibri"/>
          <w:sz w:val="20"/>
          <w:szCs w:val="20"/>
        </w:rPr>
        <w:t xml:space="preserve">Van Biesen W, </w:t>
      </w:r>
      <w:proofErr w:type="spellStart"/>
      <w:r w:rsidRPr="006720E4">
        <w:rPr>
          <w:rFonts w:cs="Calibri"/>
          <w:sz w:val="20"/>
          <w:szCs w:val="20"/>
        </w:rPr>
        <w:t>Vanholder</w:t>
      </w:r>
      <w:proofErr w:type="spellEnd"/>
      <w:r w:rsidRPr="006720E4">
        <w:rPr>
          <w:rFonts w:cs="Calibri"/>
          <w:sz w:val="20"/>
          <w:szCs w:val="20"/>
        </w:rPr>
        <w:t xml:space="preserve"> R, </w:t>
      </w:r>
      <w:proofErr w:type="spellStart"/>
      <w:r w:rsidRPr="006720E4">
        <w:rPr>
          <w:rFonts w:cs="Calibri"/>
          <w:sz w:val="20"/>
          <w:szCs w:val="20"/>
        </w:rPr>
        <w:t>Vanderhaegen</w:t>
      </w:r>
      <w:proofErr w:type="spellEnd"/>
      <w:r w:rsidRPr="006720E4">
        <w:rPr>
          <w:rFonts w:cs="Calibri"/>
          <w:sz w:val="20"/>
          <w:szCs w:val="20"/>
        </w:rPr>
        <w:t xml:space="preserve"> B, </w:t>
      </w:r>
      <w:proofErr w:type="spellStart"/>
      <w:r w:rsidRPr="006720E4">
        <w:rPr>
          <w:rFonts w:cs="Calibri"/>
          <w:sz w:val="20"/>
          <w:szCs w:val="20"/>
        </w:rPr>
        <w:t>Lameire</w:t>
      </w:r>
      <w:proofErr w:type="spellEnd"/>
      <w:r w:rsidRPr="006720E4">
        <w:rPr>
          <w:rFonts w:cs="Calibri"/>
          <w:sz w:val="20"/>
          <w:szCs w:val="20"/>
        </w:rPr>
        <w:t xml:space="preserve"> N, Wanner C, Wiecek A, Sever MS, </w:t>
      </w:r>
      <w:proofErr w:type="spellStart"/>
      <w:r w:rsidRPr="006720E4">
        <w:rPr>
          <w:rFonts w:cs="Calibri"/>
          <w:sz w:val="20"/>
          <w:szCs w:val="20"/>
        </w:rPr>
        <w:t>Feehally</w:t>
      </w:r>
      <w:proofErr w:type="spellEnd"/>
      <w:r w:rsidRPr="006720E4">
        <w:rPr>
          <w:rFonts w:cs="Calibri"/>
          <w:sz w:val="20"/>
          <w:szCs w:val="20"/>
        </w:rPr>
        <w:t xml:space="preserve"> J, </w:t>
      </w:r>
      <w:proofErr w:type="spellStart"/>
      <w:r w:rsidRPr="006720E4">
        <w:rPr>
          <w:rFonts w:cs="Calibri"/>
          <w:sz w:val="20"/>
          <w:szCs w:val="20"/>
        </w:rPr>
        <w:t>Kazancioglu</w:t>
      </w:r>
      <w:proofErr w:type="spellEnd"/>
      <w:r w:rsidRPr="006720E4">
        <w:rPr>
          <w:rFonts w:cs="Calibri"/>
          <w:sz w:val="20"/>
          <w:szCs w:val="20"/>
        </w:rPr>
        <w:t xml:space="preserve"> R, Rondeau E, Levin A. Renal replacement therapy for refugees with end-stage kidney disease: an international survey of the nephrological community. </w:t>
      </w:r>
      <w:r w:rsidRPr="006720E4">
        <w:rPr>
          <w:rFonts w:cs="Calibri"/>
          <w:i/>
          <w:iCs/>
          <w:sz w:val="20"/>
          <w:szCs w:val="20"/>
        </w:rPr>
        <w:t>Kidney Int Supp</w:t>
      </w:r>
      <w:r w:rsidRPr="006720E4">
        <w:rPr>
          <w:rFonts w:cs="Calibri"/>
          <w:sz w:val="20"/>
          <w:szCs w:val="20"/>
        </w:rPr>
        <w:t>. 2016 Dec 1;6(2):35-41.</w:t>
      </w:r>
    </w:p>
    <w:p w14:paraId="58690BB1" w14:textId="77777777" w:rsidR="006C6EBA" w:rsidRPr="006720E4" w:rsidRDefault="006C6EBA" w:rsidP="00C3783C">
      <w:pPr>
        <w:pStyle w:val="NormalWeb"/>
        <w:numPr>
          <w:ilvl w:val="0"/>
          <w:numId w:val="86"/>
        </w:numPr>
        <w:spacing w:before="0" w:beforeAutospacing="0" w:after="120" w:afterAutospacing="0"/>
        <w:rPr>
          <w:rFonts w:cs="Calibri"/>
          <w:b/>
          <w:bCs/>
          <w:i/>
          <w:iCs/>
          <w:sz w:val="20"/>
          <w:szCs w:val="20"/>
        </w:rPr>
      </w:pPr>
      <w:r w:rsidRPr="006720E4">
        <w:rPr>
          <w:rFonts w:cs="Calibri"/>
          <w:sz w:val="20"/>
          <w:szCs w:val="20"/>
        </w:rPr>
        <w:t xml:space="preserve">Glazier AK, Danovitch GM, Delmonico FL. Organ transplantation for </w:t>
      </w:r>
      <w:proofErr w:type="spellStart"/>
      <w:r w:rsidRPr="006720E4">
        <w:rPr>
          <w:rFonts w:cs="Calibri"/>
          <w:sz w:val="20"/>
          <w:szCs w:val="20"/>
        </w:rPr>
        <w:t>nonresidents</w:t>
      </w:r>
      <w:proofErr w:type="spellEnd"/>
      <w:r w:rsidRPr="006720E4">
        <w:rPr>
          <w:rFonts w:cs="Calibri"/>
          <w:sz w:val="20"/>
          <w:szCs w:val="20"/>
        </w:rPr>
        <w:t xml:space="preserve"> of the United States: a policy for transparency. American Journal of Transplantation. 2014 Aug;14(8):1740-3.</w:t>
      </w:r>
    </w:p>
    <w:p w14:paraId="50F270D2" w14:textId="77777777" w:rsidR="006C6EBA" w:rsidRPr="006720E4" w:rsidRDefault="006C6EBA" w:rsidP="00C3783C">
      <w:pPr>
        <w:pStyle w:val="NormalWeb"/>
        <w:numPr>
          <w:ilvl w:val="0"/>
          <w:numId w:val="86"/>
        </w:numPr>
        <w:spacing w:before="0" w:beforeAutospacing="0" w:after="120" w:afterAutospacing="0"/>
        <w:rPr>
          <w:rFonts w:cs="Calibri"/>
          <w:b/>
          <w:bCs/>
          <w:i/>
          <w:iCs/>
          <w:sz w:val="20"/>
          <w:szCs w:val="20"/>
        </w:rPr>
      </w:pPr>
      <w:r w:rsidRPr="006720E4">
        <w:rPr>
          <w:rFonts w:cs="Calibri"/>
          <w:sz w:val="20"/>
          <w:szCs w:val="20"/>
        </w:rPr>
        <w:t xml:space="preserve">Delmonico FL, Gunderson S, Iyer KR, Danovitch GM, Pruett TL, Reyes JD, Ascher NL. Deceased donor organ transplantation performed in the United States for noncitizens and </w:t>
      </w:r>
      <w:proofErr w:type="spellStart"/>
      <w:r w:rsidRPr="006720E4">
        <w:rPr>
          <w:rFonts w:cs="Calibri"/>
          <w:sz w:val="20"/>
          <w:szCs w:val="20"/>
        </w:rPr>
        <w:t>nonresidents</w:t>
      </w:r>
      <w:proofErr w:type="spellEnd"/>
      <w:r w:rsidRPr="006720E4">
        <w:rPr>
          <w:rFonts w:cs="Calibri"/>
          <w:sz w:val="20"/>
          <w:szCs w:val="20"/>
        </w:rPr>
        <w:t xml:space="preserve">. </w:t>
      </w:r>
      <w:r w:rsidRPr="006720E4">
        <w:rPr>
          <w:rFonts w:cs="Calibri"/>
          <w:i/>
          <w:iCs/>
          <w:sz w:val="20"/>
          <w:szCs w:val="20"/>
        </w:rPr>
        <w:t>Transplantation</w:t>
      </w:r>
      <w:r w:rsidRPr="006720E4">
        <w:rPr>
          <w:rFonts w:cs="Calibri"/>
          <w:sz w:val="20"/>
          <w:szCs w:val="20"/>
        </w:rPr>
        <w:t>. 2018 Jul;102(7):1124.</w:t>
      </w:r>
    </w:p>
    <w:p w14:paraId="7FDF1B3A" w14:textId="77777777" w:rsidR="006C6EBA" w:rsidRPr="006720E4" w:rsidRDefault="006C6EBA" w:rsidP="00C3783C">
      <w:pPr>
        <w:pStyle w:val="ListParagraph"/>
        <w:numPr>
          <w:ilvl w:val="0"/>
          <w:numId w:val="86"/>
        </w:numPr>
        <w:spacing w:after="120"/>
        <w:contextualSpacing w:val="0"/>
        <w:rPr>
          <w:rFonts w:cs="Calibri"/>
          <w:sz w:val="20"/>
          <w:szCs w:val="20"/>
        </w:rPr>
      </w:pPr>
      <w:r w:rsidRPr="006720E4">
        <w:rPr>
          <w:rFonts w:cs="Calibri"/>
          <w:sz w:val="20"/>
          <w:szCs w:val="20"/>
        </w:rPr>
        <w:t xml:space="preserve">Lee BP, </w:t>
      </w:r>
      <w:proofErr w:type="spellStart"/>
      <w:r w:rsidRPr="006720E4">
        <w:rPr>
          <w:rFonts w:cs="Calibri"/>
          <w:sz w:val="20"/>
          <w:szCs w:val="20"/>
        </w:rPr>
        <w:t>Terrault</w:t>
      </w:r>
      <w:proofErr w:type="spellEnd"/>
      <w:r w:rsidRPr="006720E4">
        <w:rPr>
          <w:rFonts w:cs="Calibri"/>
          <w:sz w:val="20"/>
          <w:szCs w:val="20"/>
        </w:rPr>
        <w:t xml:space="preserve"> NA. Liver transplantation in unauthorized immigrants in the united states. Hepatology. 2020 May;71(5):1802-12.</w:t>
      </w:r>
    </w:p>
    <w:p w14:paraId="2D247256" w14:textId="77777777" w:rsidR="006C6EBA" w:rsidRPr="006720E4" w:rsidRDefault="006C6EBA" w:rsidP="00C3783C">
      <w:pPr>
        <w:pStyle w:val="ListParagraph"/>
        <w:numPr>
          <w:ilvl w:val="0"/>
          <w:numId w:val="86"/>
        </w:numPr>
        <w:spacing w:after="120"/>
        <w:contextualSpacing w:val="0"/>
        <w:rPr>
          <w:rFonts w:cs="Calibri"/>
          <w:sz w:val="20"/>
          <w:szCs w:val="20"/>
        </w:rPr>
      </w:pPr>
      <w:proofErr w:type="spellStart"/>
      <w:r w:rsidRPr="006720E4">
        <w:rPr>
          <w:rFonts w:cs="Calibri"/>
          <w:sz w:val="20"/>
          <w:szCs w:val="20"/>
        </w:rPr>
        <w:t>Sinnenberg</w:t>
      </w:r>
      <w:proofErr w:type="spellEnd"/>
      <w:r w:rsidRPr="006720E4">
        <w:rPr>
          <w:rFonts w:cs="Calibri"/>
          <w:sz w:val="20"/>
          <w:szCs w:val="20"/>
        </w:rPr>
        <w:t xml:space="preserve"> L, Machado SR, </w:t>
      </w:r>
      <w:proofErr w:type="spellStart"/>
      <w:r w:rsidRPr="006720E4">
        <w:rPr>
          <w:rFonts w:cs="Calibri"/>
          <w:sz w:val="20"/>
          <w:szCs w:val="20"/>
        </w:rPr>
        <w:t>Ostrominski</w:t>
      </w:r>
      <w:proofErr w:type="spellEnd"/>
      <w:r w:rsidRPr="006720E4">
        <w:rPr>
          <w:rFonts w:cs="Calibri"/>
          <w:sz w:val="20"/>
          <w:szCs w:val="20"/>
        </w:rPr>
        <w:t xml:space="preserve"> JW, Stehlik J, Mehra MR, Vaduganathan M. Citizenship Status and Cardiothoracic Organ Transplantation in the United States. Circulation: Heart Failure. 2020 Dec;13(12):e007788.</w:t>
      </w:r>
    </w:p>
    <w:p w14:paraId="6A43273B" w14:textId="751F590E" w:rsidR="006C6EBA" w:rsidRPr="006720E4" w:rsidRDefault="006C6EBA" w:rsidP="00C3783C">
      <w:pPr>
        <w:pStyle w:val="NormalWeb"/>
        <w:numPr>
          <w:ilvl w:val="0"/>
          <w:numId w:val="86"/>
        </w:numPr>
        <w:spacing w:before="0" w:beforeAutospacing="0" w:after="120" w:afterAutospacing="0"/>
        <w:rPr>
          <w:rFonts w:cs="Calibri"/>
          <w:b/>
          <w:bCs/>
          <w:i/>
          <w:iCs/>
          <w:sz w:val="20"/>
          <w:szCs w:val="20"/>
        </w:rPr>
      </w:pPr>
      <w:r w:rsidRPr="006720E4">
        <w:rPr>
          <w:rFonts w:cs="Calibri"/>
          <w:sz w:val="20"/>
          <w:szCs w:val="20"/>
        </w:rPr>
        <w:t xml:space="preserve">Yu E, Wightman A. </w:t>
      </w:r>
      <w:proofErr w:type="spellStart"/>
      <w:r w:rsidRPr="006720E4">
        <w:rPr>
          <w:rFonts w:cs="Calibri"/>
          <w:sz w:val="20"/>
          <w:szCs w:val="20"/>
        </w:rPr>
        <w:t>Pediatric</w:t>
      </w:r>
      <w:proofErr w:type="spellEnd"/>
      <w:r w:rsidRPr="006720E4">
        <w:rPr>
          <w:rFonts w:cs="Calibri"/>
          <w:sz w:val="20"/>
          <w:szCs w:val="20"/>
        </w:rPr>
        <w:t xml:space="preserve"> kidney transplant in undocumented immigrants: An American perspectives. </w:t>
      </w:r>
      <w:proofErr w:type="spellStart"/>
      <w:r w:rsidRPr="006720E4">
        <w:rPr>
          <w:rFonts w:cs="Calibri"/>
          <w:sz w:val="20"/>
          <w:szCs w:val="20"/>
        </w:rPr>
        <w:t>Pediatric</w:t>
      </w:r>
      <w:proofErr w:type="spellEnd"/>
      <w:r w:rsidRPr="006720E4">
        <w:rPr>
          <w:rFonts w:cs="Calibri"/>
          <w:sz w:val="20"/>
          <w:szCs w:val="20"/>
        </w:rPr>
        <w:t xml:space="preserve"> Transplantation. 2020 Jul 28:e13788.</w:t>
      </w:r>
    </w:p>
    <w:p w14:paraId="2D44E20B" w14:textId="5E5E23D7" w:rsidR="006C6EBA" w:rsidRPr="006720E4" w:rsidRDefault="006C6EBA" w:rsidP="00EA22AE">
      <w:pPr>
        <w:pStyle w:val="Appendix3"/>
        <w:numPr>
          <w:ilvl w:val="0"/>
          <w:numId w:val="0"/>
        </w:numPr>
        <w:spacing w:after="120"/>
        <w:ind w:left="360"/>
      </w:pPr>
      <w:bookmarkStart w:id="5779" w:name="_Toc79406564"/>
      <w:bookmarkStart w:id="5780" w:name="_Toc82623545"/>
      <w:bookmarkStart w:id="5781" w:name="_Toc82773802"/>
      <w:bookmarkStart w:id="5782" w:name="_Toc82774154"/>
      <w:bookmarkStart w:id="5783" w:name="_Toc128314270"/>
      <w:bookmarkStart w:id="5784" w:name="_Toc135131511"/>
      <w:bookmarkStart w:id="5785" w:name="Ch9Resources"/>
      <w:r w:rsidRPr="006720E4">
        <w:lastRenderedPageBreak/>
        <w:t xml:space="preserve">Chapter </w:t>
      </w:r>
      <w:r w:rsidR="00A83E9D">
        <w:t>10</w:t>
      </w:r>
      <w:r w:rsidRPr="006720E4">
        <w:t xml:space="preserve"> Resources</w:t>
      </w:r>
      <w:bookmarkEnd w:id="5779"/>
      <w:bookmarkEnd w:id="5780"/>
      <w:bookmarkEnd w:id="5781"/>
      <w:bookmarkEnd w:id="5782"/>
      <w:bookmarkEnd w:id="5783"/>
      <w:bookmarkEnd w:id="5784"/>
      <w:r w:rsidRPr="006720E4">
        <w:tab/>
      </w:r>
    </w:p>
    <w:bookmarkEnd w:id="5785"/>
    <w:p w14:paraId="46A09125"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Financial neutrality of donation</w:t>
      </w:r>
    </w:p>
    <w:p w14:paraId="18ED076B" w14:textId="77777777" w:rsidR="006C6EBA" w:rsidRPr="006720E4" w:rsidRDefault="006C6EBA" w:rsidP="00C3783C">
      <w:pPr>
        <w:pStyle w:val="NormalWeb"/>
        <w:numPr>
          <w:ilvl w:val="0"/>
          <w:numId w:val="88"/>
        </w:numPr>
        <w:spacing w:before="0" w:beforeAutospacing="0" w:after="120" w:afterAutospacing="0"/>
        <w:rPr>
          <w:rFonts w:cs="Calibri"/>
          <w:b/>
          <w:bCs/>
          <w:i/>
          <w:iCs/>
          <w:sz w:val="20"/>
          <w:szCs w:val="20"/>
        </w:rPr>
      </w:pPr>
      <w:r w:rsidRPr="006720E4">
        <w:rPr>
          <w:rFonts w:cs="Calibri"/>
          <w:sz w:val="20"/>
          <w:szCs w:val="20"/>
        </w:rPr>
        <w:t>Delmonico FL, Martin D, Domínguez‐Gil B, Muller E, Jha V, Levin A, Danovitch GM, Capron AM. Living and deceased organ donation should be financially neutral acts. American Journal of Transplantation. 2015 May;15(5):1187-91.</w:t>
      </w:r>
    </w:p>
    <w:p w14:paraId="58425894" w14:textId="4EA85FFA" w:rsidR="006C6EBA" w:rsidRPr="006720E4" w:rsidRDefault="006C6EBA" w:rsidP="00C3783C">
      <w:pPr>
        <w:pStyle w:val="NormalWeb"/>
        <w:numPr>
          <w:ilvl w:val="0"/>
          <w:numId w:val="88"/>
        </w:numPr>
        <w:spacing w:before="0" w:beforeAutospacing="0" w:after="120" w:afterAutospacing="0"/>
        <w:rPr>
          <w:rFonts w:cs="Calibri"/>
          <w:b/>
          <w:bCs/>
          <w:i/>
          <w:iCs/>
          <w:sz w:val="20"/>
          <w:szCs w:val="20"/>
        </w:rPr>
      </w:pPr>
      <w:r w:rsidRPr="006720E4">
        <w:rPr>
          <w:rFonts w:cs="Calibri"/>
          <w:sz w:val="20"/>
          <w:szCs w:val="20"/>
        </w:rPr>
        <w:t>Capron AM, Delmonico FL, Dominguez-Gil B, Martin DE, Danovitch GM, Chapman J. Statement of the Declaration of Istanbul Custodian Group regarding payments to families of deceased organ donors. Transplantation. 2016 Sep 1;100(9):2006-9</w:t>
      </w:r>
    </w:p>
    <w:p w14:paraId="044D1543" w14:textId="2C76D742" w:rsidR="006C6EBA" w:rsidRPr="006720E4" w:rsidRDefault="006C6EBA" w:rsidP="00C3783C">
      <w:pPr>
        <w:pStyle w:val="NormalWeb"/>
        <w:numPr>
          <w:ilvl w:val="0"/>
          <w:numId w:val="88"/>
        </w:numPr>
        <w:spacing w:before="0" w:beforeAutospacing="0" w:after="120" w:afterAutospacing="0"/>
        <w:rPr>
          <w:rFonts w:cs="Calibri"/>
          <w:b/>
          <w:bCs/>
          <w:i/>
          <w:iCs/>
          <w:sz w:val="20"/>
          <w:szCs w:val="20"/>
        </w:rPr>
      </w:pPr>
      <w:proofErr w:type="spellStart"/>
      <w:r w:rsidRPr="006720E4">
        <w:rPr>
          <w:rFonts w:cs="Calibri"/>
          <w:sz w:val="20"/>
          <w:szCs w:val="20"/>
        </w:rPr>
        <w:t>Tushla</w:t>
      </w:r>
      <w:proofErr w:type="spellEnd"/>
      <w:r w:rsidRPr="006720E4">
        <w:rPr>
          <w:rFonts w:cs="Calibri"/>
          <w:sz w:val="20"/>
          <w:szCs w:val="20"/>
        </w:rPr>
        <w:t xml:space="preserve"> L, Rudow DL, Milton J, Rodrigue JR, Schold JD, Hays R. Living-donor kidney transplantation: reducing financial barriers to live kidney donation—recommendations from a consensus conference. Clinical Journal of the American Society of Nephrology. 2015 Sep 4;10(9):1696-702.</w:t>
      </w:r>
    </w:p>
    <w:p w14:paraId="1C35699C"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Cost recovery and tissue banking</w:t>
      </w:r>
    </w:p>
    <w:p w14:paraId="482136F9" w14:textId="77777777" w:rsidR="006C6EBA" w:rsidRPr="006720E4" w:rsidRDefault="006C6EBA" w:rsidP="00C3783C">
      <w:pPr>
        <w:pStyle w:val="NormalWeb"/>
        <w:numPr>
          <w:ilvl w:val="0"/>
          <w:numId w:val="89"/>
        </w:numPr>
        <w:spacing w:before="0" w:beforeAutospacing="0" w:after="120" w:afterAutospacing="0"/>
        <w:rPr>
          <w:rFonts w:cs="Calibri"/>
          <w:b/>
          <w:bCs/>
          <w:i/>
          <w:iCs/>
          <w:sz w:val="20"/>
          <w:szCs w:val="20"/>
        </w:rPr>
      </w:pPr>
      <w:r w:rsidRPr="006720E4">
        <w:rPr>
          <w:rFonts w:cs="Calibri"/>
          <w:sz w:val="20"/>
          <w:szCs w:val="20"/>
        </w:rPr>
        <w:t xml:space="preserve">Canadian Blood Services. Report on ethics consultation (2011) with reference to financial transactions in tissue banking and export. </w:t>
      </w:r>
      <w:hyperlink r:id="rId186" w:history="1">
        <w:r w:rsidRPr="006720E4">
          <w:rPr>
            <w:rStyle w:val="Hyperlink"/>
            <w:rFonts w:eastAsiaTheme="majorEastAsia" w:cs="Calibri"/>
            <w:bCs/>
            <w:sz w:val="20"/>
            <w:szCs w:val="20"/>
          </w:rPr>
          <w:t>https://profedu.blood.ca/sites/msi/files/Canadian-Blood-Services-Ethics-Consultation-Report-final.pdf</w:t>
        </w:r>
      </w:hyperlink>
    </w:p>
    <w:p w14:paraId="3D46DC3A"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Organ trafficking</w:t>
      </w:r>
    </w:p>
    <w:p w14:paraId="627B7AE1" w14:textId="08756FA3" w:rsidR="006C6EBA" w:rsidRPr="006720E4" w:rsidRDefault="006C6EBA" w:rsidP="00C3783C">
      <w:pPr>
        <w:pStyle w:val="NormalWeb"/>
        <w:numPr>
          <w:ilvl w:val="0"/>
          <w:numId w:val="89"/>
        </w:numPr>
        <w:spacing w:before="0" w:beforeAutospacing="0" w:after="120" w:afterAutospacing="0"/>
        <w:rPr>
          <w:rFonts w:cs="Calibri"/>
          <w:b/>
          <w:bCs/>
          <w:i/>
          <w:iCs/>
          <w:sz w:val="20"/>
          <w:szCs w:val="20"/>
        </w:rPr>
      </w:pPr>
      <w:r w:rsidRPr="00A34343">
        <w:rPr>
          <w:rFonts w:cs="Calibri"/>
          <w:sz w:val="20"/>
          <w:szCs w:val="20"/>
          <w:lang w:val="fr-FR"/>
        </w:rPr>
        <w:t xml:space="preserve">Martin DE, Van </w:t>
      </w:r>
      <w:proofErr w:type="spellStart"/>
      <w:r w:rsidRPr="00A34343">
        <w:rPr>
          <w:rFonts w:cs="Calibri"/>
          <w:sz w:val="20"/>
          <w:szCs w:val="20"/>
          <w:lang w:val="fr-FR"/>
        </w:rPr>
        <w:t>Assche</w:t>
      </w:r>
      <w:proofErr w:type="spellEnd"/>
      <w:r w:rsidRPr="00A34343">
        <w:rPr>
          <w:rFonts w:cs="Calibri"/>
          <w:sz w:val="20"/>
          <w:szCs w:val="20"/>
          <w:lang w:val="fr-FR"/>
        </w:rPr>
        <w:t xml:space="preserve"> K, </w:t>
      </w:r>
      <w:proofErr w:type="spellStart"/>
      <w:r w:rsidRPr="00A34343">
        <w:rPr>
          <w:rFonts w:cs="Calibri"/>
          <w:sz w:val="20"/>
          <w:szCs w:val="20"/>
          <w:lang w:val="fr-FR"/>
        </w:rPr>
        <w:t>Domínguez</w:t>
      </w:r>
      <w:proofErr w:type="spellEnd"/>
      <w:r w:rsidRPr="00A34343">
        <w:rPr>
          <w:rFonts w:cs="Calibri"/>
          <w:sz w:val="20"/>
          <w:szCs w:val="20"/>
          <w:lang w:val="fr-FR"/>
        </w:rPr>
        <w:t xml:space="preserve">-Gil B, </w:t>
      </w:r>
      <w:proofErr w:type="spellStart"/>
      <w:r w:rsidRPr="00A34343">
        <w:rPr>
          <w:rFonts w:cs="Calibri"/>
          <w:sz w:val="20"/>
          <w:szCs w:val="20"/>
          <w:lang w:val="fr-FR"/>
        </w:rPr>
        <w:t>López</w:t>
      </w:r>
      <w:proofErr w:type="spellEnd"/>
      <w:r w:rsidRPr="00A34343">
        <w:rPr>
          <w:rFonts w:cs="Calibri"/>
          <w:sz w:val="20"/>
          <w:szCs w:val="20"/>
          <w:lang w:val="fr-FR"/>
        </w:rPr>
        <w:t xml:space="preserve">-Fraga M, </w:t>
      </w:r>
      <w:proofErr w:type="spellStart"/>
      <w:r w:rsidRPr="00A34343">
        <w:rPr>
          <w:rFonts w:cs="Calibri"/>
          <w:sz w:val="20"/>
          <w:szCs w:val="20"/>
          <w:lang w:val="fr-FR"/>
        </w:rPr>
        <w:t>Gallont</w:t>
      </w:r>
      <w:proofErr w:type="spellEnd"/>
      <w:r w:rsidRPr="00A34343">
        <w:rPr>
          <w:rFonts w:cs="Calibri"/>
          <w:sz w:val="20"/>
          <w:szCs w:val="20"/>
          <w:lang w:val="fr-FR"/>
        </w:rPr>
        <w:t xml:space="preserve"> RG, Muller E, Capron AM. </w:t>
      </w:r>
      <w:r w:rsidRPr="006720E4">
        <w:rPr>
          <w:rFonts w:cs="Calibri"/>
          <w:sz w:val="20"/>
          <w:szCs w:val="20"/>
        </w:rPr>
        <w:t>Strengthening global efforts to combat organ trafficking and transplant tourism: implications of the 2018 edition of the Declaration of Istanbul. Transplantation direct. 2019 Mar;5(3).</w:t>
      </w:r>
    </w:p>
    <w:p w14:paraId="3625F377" w14:textId="77777777" w:rsidR="006C6EBA" w:rsidRPr="006720E4" w:rsidRDefault="006C6EBA" w:rsidP="00C3783C">
      <w:pPr>
        <w:pStyle w:val="ListParagraph"/>
        <w:numPr>
          <w:ilvl w:val="0"/>
          <w:numId w:val="89"/>
        </w:numPr>
        <w:spacing w:after="120"/>
        <w:contextualSpacing w:val="0"/>
        <w:rPr>
          <w:rFonts w:cs="Calibri"/>
          <w:sz w:val="20"/>
          <w:szCs w:val="20"/>
        </w:rPr>
      </w:pPr>
      <w:r w:rsidRPr="006720E4">
        <w:rPr>
          <w:rFonts w:cs="Calibri"/>
          <w:sz w:val="20"/>
          <w:szCs w:val="20"/>
        </w:rPr>
        <w:t xml:space="preserve">Martin DE, Van Assche K, Domínguez-Gil B, López-Fraga M, </w:t>
      </w:r>
      <w:proofErr w:type="spellStart"/>
      <w:r w:rsidRPr="006720E4">
        <w:rPr>
          <w:rFonts w:cs="Calibri"/>
          <w:sz w:val="20"/>
          <w:szCs w:val="20"/>
        </w:rPr>
        <w:t>Budiani</w:t>
      </w:r>
      <w:proofErr w:type="spellEnd"/>
      <w:r w:rsidRPr="006720E4">
        <w:rPr>
          <w:rFonts w:cs="Calibri"/>
          <w:sz w:val="20"/>
          <w:szCs w:val="20"/>
        </w:rPr>
        <w:t xml:space="preserve">-Saberi D, Lavee J, </w:t>
      </w:r>
      <w:proofErr w:type="spellStart"/>
      <w:r w:rsidRPr="006720E4">
        <w:rPr>
          <w:rFonts w:cs="Calibri"/>
          <w:sz w:val="20"/>
          <w:szCs w:val="20"/>
        </w:rPr>
        <w:t>Tibell</w:t>
      </w:r>
      <w:proofErr w:type="spellEnd"/>
      <w:r w:rsidRPr="006720E4">
        <w:rPr>
          <w:rFonts w:cs="Calibri"/>
          <w:sz w:val="20"/>
          <w:szCs w:val="20"/>
        </w:rPr>
        <w:t xml:space="preserve"> A, </w:t>
      </w:r>
      <w:proofErr w:type="spellStart"/>
      <w:r w:rsidRPr="006720E4">
        <w:rPr>
          <w:rFonts w:cs="Calibri"/>
          <w:sz w:val="20"/>
          <w:szCs w:val="20"/>
        </w:rPr>
        <w:t>Moazam</w:t>
      </w:r>
      <w:proofErr w:type="spellEnd"/>
      <w:r w:rsidRPr="006720E4">
        <w:rPr>
          <w:rFonts w:cs="Calibri"/>
          <w:sz w:val="20"/>
          <w:szCs w:val="20"/>
        </w:rPr>
        <w:t xml:space="preserve"> F, Muller E, Danovitch GM, Codreanu I. Prevention of transnational transplant-related crimes—What more can be done?. Transplantation. 2016 Aug 1;100(8):1776-84.</w:t>
      </w:r>
    </w:p>
    <w:p w14:paraId="68F9DB05" w14:textId="46180B2A" w:rsidR="006C6EBA" w:rsidRPr="006720E4" w:rsidRDefault="006C6EBA" w:rsidP="00C3783C">
      <w:pPr>
        <w:pStyle w:val="NormalWeb"/>
        <w:numPr>
          <w:ilvl w:val="0"/>
          <w:numId w:val="89"/>
        </w:numPr>
        <w:spacing w:before="0" w:beforeAutospacing="0" w:after="120" w:afterAutospacing="0"/>
        <w:rPr>
          <w:rFonts w:cs="Calibri"/>
          <w:b/>
          <w:bCs/>
          <w:i/>
          <w:iCs/>
          <w:sz w:val="20"/>
          <w:szCs w:val="20"/>
        </w:rPr>
      </w:pPr>
      <w:r w:rsidRPr="006720E4">
        <w:rPr>
          <w:rFonts w:cs="Calibri"/>
          <w:sz w:val="20"/>
          <w:szCs w:val="20"/>
        </w:rPr>
        <w:t>Muller E, Dominguez-Gil B, Martin D. The Declaration of Istanbul on organ trafficking and transplant tourism (2018 Edition) introduction. Transplantation. 2019 Feb 1;103(2):217.</w:t>
      </w:r>
    </w:p>
    <w:p w14:paraId="545430E6" w14:textId="5F836156" w:rsidR="006C6EBA" w:rsidRPr="006720E4" w:rsidRDefault="006C6EBA" w:rsidP="00EA22AE">
      <w:pPr>
        <w:pStyle w:val="Appendix3"/>
        <w:numPr>
          <w:ilvl w:val="0"/>
          <w:numId w:val="0"/>
        </w:numPr>
        <w:spacing w:after="120"/>
        <w:ind w:left="360"/>
      </w:pPr>
      <w:bookmarkStart w:id="5786" w:name="_Toc79406565"/>
      <w:bookmarkStart w:id="5787" w:name="_Toc82623546"/>
      <w:bookmarkStart w:id="5788" w:name="_Toc82773803"/>
      <w:bookmarkStart w:id="5789" w:name="_Toc82774155"/>
      <w:bookmarkStart w:id="5790" w:name="_Toc128314271"/>
      <w:bookmarkStart w:id="5791" w:name="_Toc135131512"/>
      <w:bookmarkStart w:id="5792" w:name="Ch10Resources"/>
      <w:r w:rsidRPr="006720E4">
        <w:t>Chapter 1</w:t>
      </w:r>
      <w:r w:rsidR="00A83E9D">
        <w:t>1</w:t>
      </w:r>
      <w:r w:rsidRPr="006720E4">
        <w:t xml:space="preserve"> Resources</w:t>
      </w:r>
      <w:bookmarkEnd w:id="5786"/>
      <w:bookmarkEnd w:id="5787"/>
      <w:bookmarkEnd w:id="5788"/>
      <w:bookmarkEnd w:id="5789"/>
      <w:bookmarkEnd w:id="5790"/>
      <w:bookmarkEnd w:id="5791"/>
    </w:p>
    <w:bookmarkEnd w:id="5792"/>
    <w:p w14:paraId="3CE4B87A" w14:textId="77777777" w:rsidR="006C6EBA" w:rsidRPr="006720E4" w:rsidRDefault="006C6EBA" w:rsidP="00EA22AE">
      <w:pPr>
        <w:pStyle w:val="NormalWeb"/>
        <w:spacing w:before="0" w:beforeAutospacing="0" w:after="120" w:afterAutospacing="0"/>
        <w:rPr>
          <w:rFonts w:cs="Calibri"/>
          <w:b/>
          <w:bCs/>
          <w:i/>
          <w:iCs/>
          <w:sz w:val="20"/>
          <w:szCs w:val="20"/>
        </w:rPr>
      </w:pPr>
      <w:r w:rsidRPr="006720E4">
        <w:rPr>
          <w:rFonts w:cs="Calibri"/>
          <w:b/>
          <w:bCs/>
          <w:i/>
          <w:iCs/>
          <w:sz w:val="20"/>
          <w:szCs w:val="20"/>
        </w:rPr>
        <w:t xml:space="preserve">End of life care and deceased donation </w:t>
      </w:r>
    </w:p>
    <w:p w14:paraId="2D8600C1" w14:textId="77777777" w:rsidR="006C6EBA" w:rsidRPr="006720E4" w:rsidRDefault="006C6EBA" w:rsidP="00C3783C">
      <w:pPr>
        <w:pStyle w:val="NormalWeb"/>
        <w:numPr>
          <w:ilvl w:val="0"/>
          <w:numId w:val="91"/>
        </w:numPr>
        <w:spacing w:before="0" w:beforeAutospacing="0" w:after="120" w:afterAutospacing="0"/>
        <w:rPr>
          <w:rStyle w:val="Hyperlink"/>
          <w:rFonts w:eastAsiaTheme="majorEastAsia" w:cs="Calibri"/>
          <w:sz w:val="20"/>
          <w:szCs w:val="20"/>
        </w:rPr>
      </w:pPr>
      <w:r w:rsidRPr="006720E4">
        <w:rPr>
          <w:rFonts w:cs="Calibri"/>
          <w:sz w:val="20"/>
          <w:szCs w:val="20"/>
        </w:rPr>
        <w:t xml:space="preserve">ANZICS. The Statement on Death and Organ Donation. 2021. </w:t>
      </w:r>
      <w:hyperlink r:id="rId187" w:history="1">
        <w:r w:rsidRPr="006720E4">
          <w:rPr>
            <w:rStyle w:val="Hyperlink"/>
            <w:rFonts w:eastAsiaTheme="majorEastAsia" w:cs="Calibri"/>
            <w:sz w:val="20"/>
            <w:szCs w:val="20"/>
          </w:rPr>
          <w:t>https://www.anzics.com.au/wp-content/uploads/2020/07/ANZICS-Statement-on-Death-and-Organ-Donation-Edition-4.pdf</w:t>
        </w:r>
      </w:hyperlink>
    </w:p>
    <w:p w14:paraId="08D7BD30" w14:textId="77777777" w:rsidR="006C6EBA" w:rsidRPr="006720E4" w:rsidRDefault="006C6EBA" w:rsidP="00C3783C">
      <w:pPr>
        <w:pStyle w:val="NormalWeb"/>
        <w:numPr>
          <w:ilvl w:val="0"/>
          <w:numId w:val="91"/>
        </w:numPr>
        <w:spacing w:before="0" w:beforeAutospacing="0" w:after="120" w:afterAutospacing="0"/>
        <w:rPr>
          <w:rFonts w:eastAsiaTheme="majorEastAsia" w:cs="Calibri"/>
          <w:sz w:val="20"/>
          <w:szCs w:val="20"/>
        </w:rPr>
      </w:pPr>
      <w:r w:rsidRPr="006720E4">
        <w:rPr>
          <w:rFonts w:cs="Calibri"/>
          <w:sz w:val="20"/>
          <w:szCs w:val="20"/>
        </w:rPr>
        <w:t xml:space="preserve">OPTN. Living donation by persons with certain fatal diseases. </w:t>
      </w:r>
      <w:hyperlink r:id="rId188" w:history="1">
        <w:r w:rsidRPr="006720E4">
          <w:rPr>
            <w:rStyle w:val="Hyperlink"/>
            <w:rFonts w:eastAsiaTheme="majorEastAsia" w:cs="Calibri"/>
            <w:sz w:val="20"/>
            <w:szCs w:val="20"/>
          </w:rPr>
          <w:t>https://optn.transplant.hrsa.gov/resources/ethics/living-donation-by-persons-with-certain-fatal-diseases-white-paper/</w:t>
        </w:r>
      </w:hyperlink>
    </w:p>
    <w:p w14:paraId="5781A271" w14:textId="77777777" w:rsidR="006C6EBA" w:rsidRPr="006720E4" w:rsidRDefault="006C6EBA" w:rsidP="00C3783C">
      <w:pPr>
        <w:pStyle w:val="ListParagraph"/>
        <w:numPr>
          <w:ilvl w:val="0"/>
          <w:numId w:val="91"/>
        </w:numPr>
        <w:spacing w:after="120"/>
        <w:contextualSpacing w:val="0"/>
        <w:rPr>
          <w:rFonts w:cs="Calibri"/>
          <w:sz w:val="20"/>
          <w:szCs w:val="20"/>
        </w:rPr>
      </w:pPr>
      <w:r w:rsidRPr="006720E4">
        <w:rPr>
          <w:rFonts w:cs="Calibri"/>
          <w:sz w:val="20"/>
          <w:szCs w:val="20"/>
        </w:rPr>
        <w:t>McGee AJ, White BP. Is providing elective ventilation in the best interests of potential donors?. Journal of Medical Ethics. 2013 Mar 1;39(3):135-8.</w:t>
      </w:r>
    </w:p>
    <w:p w14:paraId="2341B83F" w14:textId="77777777" w:rsidR="006C6EBA" w:rsidRPr="006720E4" w:rsidRDefault="006C6EBA" w:rsidP="00C3783C">
      <w:pPr>
        <w:pStyle w:val="ListParagraph"/>
        <w:numPr>
          <w:ilvl w:val="0"/>
          <w:numId w:val="91"/>
        </w:numPr>
        <w:spacing w:after="120"/>
        <w:contextualSpacing w:val="0"/>
        <w:rPr>
          <w:rFonts w:cs="Calibri"/>
          <w:sz w:val="20"/>
          <w:szCs w:val="20"/>
        </w:rPr>
      </w:pPr>
      <w:r w:rsidRPr="006720E4">
        <w:rPr>
          <w:rFonts w:cs="Calibri"/>
          <w:sz w:val="20"/>
          <w:szCs w:val="20"/>
        </w:rPr>
        <w:t>Gardiner D, Shaw DM, Kilcullen JK, Dalle Ave AL. Intensive care for organ preservation: A four-stage pathway. Journal of the Intensive Care Society. 2019 Nov;20(4):335-40.</w:t>
      </w:r>
    </w:p>
    <w:p w14:paraId="2B4611A5" w14:textId="77777777" w:rsidR="006C6EBA" w:rsidRPr="006720E4" w:rsidRDefault="006C6EBA" w:rsidP="00C3783C">
      <w:pPr>
        <w:pStyle w:val="ListParagraph"/>
        <w:numPr>
          <w:ilvl w:val="0"/>
          <w:numId w:val="91"/>
        </w:numPr>
        <w:spacing w:after="120"/>
        <w:contextualSpacing w:val="0"/>
        <w:rPr>
          <w:rFonts w:cs="Calibri"/>
          <w:sz w:val="20"/>
          <w:szCs w:val="20"/>
        </w:rPr>
      </w:pPr>
      <w:r w:rsidRPr="006720E4">
        <w:rPr>
          <w:rFonts w:cs="Calibri"/>
          <w:sz w:val="20"/>
          <w:szCs w:val="20"/>
        </w:rPr>
        <w:t>http://www.aomrc.org.uk/wp-content/uploads/2016/07/Nontherapeutic_elective_ventilation_0416-2.pdf</w:t>
      </w:r>
    </w:p>
    <w:p w14:paraId="3A1FA8BB" w14:textId="77777777" w:rsidR="006C6EBA" w:rsidRPr="006720E4" w:rsidRDefault="006C6EBA" w:rsidP="00C3783C">
      <w:pPr>
        <w:pStyle w:val="NormalWeb"/>
        <w:numPr>
          <w:ilvl w:val="0"/>
          <w:numId w:val="91"/>
        </w:numPr>
        <w:spacing w:before="0" w:beforeAutospacing="0" w:after="120" w:afterAutospacing="0"/>
        <w:rPr>
          <w:rFonts w:cs="Calibri"/>
          <w:b/>
          <w:bCs/>
          <w:i/>
          <w:iCs/>
          <w:sz w:val="20"/>
          <w:szCs w:val="20"/>
        </w:rPr>
      </w:pPr>
      <w:r w:rsidRPr="006720E4">
        <w:rPr>
          <w:rFonts w:cs="Calibri"/>
          <w:sz w:val="20"/>
          <w:szCs w:val="20"/>
        </w:rPr>
        <w:t xml:space="preserve">van Haren FM, Carter A, </w:t>
      </w:r>
      <w:proofErr w:type="spellStart"/>
      <w:r w:rsidRPr="006720E4">
        <w:rPr>
          <w:rFonts w:cs="Calibri"/>
          <w:sz w:val="20"/>
          <w:szCs w:val="20"/>
        </w:rPr>
        <w:t>Cavazzoni</w:t>
      </w:r>
      <w:proofErr w:type="spellEnd"/>
      <w:r w:rsidRPr="006720E4">
        <w:rPr>
          <w:rFonts w:cs="Calibri"/>
          <w:sz w:val="20"/>
          <w:szCs w:val="20"/>
        </w:rPr>
        <w:t xml:space="preserve"> E, Chapman M, D'Costa RL, Jones SL, McGee A, Moodie S, Nunnink L, O'Leary M, Opdam H. Conflicts of interest in the context of end of life care for potential organ donors in Australia. Journal of Critical Care. 2020 Jul 4.</w:t>
      </w:r>
    </w:p>
    <w:p w14:paraId="6B98D3D7" w14:textId="44A9E55E" w:rsidR="006C6EBA" w:rsidRPr="006720E4" w:rsidRDefault="006C6EBA" w:rsidP="00EA22AE">
      <w:pPr>
        <w:pStyle w:val="NormalWeb"/>
        <w:spacing w:before="0" w:beforeAutospacing="0" w:after="120" w:afterAutospacing="0"/>
        <w:rPr>
          <w:rFonts w:cs="Calibri"/>
          <w:b/>
          <w:bCs/>
          <w:sz w:val="20"/>
          <w:szCs w:val="20"/>
        </w:rPr>
      </w:pPr>
      <w:r w:rsidRPr="006720E4">
        <w:rPr>
          <w:rFonts w:cs="Calibri"/>
          <w:b/>
          <w:bCs/>
          <w:sz w:val="20"/>
          <w:szCs w:val="20"/>
        </w:rPr>
        <w:t xml:space="preserve">Donation </w:t>
      </w:r>
      <w:r w:rsidR="00E47AA5">
        <w:rPr>
          <w:rFonts w:cs="Calibri"/>
          <w:b/>
          <w:bCs/>
          <w:sz w:val="20"/>
          <w:szCs w:val="20"/>
        </w:rPr>
        <w:t>following voluntary assisted dying</w:t>
      </w:r>
    </w:p>
    <w:p w14:paraId="6103CB00" w14:textId="45889001" w:rsidR="006C6EBA" w:rsidRPr="006720E4" w:rsidRDefault="006C6EBA" w:rsidP="00C3783C">
      <w:pPr>
        <w:pStyle w:val="NormalWeb"/>
        <w:numPr>
          <w:ilvl w:val="0"/>
          <w:numId w:val="90"/>
        </w:numPr>
        <w:spacing w:before="0" w:beforeAutospacing="0" w:after="120" w:afterAutospacing="0"/>
        <w:rPr>
          <w:rFonts w:cs="Calibri"/>
          <w:sz w:val="20"/>
          <w:szCs w:val="20"/>
        </w:rPr>
      </w:pPr>
      <w:r w:rsidRPr="006720E4">
        <w:rPr>
          <w:rFonts w:cs="Calibri"/>
          <w:sz w:val="20"/>
          <w:szCs w:val="20"/>
        </w:rPr>
        <w:t>Philpot SJ. Organ donation after circulatory death following voluntary assisted dying: practical and ethical considerations for Victoria. Critical Care and Resuscitation. 2018 Dec;20(4):254</w:t>
      </w:r>
    </w:p>
    <w:p w14:paraId="698FAE6B" w14:textId="77777777" w:rsidR="006C6EBA" w:rsidRPr="006720E4" w:rsidRDefault="006C6EBA" w:rsidP="00C3783C">
      <w:pPr>
        <w:pStyle w:val="NormalWeb"/>
        <w:numPr>
          <w:ilvl w:val="0"/>
          <w:numId w:val="90"/>
        </w:numPr>
        <w:spacing w:before="0" w:beforeAutospacing="0" w:after="120" w:afterAutospacing="0"/>
        <w:rPr>
          <w:rStyle w:val="Hyperlink"/>
          <w:rFonts w:cs="Calibri"/>
          <w:b/>
          <w:bCs/>
          <w:color w:val="auto"/>
          <w:sz w:val="20"/>
          <w:szCs w:val="20"/>
          <w:u w:val="none"/>
        </w:rPr>
      </w:pPr>
      <w:proofErr w:type="spellStart"/>
      <w:r w:rsidRPr="006720E4">
        <w:rPr>
          <w:rFonts w:cs="Calibri"/>
          <w:sz w:val="20"/>
          <w:szCs w:val="20"/>
        </w:rPr>
        <w:lastRenderedPageBreak/>
        <w:t>Downar</w:t>
      </w:r>
      <w:proofErr w:type="spellEnd"/>
      <w:r w:rsidRPr="006720E4">
        <w:rPr>
          <w:rFonts w:cs="Calibri"/>
          <w:sz w:val="20"/>
          <w:szCs w:val="20"/>
        </w:rPr>
        <w:t xml:space="preserve"> J, </w:t>
      </w:r>
      <w:proofErr w:type="spellStart"/>
      <w:r w:rsidRPr="006720E4">
        <w:rPr>
          <w:rFonts w:cs="Calibri"/>
          <w:sz w:val="20"/>
          <w:szCs w:val="20"/>
        </w:rPr>
        <w:t>Shemie</w:t>
      </w:r>
      <w:proofErr w:type="spellEnd"/>
      <w:r w:rsidRPr="006720E4">
        <w:rPr>
          <w:rFonts w:cs="Calibri"/>
          <w:sz w:val="20"/>
          <w:szCs w:val="20"/>
        </w:rPr>
        <w:t xml:space="preserve"> SD, </w:t>
      </w:r>
      <w:proofErr w:type="spellStart"/>
      <w:r w:rsidRPr="006720E4">
        <w:rPr>
          <w:rFonts w:cs="Calibri"/>
          <w:sz w:val="20"/>
          <w:szCs w:val="20"/>
        </w:rPr>
        <w:t>Gillrie</w:t>
      </w:r>
      <w:proofErr w:type="spellEnd"/>
      <w:r w:rsidRPr="006720E4">
        <w:rPr>
          <w:rFonts w:cs="Calibri"/>
          <w:sz w:val="20"/>
          <w:szCs w:val="20"/>
        </w:rPr>
        <w:t xml:space="preserve"> C, Fortin MC, Appleby A, Buchman DZ, Shoesmith C, Goldberg A, Gruben V, Lalani J, </w:t>
      </w:r>
      <w:proofErr w:type="spellStart"/>
      <w:r w:rsidRPr="006720E4">
        <w:rPr>
          <w:rFonts w:cs="Calibri"/>
          <w:sz w:val="20"/>
          <w:szCs w:val="20"/>
        </w:rPr>
        <w:t>Ysebaert</w:t>
      </w:r>
      <w:proofErr w:type="spellEnd"/>
      <w:r w:rsidRPr="006720E4">
        <w:rPr>
          <w:rFonts w:cs="Calibri"/>
          <w:sz w:val="20"/>
          <w:szCs w:val="20"/>
        </w:rPr>
        <w:t xml:space="preserve"> D. Deceased organ and tissue donation after medical assistance in dying and other conscious and competent donors: guidance for policy. CMAJ. 2019 Jun 3;191(22):E604-13. </w:t>
      </w:r>
      <w:r w:rsidRPr="006720E4">
        <w:rPr>
          <w:rStyle w:val="Emphasis"/>
          <w:rFonts w:cs="Calibri"/>
          <w:b/>
          <w:bCs/>
          <w:color w:val="4D4D4D"/>
          <w:sz w:val="20"/>
          <w:szCs w:val="20"/>
        </w:rPr>
        <w:t xml:space="preserve">. </w:t>
      </w:r>
      <w:hyperlink r:id="rId189" w:history="1">
        <w:r w:rsidRPr="006720E4">
          <w:rPr>
            <w:rStyle w:val="Hyperlink"/>
            <w:rFonts w:eastAsiaTheme="majorEastAsia" w:cs="Calibri"/>
            <w:b/>
            <w:bCs/>
            <w:sz w:val="20"/>
            <w:szCs w:val="20"/>
          </w:rPr>
          <w:t>http://www.cmaj.ca/lookup/doi/10.1503/cmaj.181648</w:t>
        </w:r>
      </w:hyperlink>
    </w:p>
    <w:p w14:paraId="48231C88" w14:textId="23095D04" w:rsidR="006C6EBA" w:rsidRPr="006720E4" w:rsidRDefault="006C6EBA" w:rsidP="00EA22AE">
      <w:pPr>
        <w:pStyle w:val="NormalWeb"/>
        <w:spacing w:before="0" w:beforeAutospacing="0" w:after="120" w:afterAutospacing="0"/>
        <w:rPr>
          <w:rFonts w:cs="Calibri"/>
          <w:b/>
          <w:bCs/>
          <w:sz w:val="20"/>
          <w:szCs w:val="20"/>
        </w:rPr>
      </w:pPr>
      <w:r w:rsidRPr="006720E4">
        <w:rPr>
          <w:rFonts w:cs="Calibri"/>
          <w:b/>
          <w:bCs/>
          <w:sz w:val="20"/>
          <w:szCs w:val="20"/>
        </w:rPr>
        <w:t>Donation by infants with anencephaly</w:t>
      </w:r>
    </w:p>
    <w:p w14:paraId="060A6933" w14:textId="39423673" w:rsidR="006C6EBA" w:rsidRPr="006720E4" w:rsidRDefault="006C6EBA" w:rsidP="00C3783C">
      <w:pPr>
        <w:pStyle w:val="ListParagraph"/>
        <w:numPr>
          <w:ilvl w:val="0"/>
          <w:numId w:val="96"/>
        </w:numPr>
        <w:spacing w:after="120"/>
        <w:contextualSpacing w:val="0"/>
        <w:rPr>
          <w:rStyle w:val="Hyperlink"/>
          <w:rFonts w:cs="Calibri"/>
          <w:color w:val="auto"/>
          <w:sz w:val="20"/>
          <w:szCs w:val="20"/>
          <w:u w:val="none"/>
        </w:rPr>
      </w:pPr>
      <w:r w:rsidRPr="006720E4">
        <w:rPr>
          <w:rStyle w:val="markedcontent"/>
          <w:rFonts w:cs="Calibri"/>
          <w:sz w:val="20"/>
          <w:szCs w:val="20"/>
        </w:rPr>
        <w:t xml:space="preserve">Organ donation from infants with anencephaly —guidance from the UK Donation Ethics Committee. Available at: </w:t>
      </w:r>
      <w:hyperlink r:id="rId190" w:history="1">
        <w:r w:rsidRPr="006720E4">
          <w:rPr>
            <w:rStyle w:val="Hyperlink"/>
            <w:rFonts w:eastAsiaTheme="majorEastAsia" w:cs="Calibri"/>
            <w:bCs/>
            <w:sz w:val="20"/>
            <w:szCs w:val="20"/>
          </w:rPr>
          <w:t>http://aomrc.org.uk/wp-content/uploads/2016/06/Organ_Donation_-infants_anencephaly_020316-2.pdf</w:t>
        </w:r>
      </w:hyperlink>
    </w:p>
    <w:p w14:paraId="58726A32" w14:textId="77777777" w:rsidR="006C6EBA" w:rsidRPr="006720E4" w:rsidRDefault="006C6EBA" w:rsidP="00C3783C">
      <w:pPr>
        <w:pStyle w:val="NormalWeb"/>
        <w:numPr>
          <w:ilvl w:val="0"/>
          <w:numId w:val="96"/>
        </w:numPr>
        <w:spacing w:before="0" w:beforeAutospacing="0" w:after="120" w:afterAutospacing="0"/>
        <w:rPr>
          <w:rFonts w:cs="Calibri"/>
          <w:b/>
          <w:bCs/>
          <w:sz w:val="20"/>
          <w:szCs w:val="20"/>
        </w:rPr>
      </w:pPr>
      <w:r w:rsidRPr="006720E4">
        <w:rPr>
          <w:rFonts w:cs="Calibri"/>
          <w:sz w:val="20"/>
          <w:szCs w:val="20"/>
        </w:rPr>
        <w:t>Byrne P, Canadian Paediatric Society (CPS), Bioethics Committee. Use of anencephalic newborns as organ donors. Paediatrics &amp; Child Health. 2005 Aug 1;10(6):335-7.</w:t>
      </w:r>
    </w:p>
    <w:p w14:paraId="3860E17F" w14:textId="21D42273" w:rsidR="006C6EBA" w:rsidRPr="006720E4" w:rsidRDefault="006C6EBA" w:rsidP="00EA22AE">
      <w:pPr>
        <w:pStyle w:val="Appendix3"/>
        <w:numPr>
          <w:ilvl w:val="0"/>
          <w:numId w:val="0"/>
        </w:numPr>
        <w:spacing w:after="120"/>
        <w:ind w:left="360"/>
      </w:pPr>
      <w:bookmarkStart w:id="5793" w:name="_Toc79406566"/>
      <w:bookmarkStart w:id="5794" w:name="_Toc82623547"/>
      <w:bookmarkStart w:id="5795" w:name="_Toc82773804"/>
      <w:bookmarkStart w:id="5796" w:name="_Toc82774156"/>
      <w:bookmarkStart w:id="5797" w:name="_Toc128314272"/>
      <w:bookmarkStart w:id="5798" w:name="_Toc135131513"/>
      <w:bookmarkStart w:id="5799" w:name="Ch11Resources"/>
      <w:r w:rsidRPr="006720E4">
        <w:t>Chapter 1</w:t>
      </w:r>
      <w:r w:rsidR="00A83E9D">
        <w:t>2</w:t>
      </w:r>
      <w:r w:rsidRPr="006720E4">
        <w:t xml:space="preserve"> Resources</w:t>
      </w:r>
      <w:bookmarkEnd w:id="5793"/>
      <w:bookmarkEnd w:id="5794"/>
      <w:bookmarkEnd w:id="5795"/>
      <w:bookmarkEnd w:id="5796"/>
      <w:bookmarkEnd w:id="5797"/>
      <w:bookmarkEnd w:id="5798"/>
    </w:p>
    <w:bookmarkEnd w:id="5799"/>
    <w:p w14:paraId="77B79D19" w14:textId="77777777" w:rsidR="006C6EBA" w:rsidRPr="006720E4" w:rsidRDefault="006C6EBA" w:rsidP="00EA22AE">
      <w:pPr>
        <w:pStyle w:val="NormalWeb"/>
        <w:spacing w:before="0" w:beforeAutospacing="0" w:after="120" w:afterAutospacing="0"/>
        <w:rPr>
          <w:rFonts w:cs="Calibri"/>
          <w:i/>
          <w:iCs/>
          <w:sz w:val="20"/>
          <w:szCs w:val="20"/>
        </w:rPr>
      </w:pPr>
      <w:r w:rsidRPr="006720E4">
        <w:rPr>
          <w:rFonts w:cs="Calibri"/>
          <w:b/>
          <w:bCs/>
          <w:i/>
          <w:iCs/>
          <w:sz w:val="20"/>
          <w:szCs w:val="20"/>
        </w:rPr>
        <w:t>Public solicitation of living donors</w:t>
      </w:r>
      <w:r w:rsidRPr="006720E4">
        <w:rPr>
          <w:rFonts w:cs="Calibri"/>
          <w:i/>
          <w:iCs/>
          <w:sz w:val="20"/>
          <w:szCs w:val="20"/>
        </w:rPr>
        <w:t xml:space="preserve"> </w:t>
      </w:r>
    </w:p>
    <w:p w14:paraId="5A12D1B9" w14:textId="77777777" w:rsidR="006C6EBA" w:rsidRPr="006720E4" w:rsidRDefault="006C6EBA" w:rsidP="00C3783C">
      <w:pPr>
        <w:pStyle w:val="NormalWeb"/>
        <w:numPr>
          <w:ilvl w:val="0"/>
          <w:numId w:val="92"/>
        </w:numPr>
        <w:spacing w:before="0" w:beforeAutospacing="0" w:after="120" w:afterAutospacing="0"/>
        <w:rPr>
          <w:rFonts w:cs="Calibri"/>
          <w:i/>
          <w:iCs/>
          <w:sz w:val="20"/>
          <w:szCs w:val="20"/>
        </w:rPr>
      </w:pPr>
      <w:r w:rsidRPr="006720E4">
        <w:rPr>
          <w:rFonts w:cs="Calibri"/>
          <w:sz w:val="20"/>
          <w:szCs w:val="20"/>
        </w:rPr>
        <w:t xml:space="preserve">Society BT. Guidelines for directed altruistic organ donation. </w:t>
      </w:r>
      <w:r w:rsidRPr="006720E4">
        <w:rPr>
          <w:rFonts w:cs="Calibri"/>
          <w:i/>
          <w:iCs/>
          <w:sz w:val="20"/>
          <w:szCs w:val="20"/>
        </w:rPr>
        <w:t>British Transplant Soc</w:t>
      </w:r>
      <w:r w:rsidRPr="006720E4">
        <w:rPr>
          <w:rFonts w:cs="Calibri"/>
          <w:sz w:val="20"/>
          <w:szCs w:val="20"/>
        </w:rPr>
        <w:t xml:space="preserve">. 2014:1-4. </w:t>
      </w:r>
      <w:hyperlink r:id="rId191" w:history="1">
        <w:r w:rsidRPr="006720E4">
          <w:rPr>
            <w:rStyle w:val="Hyperlink"/>
            <w:rFonts w:eastAsiaTheme="majorEastAsia" w:cs="Calibri"/>
            <w:bCs/>
            <w:sz w:val="20"/>
            <w:szCs w:val="20"/>
          </w:rPr>
          <w:t>https://bts.org.uk/wp-content/uploads/2016/09/16_BTS_Directed_Altruistic_2-1.pdf</w:t>
        </w:r>
      </w:hyperlink>
    </w:p>
    <w:p w14:paraId="1F0499F9" w14:textId="77777777" w:rsidR="006C6EBA" w:rsidRPr="006720E4" w:rsidRDefault="006C6EBA" w:rsidP="00C3783C">
      <w:pPr>
        <w:pStyle w:val="NormalWeb"/>
        <w:numPr>
          <w:ilvl w:val="0"/>
          <w:numId w:val="92"/>
        </w:numPr>
        <w:spacing w:before="0" w:beforeAutospacing="0" w:after="120" w:afterAutospacing="0"/>
        <w:rPr>
          <w:rFonts w:cs="Calibri"/>
          <w:i/>
          <w:iCs/>
          <w:sz w:val="20"/>
          <w:szCs w:val="20"/>
        </w:rPr>
      </w:pPr>
      <w:r w:rsidRPr="006720E4">
        <w:rPr>
          <w:rFonts w:cs="Calibri"/>
          <w:sz w:val="20"/>
          <w:szCs w:val="20"/>
        </w:rPr>
        <w:t>Fortin MC, Buchman D, Wright L, Chandler J, Delaney S, Fairhead T, Gallaher R, Grant D, Greenberg R, Hartell D, Holdsworth S. Public solicitation of anonymous organ donors: a position paper by the Canadian Society of Transplantation. Transplantation. 2017 Jan 1;101(1):17-20.</w:t>
      </w:r>
    </w:p>
    <w:p w14:paraId="0E93B14A" w14:textId="77777777" w:rsidR="006C6EBA" w:rsidRPr="006720E4" w:rsidRDefault="006C6EBA" w:rsidP="00C3783C">
      <w:pPr>
        <w:pStyle w:val="NormalWeb"/>
        <w:numPr>
          <w:ilvl w:val="0"/>
          <w:numId w:val="92"/>
        </w:numPr>
        <w:spacing w:before="0" w:beforeAutospacing="0" w:after="120" w:afterAutospacing="0"/>
        <w:rPr>
          <w:rStyle w:val="Hyperlink"/>
          <w:rFonts w:cs="Calibri"/>
          <w:i/>
          <w:iCs/>
          <w:color w:val="auto"/>
          <w:sz w:val="20"/>
          <w:szCs w:val="20"/>
          <w:u w:val="none"/>
        </w:rPr>
      </w:pPr>
      <w:r w:rsidRPr="006720E4">
        <w:rPr>
          <w:rFonts w:cs="Calibri"/>
          <w:sz w:val="20"/>
          <w:szCs w:val="20"/>
        </w:rPr>
        <w:t xml:space="preserve">Henderson ML, Clayville KA, Fisher JS, Kuntz KK, </w:t>
      </w:r>
      <w:proofErr w:type="spellStart"/>
      <w:r w:rsidRPr="006720E4">
        <w:rPr>
          <w:rFonts w:cs="Calibri"/>
          <w:sz w:val="20"/>
          <w:szCs w:val="20"/>
        </w:rPr>
        <w:t>Mysel</w:t>
      </w:r>
      <w:proofErr w:type="spellEnd"/>
      <w:r w:rsidRPr="006720E4">
        <w:rPr>
          <w:rFonts w:cs="Calibri"/>
          <w:sz w:val="20"/>
          <w:szCs w:val="20"/>
        </w:rPr>
        <w:t xml:space="preserve"> H, Purnell TS, Schaffer RL, Sherman LA, Willock EP, Gordon EJ. Social media and organ donation: Ethically navigating the next frontier. American Journal of Transplantation. 2017 Nov;17(11):2803-9. </w:t>
      </w:r>
      <w:hyperlink r:id="rId192" w:history="1">
        <w:r w:rsidRPr="006720E4">
          <w:rPr>
            <w:rStyle w:val="Hyperlink"/>
            <w:rFonts w:eastAsiaTheme="majorEastAsia" w:cs="Calibri"/>
            <w:sz w:val="20"/>
            <w:szCs w:val="20"/>
          </w:rPr>
          <w:t>https://onlinelibrary.wiley.com/doi/full/10.1111/ajt.14444</w:t>
        </w:r>
      </w:hyperlink>
    </w:p>
    <w:p w14:paraId="53051077" w14:textId="77777777" w:rsidR="006C6EBA" w:rsidRPr="006720E4" w:rsidRDefault="006C6EBA" w:rsidP="00C3783C">
      <w:pPr>
        <w:pStyle w:val="NormalWeb"/>
        <w:numPr>
          <w:ilvl w:val="0"/>
          <w:numId w:val="92"/>
        </w:numPr>
        <w:spacing w:before="0" w:beforeAutospacing="0" w:after="120" w:afterAutospacing="0"/>
        <w:rPr>
          <w:rFonts w:cs="Calibri"/>
          <w:i/>
          <w:iCs/>
          <w:sz w:val="20"/>
          <w:szCs w:val="20"/>
        </w:rPr>
      </w:pPr>
      <w:r w:rsidRPr="006720E4">
        <w:rPr>
          <w:rFonts w:cs="Calibri"/>
          <w:sz w:val="20"/>
          <w:szCs w:val="20"/>
        </w:rPr>
        <w:t xml:space="preserve">OPTN. How to find a living donor. </w:t>
      </w:r>
      <w:hyperlink r:id="rId193" w:history="1">
        <w:r w:rsidRPr="006720E4">
          <w:rPr>
            <w:rStyle w:val="Hyperlink"/>
            <w:rFonts w:eastAsiaTheme="majorEastAsia" w:cs="Calibri"/>
            <w:sz w:val="20"/>
            <w:szCs w:val="20"/>
          </w:rPr>
          <w:t>https://optn.transplant.hrsa.gov/media/2267/find_a_living_donor.pdf</w:t>
        </w:r>
      </w:hyperlink>
    </w:p>
    <w:p w14:paraId="045581FF" w14:textId="3C2FA502" w:rsidR="006C6EBA" w:rsidRPr="006720E4" w:rsidRDefault="006C6EBA" w:rsidP="00EA22AE">
      <w:pPr>
        <w:pStyle w:val="NormalWeb"/>
        <w:spacing w:before="0" w:beforeAutospacing="0" w:after="120" w:afterAutospacing="0"/>
        <w:rPr>
          <w:rFonts w:cs="Calibri"/>
          <w:b/>
          <w:bCs/>
          <w:sz w:val="20"/>
          <w:szCs w:val="20"/>
        </w:rPr>
      </w:pPr>
      <w:r w:rsidRPr="006720E4">
        <w:rPr>
          <w:rFonts w:cs="Calibri"/>
          <w:b/>
          <w:bCs/>
          <w:sz w:val="20"/>
          <w:szCs w:val="20"/>
        </w:rPr>
        <w:t>Living kidney donor “vouchers”</w:t>
      </w:r>
    </w:p>
    <w:p w14:paraId="5F68C22A" w14:textId="0AD9FF4B" w:rsidR="006C6EBA" w:rsidRPr="006720E4" w:rsidRDefault="006C6EBA" w:rsidP="00C3783C">
      <w:pPr>
        <w:pStyle w:val="ListParagraph"/>
        <w:numPr>
          <w:ilvl w:val="0"/>
          <w:numId w:val="95"/>
        </w:numPr>
        <w:spacing w:after="120"/>
        <w:contextualSpacing w:val="0"/>
        <w:rPr>
          <w:rFonts w:cs="Calibri"/>
          <w:sz w:val="20"/>
          <w:szCs w:val="20"/>
        </w:rPr>
      </w:pPr>
      <w:r w:rsidRPr="006720E4">
        <w:rPr>
          <w:rFonts w:cs="Calibri"/>
          <w:sz w:val="20"/>
          <w:szCs w:val="20"/>
        </w:rPr>
        <w:t xml:space="preserve">Cooper M, Leeser DB, </w:t>
      </w:r>
      <w:proofErr w:type="spellStart"/>
      <w:r w:rsidRPr="006720E4">
        <w:rPr>
          <w:rFonts w:cs="Calibri"/>
          <w:sz w:val="20"/>
          <w:szCs w:val="20"/>
        </w:rPr>
        <w:t>Flechner</w:t>
      </w:r>
      <w:proofErr w:type="spellEnd"/>
      <w:r w:rsidRPr="006720E4">
        <w:rPr>
          <w:rFonts w:cs="Calibri"/>
          <w:sz w:val="20"/>
          <w:szCs w:val="20"/>
        </w:rPr>
        <w:t xml:space="preserve"> SM, Beaumont JL, Waterman AD, Shannon PW, Ronin M, </w:t>
      </w:r>
      <w:proofErr w:type="spellStart"/>
      <w:r w:rsidRPr="006720E4">
        <w:rPr>
          <w:rFonts w:cs="Calibri"/>
          <w:sz w:val="20"/>
          <w:szCs w:val="20"/>
        </w:rPr>
        <w:t>Hil</w:t>
      </w:r>
      <w:proofErr w:type="spellEnd"/>
      <w:r w:rsidRPr="006720E4">
        <w:rPr>
          <w:rFonts w:cs="Calibri"/>
          <w:sz w:val="20"/>
          <w:szCs w:val="20"/>
        </w:rPr>
        <w:t xml:space="preserve"> G, Veale JL. Ensuring the need is met: A 50‐year simulation study of the National Kidney Registry’s family voucher program. American Journal of Transplantation. 2021 Mar;21(3):1128-37.</w:t>
      </w:r>
    </w:p>
    <w:p w14:paraId="50EDBDBE" w14:textId="6823913F" w:rsidR="006C6EBA" w:rsidRPr="006720E4" w:rsidRDefault="006C6EBA" w:rsidP="00C3783C">
      <w:pPr>
        <w:pStyle w:val="ListParagraph"/>
        <w:numPr>
          <w:ilvl w:val="0"/>
          <w:numId w:val="95"/>
        </w:numPr>
        <w:spacing w:after="120"/>
        <w:contextualSpacing w:val="0"/>
        <w:rPr>
          <w:rFonts w:cs="Calibri"/>
          <w:sz w:val="20"/>
          <w:szCs w:val="20"/>
        </w:rPr>
      </w:pPr>
      <w:r w:rsidRPr="006720E4">
        <w:rPr>
          <w:rFonts w:cs="Calibri"/>
          <w:sz w:val="20"/>
          <w:szCs w:val="20"/>
        </w:rPr>
        <w:t xml:space="preserve">Veale JL, Capron AM, Nassiri N, Danovitch G, Gritsch HA, Waterman A, Del Pizzo J, Hu JC, </w:t>
      </w:r>
      <w:proofErr w:type="spellStart"/>
      <w:r w:rsidRPr="006720E4">
        <w:rPr>
          <w:rFonts w:cs="Calibri"/>
          <w:sz w:val="20"/>
          <w:szCs w:val="20"/>
        </w:rPr>
        <w:t>Pycia</w:t>
      </w:r>
      <w:proofErr w:type="spellEnd"/>
      <w:r w:rsidRPr="006720E4">
        <w:rPr>
          <w:rFonts w:cs="Calibri"/>
          <w:sz w:val="20"/>
          <w:szCs w:val="20"/>
        </w:rPr>
        <w:t xml:space="preserve"> M, McGuire S, Charlton M. Vouchers for future kidney transplants to overcome “chronological incompatibility” between living donors and recipients. Transplantation. 2017 Sep 1;101(9):2115-9.</w:t>
      </w:r>
    </w:p>
    <w:p w14:paraId="4B94FEDC" w14:textId="37881626" w:rsidR="006C6EBA" w:rsidRPr="006720E4" w:rsidRDefault="006C6EBA" w:rsidP="00C3783C">
      <w:pPr>
        <w:pStyle w:val="NormalWeb"/>
        <w:numPr>
          <w:ilvl w:val="0"/>
          <w:numId w:val="95"/>
        </w:numPr>
        <w:spacing w:before="0" w:beforeAutospacing="0" w:after="120" w:afterAutospacing="0"/>
        <w:rPr>
          <w:rFonts w:cs="Calibri"/>
          <w:b/>
          <w:bCs/>
          <w:i/>
          <w:iCs/>
          <w:sz w:val="20"/>
          <w:szCs w:val="20"/>
        </w:rPr>
      </w:pPr>
      <w:r w:rsidRPr="006720E4">
        <w:rPr>
          <w:rFonts w:cs="Calibri"/>
          <w:sz w:val="20"/>
          <w:szCs w:val="20"/>
        </w:rPr>
        <w:t>Martin DE, Danovitch GM. Banking on living kidney donors—A new way to facilitate donation without compromising on ethical values. The Journal of Medicine and Philosophy. 2017;42(5): 537-558.</w:t>
      </w:r>
    </w:p>
    <w:p w14:paraId="2E0219C9" w14:textId="7AC677BC" w:rsidR="006C6EBA" w:rsidRPr="006720E4" w:rsidRDefault="006C6EBA" w:rsidP="00EA22AE">
      <w:pPr>
        <w:pStyle w:val="NormalWeb"/>
        <w:spacing w:before="0" w:beforeAutospacing="0" w:after="120" w:afterAutospacing="0"/>
        <w:rPr>
          <w:rFonts w:cs="Calibri"/>
          <w:i/>
          <w:iCs/>
          <w:sz w:val="20"/>
          <w:szCs w:val="20"/>
        </w:rPr>
      </w:pPr>
      <w:r w:rsidRPr="006720E4">
        <w:rPr>
          <w:rFonts w:cs="Calibri"/>
          <w:b/>
          <w:bCs/>
          <w:i/>
          <w:iCs/>
          <w:sz w:val="20"/>
          <w:szCs w:val="20"/>
        </w:rPr>
        <w:t>Umbilical cord blood donation</w:t>
      </w:r>
    </w:p>
    <w:p w14:paraId="21A40206" w14:textId="7259D33B" w:rsidR="006C6EBA" w:rsidRPr="006720E4" w:rsidRDefault="006C6EBA" w:rsidP="00C3783C">
      <w:pPr>
        <w:pStyle w:val="NormalWeb"/>
        <w:numPr>
          <w:ilvl w:val="0"/>
          <w:numId w:val="94"/>
        </w:numPr>
        <w:spacing w:before="0" w:beforeAutospacing="0" w:after="120" w:afterAutospacing="0"/>
        <w:rPr>
          <w:rFonts w:cs="Calibri"/>
          <w:sz w:val="20"/>
          <w:szCs w:val="20"/>
        </w:rPr>
      </w:pPr>
      <w:r w:rsidRPr="006720E4">
        <w:rPr>
          <w:rFonts w:cs="Calibri"/>
          <w:sz w:val="20"/>
          <w:szCs w:val="20"/>
        </w:rPr>
        <w:t>Samuel GN, Kerridge IH. Equity, utility, and the marketplace: emerging ethical issues of umbilical cord blood banking in Australia. Journal of bioethical inquiry. 2007 Apr;4(1):57-63.</w:t>
      </w:r>
    </w:p>
    <w:p w14:paraId="2BEE5707" w14:textId="77777777" w:rsidR="006C6EBA" w:rsidRPr="006720E4" w:rsidRDefault="006C6EBA" w:rsidP="00C3783C">
      <w:pPr>
        <w:pStyle w:val="ListParagraph"/>
        <w:numPr>
          <w:ilvl w:val="0"/>
          <w:numId w:val="94"/>
        </w:numPr>
        <w:spacing w:after="120"/>
        <w:contextualSpacing w:val="0"/>
        <w:rPr>
          <w:rFonts w:cs="Calibri"/>
          <w:sz w:val="20"/>
          <w:szCs w:val="20"/>
        </w:rPr>
      </w:pPr>
      <w:r w:rsidRPr="006720E4">
        <w:rPr>
          <w:rFonts w:cs="Calibri"/>
          <w:sz w:val="20"/>
          <w:szCs w:val="20"/>
        </w:rPr>
        <w:t xml:space="preserve">Shearer WT, Lubin BH, Cairo MS, Notarangelo LD. Cord blood banking for potential future transplantation. </w:t>
      </w:r>
      <w:proofErr w:type="spellStart"/>
      <w:r w:rsidRPr="006720E4">
        <w:rPr>
          <w:rFonts w:cs="Calibri"/>
          <w:sz w:val="20"/>
          <w:szCs w:val="20"/>
        </w:rPr>
        <w:t>Pediatrics</w:t>
      </w:r>
      <w:proofErr w:type="spellEnd"/>
      <w:r w:rsidRPr="006720E4">
        <w:rPr>
          <w:rFonts w:cs="Calibri"/>
          <w:sz w:val="20"/>
          <w:szCs w:val="20"/>
        </w:rPr>
        <w:t>. 2017 Nov 1;140(5). https://pediatrics-aappublications-org.ezproxy-b.deakin.edu.au/content/pediatrics/140/5/e20172695.full.pdf</w:t>
      </w:r>
    </w:p>
    <w:p w14:paraId="718D7FE1" w14:textId="7B096A1A" w:rsidR="006C6EBA" w:rsidRPr="006720E4" w:rsidRDefault="006C6EBA" w:rsidP="00C3783C">
      <w:pPr>
        <w:pStyle w:val="ListParagraph"/>
        <w:numPr>
          <w:ilvl w:val="0"/>
          <w:numId w:val="94"/>
        </w:numPr>
        <w:spacing w:after="120"/>
        <w:contextualSpacing w:val="0"/>
        <w:rPr>
          <w:rFonts w:cs="Calibri"/>
          <w:sz w:val="20"/>
          <w:szCs w:val="20"/>
        </w:rPr>
      </w:pPr>
      <w:r w:rsidRPr="006720E4">
        <w:rPr>
          <w:rFonts w:cs="Calibri"/>
          <w:sz w:val="20"/>
          <w:szCs w:val="20"/>
        </w:rPr>
        <w:t>Petrini C. Ethical issues in umbilical cord blood banking: a comparative analysis of documents from national and international institutions. Transfusion. 2013 Apr;53(4):902-10.</w:t>
      </w:r>
    </w:p>
    <w:p w14:paraId="5C6FE0DC" w14:textId="1609DBC3" w:rsidR="006C6EBA" w:rsidRPr="006720E4" w:rsidRDefault="006C6EBA" w:rsidP="00C3783C">
      <w:pPr>
        <w:pStyle w:val="ListParagraph"/>
        <w:numPr>
          <w:ilvl w:val="0"/>
          <w:numId w:val="94"/>
        </w:numPr>
        <w:spacing w:after="120"/>
        <w:contextualSpacing w:val="0"/>
        <w:rPr>
          <w:rFonts w:cs="Calibri"/>
          <w:sz w:val="20"/>
          <w:szCs w:val="20"/>
        </w:rPr>
      </w:pPr>
      <w:r w:rsidRPr="006720E4">
        <w:rPr>
          <w:rFonts w:cs="Calibri"/>
          <w:sz w:val="20"/>
          <w:szCs w:val="20"/>
        </w:rPr>
        <w:t>Murdoch B, Marcon AR, Caulfield T. The law and problematic marketing by private umbilical cord blood banks. BMC Medical Ethics. 2020 Dec;21(1):1-6.</w:t>
      </w:r>
    </w:p>
    <w:p w14:paraId="4B123728" w14:textId="77777777" w:rsidR="006C6EBA" w:rsidRPr="006720E4" w:rsidRDefault="006C6EBA" w:rsidP="00C3783C">
      <w:pPr>
        <w:pStyle w:val="ListParagraph"/>
        <w:numPr>
          <w:ilvl w:val="0"/>
          <w:numId w:val="94"/>
        </w:numPr>
        <w:spacing w:after="120"/>
        <w:contextualSpacing w:val="0"/>
        <w:rPr>
          <w:rFonts w:cs="Calibri"/>
          <w:sz w:val="20"/>
          <w:szCs w:val="20"/>
        </w:rPr>
      </w:pPr>
      <w:proofErr w:type="spellStart"/>
      <w:r w:rsidRPr="006720E4">
        <w:rPr>
          <w:rFonts w:cs="Calibri"/>
          <w:sz w:val="20"/>
          <w:szCs w:val="20"/>
        </w:rPr>
        <w:t>Rubeis</w:t>
      </w:r>
      <w:proofErr w:type="spellEnd"/>
      <w:r w:rsidRPr="006720E4">
        <w:rPr>
          <w:rFonts w:cs="Calibri"/>
          <w:sz w:val="20"/>
          <w:szCs w:val="20"/>
        </w:rPr>
        <w:t xml:space="preserve"> G, Steger F. Saving whom? The ethical challenges of harvesting tissue from </w:t>
      </w:r>
      <w:proofErr w:type="spellStart"/>
      <w:r w:rsidRPr="006720E4">
        <w:rPr>
          <w:rFonts w:cs="Calibri"/>
          <w:sz w:val="20"/>
          <w:szCs w:val="20"/>
        </w:rPr>
        <w:t>savior</w:t>
      </w:r>
      <w:proofErr w:type="spellEnd"/>
      <w:r w:rsidRPr="006720E4">
        <w:rPr>
          <w:rFonts w:cs="Calibri"/>
          <w:sz w:val="20"/>
          <w:szCs w:val="20"/>
        </w:rPr>
        <w:t xml:space="preserve"> siblings. European journal of haematology. 2019 Nov;1</w:t>
      </w:r>
    </w:p>
    <w:p w14:paraId="14DACE34" w14:textId="13407EFD" w:rsidR="006C6EBA" w:rsidRPr="006720E4" w:rsidRDefault="006C6EBA" w:rsidP="00C3783C">
      <w:pPr>
        <w:pStyle w:val="NormalWeb"/>
        <w:numPr>
          <w:ilvl w:val="0"/>
          <w:numId w:val="94"/>
        </w:numPr>
        <w:spacing w:before="0" w:beforeAutospacing="0" w:after="120" w:afterAutospacing="0"/>
        <w:rPr>
          <w:rFonts w:cs="Calibri"/>
          <w:b/>
          <w:bCs/>
          <w:i/>
          <w:iCs/>
          <w:sz w:val="20"/>
          <w:szCs w:val="20"/>
        </w:rPr>
      </w:pPr>
      <w:r w:rsidRPr="006720E4">
        <w:rPr>
          <w:rFonts w:cs="Calibri"/>
          <w:sz w:val="20"/>
          <w:szCs w:val="20"/>
        </w:rPr>
        <w:lastRenderedPageBreak/>
        <w:t>Stewart CL, Aparicio LC, Kerridge IH. Ethical and legal issues raised by cord blood banking—the challenges of the new bioeconomy. Medical Journal of Australia. 2013 Aug;199(4):290-2.</w:t>
      </w:r>
    </w:p>
    <w:p w14:paraId="29255E1C" w14:textId="2C547DC3" w:rsidR="006C6EBA" w:rsidRPr="006720E4" w:rsidRDefault="006C6EBA" w:rsidP="00C3783C">
      <w:pPr>
        <w:pStyle w:val="NormalWeb"/>
        <w:numPr>
          <w:ilvl w:val="0"/>
          <w:numId w:val="94"/>
        </w:numPr>
        <w:spacing w:before="0" w:beforeAutospacing="0" w:after="120" w:afterAutospacing="0"/>
        <w:rPr>
          <w:rFonts w:cs="Calibri"/>
          <w:b/>
          <w:bCs/>
          <w:i/>
          <w:iCs/>
          <w:sz w:val="20"/>
          <w:szCs w:val="20"/>
        </w:rPr>
      </w:pPr>
      <w:r w:rsidRPr="006720E4">
        <w:rPr>
          <w:rFonts w:cs="Calibri"/>
          <w:sz w:val="20"/>
          <w:szCs w:val="20"/>
        </w:rPr>
        <w:t>Smith MK, Taylor-Sands M. Comparing non-medical sex selection and saviour sibling selection in the case of JS and LS v Patient Review Panel: Beyond the welfare of the child?. Journal of bioethical inquiry. 2018 Mar;15(1):139-53.</w:t>
      </w:r>
    </w:p>
    <w:p w14:paraId="19981B03" w14:textId="77777777" w:rsidR="006C6EBA" w:rsidRPr="006720E4" w:rsidRDefault="006C6EBA" w:rsidP="00EA22AE">
      <w:pPr>
        <w:pStyle w:val="NormalWeb"/>
        <w:spacing w:before="0" w:beforeAutospacing="0" w:after="120" w:afterAutospacing="0"/>
        <w:rPr>
          <w:rFonts w:cs="Calibri"/>
          <w:b/>
          <w:bCs/>
          <w:sz w:val="20"/>
          <w:szCs w:val="20"/>
        </w:rPr>
      </w:pPr>
      <w:r w:rsidRPr="006720E4">
        <w:rPr>
          <w:rFonts w:cs="Calibri"/>
          <w:b/>
          <w:bCs/>
          <w:sz w:val="20"/>
          <w:szCs w:val="20"/>
        </w:rPr>
        <w:t>Uterus donation and transplantation</w:t>
      </w:r>
    </w:p>
    <w:p w14:paraId="7B50F676" w14:textId="77777777" w:rsidR="006C6EBA" w:rsidRPr="006720E4" w:rsidRDefault="006C6EBA" w:rsidP="00C3783C">
      <w:pPr>
        <w:pStyle w:val="NormalWeb"/>
        <w:numPr>
          <w:ilvl w:val="0"/>
          <w:numId w:val="97"/>
        </w:numPr>
        <w:spacing w:before="0" w:beforeAutospacing="0" w:after="120" w:afterAutospacing="0"/>
        <w:rPr>
          <w:rFonts w:cs="Calibri"/>
          <w:b/>
          <w:bCs/>
          <w:i/>
          <w:iCs/>
          <w:sz w:val="20"/>
          <w:szCs w:val="20"/>
        </w:rPr>
      </w:pPr>
      <w:r w:rsidRPr="006720E4">
        <w:rPr>
          <w:rFonts w:cs="Calibri"/>
          <w:sz w:val="20"/>
          <w:szCs w:val="20"/>
        </w:rPr>
        <w:t xml:space="preserve">Lefkowitz A, Edwards M, </w:t>
      </w:r>
      <w:proofErr w:type="spellStart"/>
      <w:r w:rsidRPr="006720E4">
        <w:rPr>
          <w:rFonts w:cs="Calibri"/>
          <w:sz w:val="20"/>
          <w:szCs w:val="20"/>
        </w:rPr>
        <w:t>Balayla</w:t>
      </w:r>
      <w:proofErr w:type="spellEnd"/>
      <w:r w:rsidRPr="006720E4">
        <w:rPr>
          <w:rFonts w:cs="Calibri"/>
          <w:sz w:val="20"/>
          <w:szCs w:val="20"/>
        </w:rPr>
        <w:t xml:space="preserve"> J. Ethical considerations in the era of the uterine transplant: an update of the Montreal Criteria for the Ethical Feasibility of Uterine Transplantation. Fertility and sterility. 2013 Oct 1;100(4):924-6</w:t>
      </w:r>
    </w:p>
    <w:p w14:paraId="6C0C0BCB" w14:textId="4069711D" w:rsidR="006C6EBA" w:rsidRPr="006720E4" w:rsidRDefault="006C6EBA" w:rsidP="00C3783C">
      <w:pPr>
        <w:pStyle w:val="NormalWeb"/>
        <w:numPr>
          <w:ilvl w:val="0"/>
          <w:numId w:val="97"/>
        </w:numPr>
        <w:spacing w:before="0" w:beforeAutospacing="0" w:after="120" w:afterAutospacing="0"/>
        <w:rPr>
          <w:rFonts w:cs="Calibri"/>
          <w:b/>
          <w:bCs/>
          <w:i/>
          <w:iCs/>
          <w:sz w:val="20"/>
          <w:szCs w:val="20"/>
        </w:rPr>
      </w:pPr>
      <w:r w:rsidRPr="006720E4">
        <w:rPr>
          <w:rFonts w:cs="Calibri"/>
          <w:sz w:val="20"/>
          <w:szCs w:val="20"/>
        </w:rPr>
        <w:t xml:space="preserve">Allyse M, Amer H, </w:t>
      </w:r>
      <w:proofErr w:type="spellStart"/>
      <w:r w:rsidRPr="006720E4">
        <w:rPr>
          <w:rFonts w:cs="Calibri"/>
          <w:sz w:val="20"/>
          <w:szCs w:val="20"/>
        </w:rPr>
        <w:t>Coutifaris</w:t>
      </w:r>
      <w:proofErr w:type="spellEnd"/>
      <w:r w:rsidRPr="006720E4">
        <w:rPr>
          <w:rFonts w:cs="Calibri"/>
          <w:sz w:val="20"/>
          <w:szCs w:val="20"/>
        </w:rPr>
        <w:t xml:space="preserve"> C, Falcone T, </w:t>
      </w:r>
      <w:proofErr w:type="spellStart"/>
      <w:r w:rsidRPr="006720E4">
        <w:rPr>
          <w:rFonts w:cs="Calibri"/>
          <w:sz w:val="20"/>
          <w:szCs w:val="20"/>
        </w:rPr>
        <w:t>Famuyide</w:t>
      </w:r>
      <w:proofErr w:type="spellEnd"/>
      <w:r w:rsidRPr="006720E4">
        <w:rPr>
          <w:rFonts w:cs="Calibri"/>
          <w:sz w:val="20"/>
          <w:szCs w:val="20"/>
        </w:rPr>
        <w:t xml:space="preserve"> A, Flyckt R, Gargiulo A, Heimbach J, Johannesson L, Jowsey-Gregoire S, Khan Z. American Society for Reproductive Medicine position statement on uterus transplantation: a committee opinion. Fertility and sterility. 2018 Sep 1;110(4):605-10.</w:t>
      </w:r>
    </w:p>
    <w:p w14:paraId="252D5F90" w14:textId="77777777" w:rsidR="006C6EBA" w:rsidRPr="006720E4" w:rsidRDefault="006C6EBA" w:rsidP="00C3783C">
      <w:pPr>
        <w:pStyle w:val="ListParagraph"/>
        <w:numPr>
          <w:ilvl w:val="0"/>
          <w:numId w:val="97"/>
        </w:numPr>
        <w:spacing w:after="120"/>
        <w:contextualSpacing w:val="0"/>
        <w:rPr>
          <w:rFonts w:cs="Calibri"/>
          <w:sz w:val="20"/>
          <w:szCs w:val="20"/>
        </w:rPr>
      </w:pPr>
      <w:r w:rsidRPr="006720E4">
        <w:rPr>
          <w:rFonts w:cs="Calibri"/>
          <w:sz w:val="20"/>
          <w:szCs w:val="20"/>
        </w:rPr>
        <w:t>Bruno B, Arora KS. Uterus transplantation: the ethics of using deceased versus living donors. The American Journal of Bioethics. 2018 Jul 3;18(7):6-15.</w:t>
      </w:r>
    </w:p>
    <w:p w14:paraId="58B7D1AE" w14:textId="2825461F" w:rsidR="006C6EBA" w:rsidRPr="006720E4" w:rsidRDefault="006C6EBA" w:rsidP="00C3783C">
      <w:pPr>
        <w:pStyle w:val="ListParagraph"/>
        <w:numPr>
          <w:ilvl w:val="0"/>
          <w:numId w:val="97"/>
        </w:numPr>
        <w:spacing w:after="120"/>
        <w:contextualSpacing w:val="0"/>
        <w:rPr>
          <w:rFonts w:cs="Calibri"/>
          <w:sz w:val="20"/>
          <w:szCs w:val="20"/>
        </w:rPr>
      </w:pPr>
      <w:proofErr w:type="spellStart"/>
      <w:r w:rsidRPr="006720E4">
        <w:rPr>
          <w:rFonts w:cs="Calibri"/>
          <w:sz w:val="20"/>
          <w:szCs w:val="20"/>
        </w:rPr>
        <w:t>Ngaage</w:t>
      </w:r>
      <w:proofErr w:type="spellEnd"/>
      <w:r w:rsidRPr="006720E4">
        <w:rPr>
          <w:rFonts w:cs="Calibri"/>
          <w:sz w:val="20"/>
          <w:szCs w:val="20"/>
        </w:rPr>
        <w:t xml:space="preserve"> LM, Ike S, </w:t>
      </w:r>
      <w:proofErr w:type="spellStart"/>
      <w:r w:rsidRPr="006720E4">
        <w:rPr>
          <w:rFonts w:cs="Calibri"/>
          <w:sz w:val="20"/>
          <w:szCs w:val="20"/>
        </w:rPr>
        <w:t>Elegbede</w:t>
      </w:r>
      <w:proofErr w:type="spellEnd"/>
      <w:r w:rsidRPr="006720E4">
        <w:rPr>
          <w:rFonts w:cs="Calibri"/>
          <w:sz w:val="20"/>
          <w:szCs w:val="20"/>
        </w:rPr>
        <w:t xml:space="preserve"> A, </w:t>
      </w:r>
      <w:proofErr w:type="spellStart"/>
      <w:r w:rsidRPr="006720E4">
        <w:rPr>
          <w:rFonts w:cs="Calibri"/>
          <w:sz w:val="20"/>
          <w:szCs w:val="20"/>
        </w:rPr>
        <w:t>Vercler</w:t>
      </w:r>
      <w:proofErr w:type="spellEnd"/>
      <w:r w:rsidRPr="006720E4">
        <w:rPr>
          <w:rFonts w:cs="Calibri"/>
          <w:sz w:val="20"/>
          <w:szCs w:val="20"/>
        </w:rPr>
        <w:t xml:space="preserve"> CJ, </w:t>
      </w:r>
      <w:proofErr w:type="spellStart"/>
      <w:r w:rsidRPr="006720E4">
        <w:rPr>
          <w:rFonts w:cs="Calibri"/>
          <w:sz w:val="20"/>
          <w:szCs w:val="20"/>
        </w:rPr>
        <w:t>Gebran</w:t>
      </w:r>
      <w:proofErr w:type="spellEnd"/>
      <w:r w:rsidRPr="006720E4">
        <w:rPr>
          <w:rFonts w:cs="Calibri"/>
          <w:sz w:val="20"/>
          <w:szCs w:val="20"/>
        </w:rPr>
        <w:t xml:space="preserve"> S, Liang F, Rada EM, Cooney C, </w:t>
      </w:r>
      <w:proofErr w:type="spellStart"/>
      <w:r w:rsidRPr="006720E4">
        <w:rPr>
          <w:rFonts w:cs="Calibri"/>
          <w:sz w:val="20"/>
          <w:szCs w:val="20"/>
        </w:rPr>
        <w:t>Brandacher</w:t>
      </w:r>
      <w:proofErr w:type="spellEnd"/>
      <w:r w:rsidRPr="006720E4">
        <w:rPr>
          <w:rFonts w:cs="Calibri"/>
          <w:sz w:val="20"/>
          <w:szCs w:val="20"/>
        </w:rPr>
        <w:t xml:space="preserve"> G, </w:t>
      </w:r>
      <w:proofErr w:type="spellStart"/>
      <w:r w:rsidRPr="006720E4">
        <w:rPr>
          <w:rFonts w:cs="Calibri"/>
          <w:sz w:val="20"/>
          <w:szCs w:val="20"/>
        </w:rPr>
        <w:t>Redett</w:t>
      </w:r>
      <w:proofErr w:type="spellEnd"/>
      <w:r w:rsidRPr="006720E4">
        <w:rPr>
          <w:rFonts w:cs="Calibri"/>
          <w:sz w:val="20"/>
          <w:szCs w:val="20"/>
        </w:rPr>
        <w:t xml:space="preserve"> RJ, Johannesson L. The changing paradigm of ethics in uterus transplantation: a systematic review. Transplant International. 2020 Mar;33(3):260-9.</w:t>
      </w:r>
    </w:p>
    <w:p w14:paraId="1EF3ED29" w14:textId="77777777" w:rsidR="006C6EBA" w:rsidRPr="006720E4" w:rsidRDefault="006C6EBA" w:rsidP="00EA22AE">
      <w:pPr>
        <w:pStyle w:val="NormalWeb"/>
        <w:spacing w:before="0" w:beforeAutospacing="0" w:after="120" w:afterAutospacing="0"/>
        <w:rPr>
          <w:rFonts w:cs="Calibri"/>
          <w:b/>
          <w:bCs/>
          <w:sz w:val="20"/>
          <w:szCs w:val="20"/>
        </w:rPr>
      </w:pPr>
      <w:r w:rsidRPr="006720E4">
        <w:rPr>
          <w:rFonts w:cs="Calibri"/>
          <w:b/>
          <w:bCs/>
          <w:sz w:val="20"/>
          <w:szCs w:val="20"/>
        </w:rPr>
        <w:t>Vascular composite allografts</w:t>
      </w:r>
    </w:p>
    <w:p w14:paraId="0EDDF56B" w14:textId="77777777" w:rsidR="006C6EBA" w:rsidRPr="006720E4" w:rsidRDefault="006C6EBA" w:rsidP="00C3783C">
      <w:pPr>
        <w:pStyle w:val="ListParagraph"/>
        <w:numPr>
          <w:ilvl w:val="0"/>
          <w:numId w:val="98"/>
        </w:numPr>
        <w:spacing w:after="120"/>
        <w:contextualSpacing w:val="0"/>
        <w:rPr>
          <w:rFonts w:cs="Calibri"/>
          <w:sz w:val="20"/>
          <w:szCs w:val="20"/>
        </w:rPr>
      </w:pPr>
      <w:proofErr w:type="spellStart"/>
      <w:r w:rsidRPr="006720E4">
        <w:rPr>
          <w:rFonts w:cs="Calibri"/>
          <w:sz w:val="20"/>
          <w:szCs w:val="20"/>
        </w:rPr>
        <w:t>Ngaage</w:t>
      </w:r>
      <w:proofErr w:type="spellEnd"/>
      <w:r w:rsidRPr="006720E4">
        <w:rPr>
          <w:rFonts w:cs="Calibri"/>
          <w:sz w:val="20"/>
          <w:szCs w:val="20"/>
        </w:rPr>
        <w:t xml:space="preserve"> LM, </w:t>
      </w:r>
      <w:proofErr w:type="spellStart"/>
      <w:r w:rsidRPr="006720E4">
        <w:rPr>
          <w:rFonts w:cs="Calibri"/>
          <w:sz w:val="20"/>
          <w:szCs w:val="20"/>
        </w:rPr>
        <w:t>Elegbede</w:t>
      </w:r>
      <w:proofErr w:type="spellEnd"/>
      <w:r w:rsidRPr="006720E4">
        <w:rPr>
          <w:rFonts w:cs="Calibri"/>
          <w:sz w:val="20"/>
          <w:szCs w:val="20"/>
        </w:rPr>
        <w:t xml:space="preserve"> A, Sugarman J, Nam AJ, Cooney CM, Cooney DS, Rasko YM, </w:t>
      </w:r>
      <w:proofErr w:type="spellStart"/>
      <w:r w:rsidRPr="006720E4">
        <w:rPr>
          <w:rFonts w:cs="Calibri"/>
          <w:sz w:val="20"/>
          <w:szCs w:val="20"/>
        </w:rPr>
        <w:t>Brandacher</w:t>
      </w:r>
      <w:proofErr w:type="spellEnd"/>
      <w:r w:rsidRPr="006720E4">
        <w:rPr>
          <w:rFonts w:cs="Calibri"/>
          <w:sz w:val="20"/>
          <w:szCs w:val="20"/>
        </w:rPr>
        <w:t xml:space="preserve"> G, </w:t>
      </w:r>
      <w:proofErr w:type="spellStart"/>
      <w:r w:rsidRPr="006720E4">
        <w:rPr>
          <w:rFonts w:cs="Calibri"/>
          <w:sz w:val="20"/>
          <w:szCs w:val="20"/>
        </w:rPr>
        <w:t>Redett</w:t>
      </w:r>
      <w:proofErr w:type="spellEnd"/>
      <w:r w:rsidRPr="006720E4">
        <w:rPr>
          <w:rFonts w:cs="Calibri"/>
          <w:sz w:val="20"/>
          <w:szCs w:val="20"/>
        </w:rPr>
        <w:t xml:space="preserve"> RJ. The Baltimore Criteria for an ethical approach to penile transplantation: a clinical guideline. Transplant International. 2020 May;33(5):471-82.</w:t>
      </w:r>
    </w:p>
    <w:p w14:paraId="741CD432" w14:textId="77777777" w:rsidR="006C6EBA" w:rsidRPr="006720E4" w:rsidRDefault="006C6EBA" w:rsidP="00C3783C">
      <w:pPr>
        <w:pStyle w:val="ListParagraph"/>
        <w:numPr>
          <w:ilvl w:val="0"/>
          <w:numId w:val="98"/>
        </w:numPr>
        <w:spacing w:after="120"/>
        <w:contextualSpacing w:val="0"/>
        <w:rPr>
          <w:rFonts w:cs="Calibri"/>
          <w:sz w:val="20"/>
          <w:szCs w:val="20"/>
        </w:rPr>
      </w:pPr>
      <w:proofErr w:type="spellStart"/>
      <w:r w:rsidRPr="006720E4">
        <w:rPr>
          <w:rFonts w:cs="Calibri"/>
          <w:sz w:val="20"/>
          <w:szCs w:val="20"/>
        </w:rPr>
        <w:t>Kruvand</w:t>
      </w:r>
      <w:proofErr w:type="spellEnd"/>
      <w:r w:rsidRPr="006720E4">
        <w:rPr>
          <w:rFonts w:cs="Calibri"/>
          <w:sz w:val="20"/>
          <w:szCs w:val="20"/>
        </w:rPr>
        <w:t xml:space="preserve"> M, Vanacker B. Facing the Future: Media Ethics, Bioethics, and the World's First Face Transplant. Journal of Mass Media Ethics. 2011 Apr 15;26(2):135-57.</w:t>
      </w:r>
    </w:p>
    <w:p w14:paraId="11058990" w14:textId="77777777" w:rsidR="006C6EBA" w:rsidRPr="006720E4" w:rsidRDefault="006C6EBA" w:rsidP="00C3783C">
      <w:pPr>
        <w:pStyle w:val="ListParagraph"/>
        <w:numPr>
          <w:ilvl w:val="0"/>
          <w:numId w:val="98"/>
        </w:numPr>
        <w:spacing w:after="120"/>
        <w:contextualSpacing w:val="0"/>
        <w:rPr>
          <w:rFonts w:cs="Calibri"/>
          <w:sz w:val="20"/>
          <w:szCs w:val="20"/>
        </w:rPr>
      </w:pPr>
      <w:proofErr w:type="spellStart"/>
      <w:r w:rsidRPr="006720E4">
        <w:rPr>
          <w:rFonts w:cs="Calibri"/>
          <w:sz w:val="20"/>
          <w:szCs w:val="20"/>
        </w:rPr>
        <w:t>Agich</w:t>
      </w:r>
      <w:proofErr w:type="spellEnd"/>
      <w:r w:rsidRPr="006720E4">
        <w:rPr>
          <w:rFonts w:cs="Calibri"/>
          <w:sz w:val="20"/>
          <w:szCs w:val="20"/>
        </w:rPr>
        <w:t xml:space="preserve"> GJ, Siemionow M. Until they have faces: the ethics of facial allograft transplantation. Journal of Medical Ethics. 2005 Dec 1;31(12):707-9.</w:t>
      </w:r>
    </w:p>
    <w:p w14:paraId="1C7B157B" w14:textId="77777777" w:rsidR="006C6EBA" w:rsidRPr="006720E4" w:rsidRDefault="006C6EBA" w:rsidP="00C3783C">
      <w:pPr>
        <w:pStyle w:val="NormalWeb"/>
        <w:numPr>
          <w:ilvl w:val="0"/>
          <w:numId w:val="98"/>
        </w:numPr>
        <w:spacing w:before="0" w:beforeAutospacing="0" w:after="120" w:afterAutospacing="0"/>
        <w:rPr>
          <w:rFonts w:cs="Calibri"/>
          <w:b/>
          <w:bCs/>
          <w:sz w:val="20"/>
          <w:szCs w:val="20"/>
        </w:rPr>
      </w:pPr>
      <w:r w:rsidRPr="006720E4">
        <w:rPr>
          <w:rFonts w:cs="Calibri"/>
          <w:sz w:val="20"/>
          <w:szCs w:val="20"/>
        </w:rPr>
        <w:t xml:space="preserve">Shaul RZ, Borschel GH, Flynn J, Hanson MD, Wright L, Zuker RM. Ethical issues in </w:t>
      </w:r>
      <w:proofErr w:type="spellStart"/>
      <w:r w:rsidRPr="006720E4">
        <w:rPr>
          <w:rFonts w:cs="Calibri"/>
          <w:sz w:val="20"/>
          <w:szCs w:val="20"/>
        </w:rPr>
        <w:t>pediatric</w:t>
      </w:r>
      <w:proofErr w:type="spellEnd"/>
      <w:r w:rsidRPr="006720E4">
        <w:rPr>
          <w:rFonts w:cs="Calibri"/>
          <w:sz w:val="20"/>
          <w:szCs w:val="20"/>
        </w:rPr>
        <w:t xml:space="preserve"> vascularized composite allotransplantation. In Ethical Issues in </w:t>
      </w:r>
      <w:proofErr w:type="spellStart"/>
      <w:r w:rsidRPr="006720E4">
        <w:rPr>
          <w:rFonts w:cs="Calibri"/>
          <w:sz w:val="20"/>
          <w:szCs w:val="20"/>
        </w:rPr>
        <w:t>Pediatric</w:t>
      </w:r>
      <w:proofErr w:type="spellEnd"/>
      <w:r w:rsidRPr="006720E4">
        <w:rPr>
          <w:rFonts w:cs="Calibri"/>
          <w:sz w:val="20"/>
          <w:szCs w:val="20"/>
        </w:rPr>
        <w:t xml:space="preserve"> Organ Transplantation 2016 (pp. 169-191). Springer.</w:t>
      </w:r>
    </w:p>
    <w:p w14:paraId="38F3E40E" w14:textId="77777777" w:rsidR="006C6EBA" w:rsidRPr="006720E4" w:rsidRDefault="006C6EBA" w:rsidP="00EA22AE">
      <w:pPr>
        <w:pStyle w:val="NormalWeb"/>
        <w:spacing w:before="0" w:beforeAutospacing="0" w:after="120" w:afterAutospacing="0"/>
        <w:rPr>
          <w:rFonts w:cs="Calibri"/>
          <w:b/>
          <w:bCs/>
          <w:sz w:val="20"/>
          <w:szCs w:val="20"/>
        </w:rPr>
      </w:pPr>
      <w:r w:rsidRPr="006720E4">
        <w:rPr>
          <w:rFonts w:cs="Calibri"/>
          <w:b/>
          <w:bCs/>
          <w:sz w:val="20"/>
          <w:szCs w:val="20"/>
        </w:rPr>
        <w:t xml:space="preserve">Medical and surgical innovations </w:t>
      </w:r>
    </w:p>
    <w:p w14:paraId="2AE3BED2" w14:textId="77777777" w:rsidR="00EF72F7" w:rsidRDefault="006C6EBA" w:rsidP="00C3783C">
      <w:pPr>
        <w:pStyle w:val="ListParagraph"/>
        <w:numPr>
          <w:ilvl w:val="0"/>
          <w:numId w:val="99"/>
        </w:numPr>
        <w:spacing w:after="120"/>
        <w:contextualSpacing w:val="0"/>
        <w:rPr>
          <w:rFonts w:cs="Calibri"/>
          <w:sz w:val="20"/>
          <w:szCs w:val="20"/>
        </w:rPr>
      </w:pPr>
      <w:r w:rsidRPr="006720E4">
        <w:rPr>
          <w:rFonts w:cs="Calibri"/>
          <w:sz w:val="20"/>
          <w:szCs w:val="20"/>
        </w:rPr>
        <w:t>McCulloch P, Altman DG, Campbell WB, Flum DR, Glasziou P, Marshall JC, Nicholl J, Balliol Collaboration. No surgical innovation without evaluation: the IDEAL recommendations. The Lancet. 2009 Sep 26;374(9695):1105-12.</w:t>
      </w:r>
      <w:bookmarkStart w:id="5800" w:name="_Appendix_4_–"/>
      <w:bookmarkStart w:id="5801" w:name="_Toc79330941"/>
      <w:bookmarkStart w:id="5802" w:name="_Toc79331321"/>
      <w:bookmarkEnd w:id="5800"/>
    </w:p>
    <w:p w14:paraId="4320E2F6" w14:textId="77777777" w:rsidR="00EF72F7" w:rsidRDefault="00EF72F7" w:rsidP="00EA22AE">
      <w:pPr>
        <w:spacing w:after="120"/>
        <w:rPr>
          <w:rFonts w:cs="Calibri"/>
        </w:rPr>
      </w:pPr>
    </w:p>
    <w:p w14:paraId="7F80B4CA" w14:textId="2FB82691" w:rsidR="006C6EBA" w:rsidRPr="00EF72F7" w:rsidRDefault="006C6EBA" w:rsidP="00EA22AE">
      <w:pPr>
        <w:spacing w:after="120"/>
        <w:rPr>
          <w:rFonts w:cs="Calibri"/>
          <w:sz w:val="20"/>
          <w:szCs w:val="20"/>
        </w:rPr>
      </w:pPr>
      <w:r w:rsidRPr="00EF72F7">
        <w:rPr>
          <w:rFonts w:cs="Calibri"/>
        </w:rPr>
        <w:br w:type="page"/>
      </w:r>
    </w:p>
    <w:p w14:paraId="097F0006" w14:textId="2707BA80" w:rsidR="009C2EF0" w:rsidRPr="009C2EF0" w:rsidRDefault="009C2EF0" w:rsidP="00EA22AE">
      <w:pPr>
        <w:pStyle w:val="Heading1"/>
        <w:numPr>
          <w:ilvl w:val="0"/>
          <w:numId w:val="0"/>
        </w:numPr>
        <w:ind w:left="357" w:hanging="357"/>
        <w:rPr>
          <w:u w:val="none"/>
        </w:rPr>
      </w:pPr>
      <w:bookmarkStart w:id="5803" w:name="_Appendix_4_–_1"/>
      <w:bookmarkStart w:id="5804" w:name="_Appendix_2:_Development"/>
      <w:bookmarkStart w:id="5805" w:name="_Toc135034786"/>
      <w:bookmarkStart w:id="5806" w:name="_Toc135131514"/>
      <w:bookmarkEnd w:id="5801"/>
      <w:bookmarkEnd w:id="5802"/>
      <w:bookmarkEnd w:id="5803"/>
      <w:bookmarkEnd w:id="5804"/>
      <w:r w:rsidRPr="009C2EF0">
        <w:rPr>
          <w:u w:val="none"/>
        </w:rPr>
        <w:lastRenderedPageBreak/>
        <w:t>Appendix 2: Development of the Ethical Guidelines for Donation and Transplantation in Australia</w:t>
      </w:r>
      <w:bookmarkEnd w:id="5805"/>
      <w:bookmarkEnd w:id="5806"/>
    </w:p>
    <w:p w14:paraId="6830AB30" w14:textId="77777777" w:rsidR="009C2EF0" w:rsidRDefault="009C2EF0" w:rsidP="00EA22AE">
      <w:pPr>
        <w:spacing w:after="120"/>
        <w:rPr>
          <w:lang w:val="en-GB"/>
        </w:rPr>
      </w:pPr>
    </w:p>
    <w:p w14:paraId="2E243571" w14:textId="77777777" w:rsidR="009C2EF0" w:rsidRPr="0077185F" w:rsidRDefault="009C2EF0" w:rsidP="00EA22AE">
      <w:pPr>
        <w:pStyle w:val="Heading4"/>
        <w:numPr>
          <w:ilvl w:val="0"/>
          <w:numId w:val="0"/>
        </w:numPr>
        <w:spacing w:after="120"/>
        <w:ind w:left="862" w:hanging="862"/>
      </w:pPr>
      <w:bookmarkStart w:id="5807" w:name="_Toc82773789"/>
      <w:bookmarkStart w:id="5808" w:name="_Toc82774142"/>
      <w:r w:rsidRPr="0077185F">
        <w:t>Background</w:t>
      </w:r>
      <w:bookmarkEnd w:id="5807"/>
      <w:bookmarkEnd w:id="5808"/>
      <w:r w:rsidRPr="0077185F">
        <w:t xml:space="preserve"> </w:t>
      </w:r>
    </w:p>
    <w:p w14:paraId="3E230432" w14:textId="77777777" w:rsidR="009C2EF0" w:rsidRPr="00983427" w:rsidRDefault="009C2EF0" w:rsidP="00EA22AE">
      <w:pPr>
        <w:spacing w:after="120"/>
        <w:rPr>
          <w:rFonts w:ascii="Calibri" w:hAnsi="Calibri" w:cs="Calibri"/>
          <w:sz w:val="22"/>
          <w:szCs w:val="22"/>
        </w:rPr>
      </w:pPr>
      <w:r w:rsidRPr="00983427">
        <w:rPr>
          <w:rFonts w:ascii="Calibri" w:hAnsi="Calibri" w:cs="Calibri"/>
          <w:sz w:val="22"/>
          <w:szCs w:val="22"/>
        </w:rPr>
        <w:t xml:space="preserve">Following a joint request from the Transplantation Society of Australia and New Zealand (TSANZ) TSANZ and the Organ and Tissue Authority (OTA), the National Health and Medical Research Council (NHMRC) undertook the development of </w:t>
      </w:r>
      <w:r w:rsidRPr="00983427">
        <w:rPr>
          <w:rFonts w:ascii="Calibri" w:hAnsi="Calibri" w:cs="Calibri"/>
          <w:i/>
          <w:sz w:val="22"/>
          <w:szCs w:val="22"/>
        </w:rPr>
        <w:t>Ethical guidelines for organ transplantation from deceased donors</w:t>
      </w:r>
      <w:r w:rsidRPr="00983427">
        <w:rPr>
          <w:rFonts w:ascii="Calibri" w:hAnsi="Calibri" w:cs="Calibri"/>
          <w:sz w:val="22"/>
          <w:szCs w:val="22"/>
        </w:rPr>
        <w:t xml:space="preserve"> (2016 Ethical Guidelines) which were released in April 2016.  </w:t>
      </w:r>
    </w:p>
    <w:p w14:paraId="6064CB54" w14:textId="77777777" w:rsidR="009C2EF0" w:rsidRPr="00983427" w:rsidRDefault="009C2EF0" w:rsidP="00EA22AE">
      <w:pPr>
        <w:spacing w:after="120"/>
        <w:rPr>
          <w:rFonts w:ascii="Calibri" w:hAnsi="Calibri" w:cs="Calibri"/>
          <w:sz w:val="22"/>
          <w:szCs w:val="22"/>
        </w:rPr>
      </w:pPr>
      <w:r w:rsidRPr="00983427">
        <w:rPr>
          <w:rFonts w:ascii="Calibri" w:hAnsi="Calibri" w:cs="Calibri"/>
          <w:sz w:val="22"/>
          <w:szCs w:val="22"/>
        </w:rPr>
        <w:t>The NHMRC subsequently received independent expert advice that the following NHMRC ethical guidelines on organ and tissue donation and transplantation, published in 2007, and collectively referred to as the ‘2007 NHMRC ethical guidelines,’ also required review to ensure their accuracy and currency:</w:t>
      </w:r>
    </w:p>
    <w:p w14:paraId="15D93534" w14:textId="77777777" w:rsidR="009C2EF0" w:rsidRPr="00983427" w:rsidRDefault="009C2EF0" w:rsidP="00C3783C">
      <w:pPr>
        <w:pStyle w:val="ListParagraph"/>
        <w:numPr>
          <w:ilvl w:val="0"/>
          <w:numId w:val="114"/>
        </w:numPr>
        <w:spacing w:after="120"/>
        <w:contextualSpacing w:val="0"/>
        <w:rPr>
          <w:rFonts w:cs="Calibri"/>
          <w:szCs w:val="22"/>
        </w:rPr>
      </w:pPr>
      <w:r w:rsidRPr="00983427">
        <w:rPr>
          <w:rFonts w:cs="Calibri"/>
          <w:szCs w:val="22"/>
        </w:rPr>
        <w:t>Organ and tissue donation after death, for transplantation – Guidelines for ethical practice for health professionals, 2007</w:t>
      </w:r>
    </w:p>
    <w:p w14:paraId="48DABDA5" w14:textId="77777777" w:rsidR="009C2EF0" w:rsidRPr="00983427" w:rsidRDefault="009C2EF0" w:rsidP="00C3783C">
      <w:pPr>
        <w:pStyle w:val="ListParagraph"/>
        <w:numPr>
          <w:ilvl w:val="0"/>
          <w:numId w:val="114"/>
        </w:numPr>
        <w:spacing w:after="120"/>
        <w:contextualSpacing w:val="0"/>
        <w:rPr>
          <w:rFonts w:cs="Calibri"/>
          <w:szCs w:val="22"/>
        </w:rPr>
      </w:pPr>
      <w:r w:rsidRPr="00983427">
        <w:rPr>
          <w:rFonts w:cs="Calibri"/>
          <w:szCs w:val="22"/>
        </w:rPr>
        <w:t>Making a decision about organ and tissue donation after death, 2007</w:t>
      </w:r>
    </w:p>
    <w:p w14:paraId="0AAA2DCC" w14:textId="77777777" w:rsidR="009C2EF0" w:rsidRPr="00983427" w:rsidRDefault="009C2EF0" w:rsidP="00C3783C">
      <w:pPr>
        <w:pStyle w:val="ListParagraph"/>
        <w:numPr>
          <w:ilvl w:val="0"/>
          <w:numId w:val="114"/>
        </w:numPr>
        <w:spacing w:after="120"/>
        <w:contextualSpacing w:val="0"/>
        <w:rPr>
          <w:rFonts w:cs="Calibri"/>
          <w:szCs w:val="22"/>
        </w:rPr>
      </w:pPr>
      <w:r w:rsidRPr="00983427">
        <w:rPr>
          <w:rFonts w:cs="Calibri"/>
          <w:szCs w:val="22"/>
        </w:rPr>
        <w:t xml:space="preserve">Organ and tissue donation by living donors – Guidelines for ethical practice for health professionals, 2007, and </w:t>
      </w:r>
    </w:p>
    <w:p w14:paraId="3DABB032" w14:textId="77777777" w:rsidR="009C2EF0" w:rsidRPr="00983427" w:rsidRDefault="009C2EF0" w:rsidP="00C3783C">
      <w:pPr>
        <w:pStyle w:val="ListParagraph"/>
        <w:numPr>
          <w:ilvl w:val="0"/>
          <w:numId w:val="114"/>
        </w:numPr>
        <w:spacing w:after="120"/>
        <w:contextualSpacing w:val="0"/>
        <w:rPr>
          <w:rFonts w:cs="Calibri"/>
          <w:szCs w:val="22"/>
        </w:rPr>
      </w:pPr>
      <w:r w:rsidRPr="00983427">
        <w:rPr>
          <w:rFonts w:cs="Calibri"/>
          <w:szCs w:val="22"/>
        </w:rPr>
        <w:t>Making a decision about living organ and tissue donation, 2007.</w:t>
      </w:r>
    </w:p>
    <w:p w14:paraId="7E9333C5" w14:textId="77777777" w:rsidR="009C2EF0" w:rsidRPr="00983427" w:rsidRDefault="009C2EF0" w:rsidP="00EA22AE">
      <w:pPr>
        <w:spacing w:after="120"/>
        <w:rPr>
          <w:rFonts w:ascii="Calibri" w:hAnsi="Calibri" w:cs="Calibri"/>
          <w:sz w:val="22"/>
          <w:szCs w:val="22"/>
        </w:rPr>
      </w:pPr>
      <w:r w:rsidRPr="00983427">
        <w:rPr>
          <w:rFonts w:ascii="Calibri" w:hAnsi="Calibri" w:cs="Calibri"/>
          <w:sz w:val="22"/>
          <w:szCs w:val="22"/>
        </w:rPr>
        <w:t xml:space="preserve">It was determined that development of a single, comprehensive resource containing updated ethical guidance from all the above guidelines and addressing new and emerging ethical considerations of relevance to donation and transplantation would be most useful to consumers and stakeholders. </w:t>
      </w:r>
    </w:p>
    <w:p w14:paraId="703602F3" w14:textId="77777777" w:rsidR="009C2EF0" w:rsidRPr="00983427" w:rsidRDefault="009C2EF0" w:rsidP="00EA22AE">
      <w:pPr>
        <w:spacing w:after="120"/>
        <w:rPr>
          <w:rFonts w:ascii="Calibri" w:hAnsi="Calibri" w:cs="Calibri"/>
          <w:sz w:val="22"/>
          <w:szCs w:val="22"/>
        </w:rPr>
      </w:pPr>
      <w:r w:rsidRPr="00983427">
        <w:rPr>
          <w:rFonts w:ascii="Calibri" w:hAnsi="Calibri" w:cs="Calibri"/>
          <w:sz w:val="22"/>
          <w:szCs w:val="22"/>
        </w:rPr>
        <w:t>The development of these Ethical Guidelines was managed by the Office of NHMRC and resourced by OTA and NHMRC under a Memorandum of Understanding.</w:t>
      </w:r>
    </w:p>
    <w:p w14:paraId="631C242E" w14:textId="77777777" w:rsidR="009C2EF0" w:rsidRPr="0077185F" w:rsidRDefault="009C2EF0" w:rsidP="00EA22AE">
      <w:pPr>
        <w:pStyle w:val="Heading4"/>
        <w:numPr>
          <w:ilvl w:val="0"/>
          <w:numId w:val="0"/>
        </w:numPr>
        <w:spacing w:after="120"/>
        <w:ind w:left="864"/>
      </w:pPr>
      <w:bookmarkStart w:id="5809" w:name="_Toc82773790"/>
      <w:bookmarkStart w:id="5810" w:name="_Toc82774143"/>
      <w:r w:rsidRPr="0077185F">
        <w:t>Stage One - Expert Working Committee</w:t>
      </w:r>
      <w:bookmarkEnd w:id="5809"/>
      <w:bookmarkEnd w:id="5810"/>
    </w:p>
    <w:p w14:paraId="49A4D4F3" w14:textId="77777777" w:rsidR="009C2EF0" w:rsidRPr="00983427" w:rsidRDefault="009C2EF0" w:rsidP="00EA22AE">
      <w:pPr>
        <w:spacing w:after="120"/>
        <w:rPr>
          <w:rFonts w:ascii="Calibri" w:hAnsi="Calibri" w:cs="Calibri"/>
          <w:sz w:val="22"/>
          <w:szCs w:val="22"/>
        </w:rPr>
      </w:pPr>
      <w:r w:rsidRPr="00983427">
        <w:rPr>
          <w:rFonts w:ascii="Calibri" w:hAnsi="Calibri" w:cs="Calibri"/>
          <w:sz w:val="22"/>
          <w:szCs w:val="22"/>
        </w:rPr>
        <w:t xml:space="preserve">The first stage of development of these Ethical Guidelines was overseen by the Australian Health Ethics Committee (AHEC) with advice from an expert working committee established under Section 39 of the </w:t>
      </w:r>
      <w:r w:rsidRPr="00983427">
        <w:rPr>
          <w:rFonts w:ascii="Calibri" w:hAnsi="Calibri" w:cs="Calibri"/>
          <w:i/>
          <w:sz w:val="22"/>
          <w:szCs w:val="22"/>
        </w:rPr>
        <w:t xml:space="preserve">National Health and Medical Research Council Act 1992 </w:t>
      </w:r>
      <w:r w:rsidRPr="00983427">
        <w:rPr>
          <w:rFonts w:ascii="Calibri" w:hAnsi="Calibri" w:cs="Calibri"/>
          <w:sz w:val="22"/>
          <w:szCs w:val="22"/>
        </w:rPr>
        <w:t>(NHMRC Act).</w:t>
      </w:r>
    </w:p>
    <w:p w14:paraId="538A38C1" w14:textId="77777777" w:rsidR="009C2EF0" w:rsidRPr="00983427" w:rsidRDefault="009C2EF0" w:rsidP="00EA22AE">
      <w:pPr>
        <w:spacing w:after="120"/>
        <w:rPr>
          <w:rFonts w:ascii="Calibri" w:hAnsi="Calibri" w:cs="Calibri"/>
          <w:sz w:val="22"/>
          <w:szCs w:val="22"/>
        </w:rPr>
      </w:pPr>
      <w:r w:rsidRPr="00983427">
        <w:rPr>
          <w:rFonts w:ascii="Calibri" w:hAnsi="Calibri" w:cs="Calibri"/>
          <w:sz w:val="22"/>
          <w:szCs w:val="22"/>
        </w:rPr>
        <w:t>Following provision of nominations from relevant organisations and consultation with OTA regarding final membership, the NHMRC CEO established the Organ and Tissue Working Committee (OTWC) to advise AHEC on the review of NHMRC ethical guidelines on organ and tissue donation and transplantation.</w:t>
      </w:r>
    </w:p>
    <w:p w14:paraId="78B03314" w14:textId="77777777" w:rsidR="009C2EF0" w:rsidRPr="00983427" w:rsidRDefault="009C2EF0" w:rsidP="00EA22AE">
      <w:pPr>
        <w:spacing w:after="120"/>
        <w:rPr>
          <w:rFonts w:ascii="Calibri" w:hAnsi="Calibri" w:cs="Calibri"/>
          <w:sz w:val="22"/>
          <w:szCs w:val="22"/>
        </w:rPr>
      </w:pPr>
      <w:r w:rsidRPr="00983427">
        <w:rPr>
          <w:rFonts w:ascii="Calibri" w:hAnsi="Calibri" w:cs="Calibri"/>
          <w:sz w:val="22"/>
          <w:szCs w:val="22"/>
        </w:rPr>
        <w:t>Chaired by Professor Ian Olver, who was Chair of AHEC when appointed to this Committee, the OTWC was established on 1 July 2017 and ran to 30 June 2020. Its Members (</w:t>
      </w:r>
      <w:r w:rsidRPr="00983427">
        <w:rPr>
          <w:rFonts w:ascii="Calibri" w:hAnsi="Calibri" w:cs="Calibri"/>
          <w:b/>
          <w:bCs/>
          <w:sz w:val="22"/>
          <w:szCs w:val="22"/>
        </w:rPr>
        <w:t>Table B1</w:t>
      </w:r>
      <w:r w:rsidRPr="00983427">
        <w:rPr>
          <w:rFonts w:ascii="Calibri" w:hAnsi="Calibri" w:cs="Calibri"/>
          <w:sz w:val="22"/>
          <w:szCs w:val="22"/>
        </w:rPr>
        <w:t xml:space="preserve">) were given the following Terms of Reference: </w:t>
      </w:r>
    </w:p>
    <w:p w14:paraId="1AA486D8" w14:textId="77777777" w:rsidR="009C2EF0" w:rsidRPr="00983427" w:rsidRDefault="009C2EF0" w:rsidP="00C3783C">
      <w:pPr>
        <w:pStyle w:val="ListParagraph"/>
        <w:numPr>
          <w:ilvl w:val="0"/>
          <w:numId w:val="115"/>
        </w:numPr>
        <w:spacing w:after="120"/>
        <w:contextualSpacing w:val="0"/>
        <w:rPr>
          <w:rFonts w:cs="Calibri"/>
          <w:szCs w:val="22"/>
        </w:rPr>
      </w:pPr>
      <w:r w:rsidRPr="00983427">
        <w:rPr>
          <w:rFonts w:cs="Calibri"/>
          <w:szCs w:val="22"/>
        </w:rPr>
        <w:t xml:space="preserve">Taking into account the recently finalised </w:t>
      </w:r>
      <w:r w:rsidRPr="00983427">
        <w:rPr>
          <w:rFonts w:cs="Calibri"/>
          <w:i/>
          <w:szCs w:val="22"/>
        </w:rPr>
        <w:t>Ethical guidelines for organ transplantation from deceased donors</w:t>
      </w:r>
      <w:r w:rsidRPr="00983427">
        <w:rPr>
          <w:rFonts w:cs="Calibri"/>
          <w:szCs w:val="22"/>
        </w:rPr>
        <w:t>, advise on the review of the following NHMRC ethical guidelines on organ and tissue donation and transplantation:</w:t>
      </w:r>
    </w:p>
    <w:p w14:paraId="34D5DA9F" w14:textId="77777777" w:rsidR="009C2EF0" w:rsidRPr="00983427" w:rsidRDefault="009C2EF0" w:rsidP="00C3783C">
      <w:pPr>
        <w:pStyle w:val="ListParagraph"/>
        <w:numPr>
          <w:ilvl w:val="0"/>
          <w:numId w:val="116"/>
        </w:numPr>
        <w:spacing w:after="120"/>
        <w:contextualSpacing w:val="0"/>
        <w:rPr>
          <w:rFonts w:cs="Calibri"/>
          <w:szCs w:val="22"/>
        </w:rPr>
      </w:pPr>
      <w:r w:rsidRPr="00983427">
        <w:rPr>
          <w:rFonts w:cs="Calibri"/>
          <w:szCs w:val="22"/>
        </w:rPr>
        <w:t>Organ and Tissue Donation After Death, for Transplantation – Guidelines for Ethical Practice for Health Professionals, 2007</w:t>
      </w:r>
    </w:p>
    <w:p w14:paraId="0B30CA8D" w14:textId="77777777" w:rsidR="009C2EF0" w:rsidRPr="00983427" w:rsidRDefault="009C2EF0" w:rsidP="00C3783C">
      <w:pPr>
        <w:pStyle w:val="ListParagraph"/>
        <w:numPr>
          <w:ilvl w:val="0"/>
          <w:numId w:val="116"/>
        </w:numPr>
        <w:spacing w:after="120"/>
        <w:contextualSpacing w:val="0"/>
        <w:rPr>
          <w:rFonts w:cs="Calibri"/>
          <w:szCs w:val="22"/>
        </w:rPr>
      </w:pPr>
      <w:r w:rsidRPr="00983427">
        <w:rPr>
          <w:rFonts w:cs="Calibri"/>
          <w:szCs w:val="22"/>
        </w:rPr>
        <w:t>Making a Decision about Organ and Tissue Donation after Death, 2007</w:t>
      </w:r>
    </w:p>
    <w:p w14:paraId="69D72CF5" w14:textId="77777777" w:rsidR="009C2EF0" w:rsidRPr="00983427" w:rsidRDefault="009C2EF0" w:rsidP="00C3783C">
      <w:pPr>
        <w:pStyle w:val="ListParagraph"/>
        <w:numPr>
          <w:ilvl w:val="0"/>
          <w:numId w:val="116"/>
        </w:numPr>
        <w:spacing w:after="120"/>
        <w:contextualSpacing w:val="0"/>
        <w:rPr>
          <w:rFonts w:cs="Calibri"/>
          <w:szCs w:val="22"/>
        </w:rPr>
      </w:pPr>
      <w:r w:rsidRPr="00983427">
        <w:rPr>
          <w:rFonts w:cs="Calibri"/>
          <w:szCs w:val="22"/>
        </w:rPr>
        <w:t>Organ and Tissue Donation by Living Donors – Guidelines for Ethical Practice for Health Professionals, 2007</w:t>
      </w:r>
    </w:p>
    <w:p w14:paraId="7EE49382" w14:textId="77777777" w:rsidR="009C2EF0" w:rsidRPr="00983427" w:rsidRDefault="009C2EF0" w:rsidP="00C3783C">
      <w:pPr>
        <w:pStyle w:val="ListParagraph"/>
        <w:numPr>
          <w:ilvl w:val="0"/>
          <w:numId w:val="116"/>
        </w:numPr>
        <w:spacing w:after="120"/>
        <w:contextualSpacing w:val="0"/>
        <w:rPr>
          <w:rFonts w:cs="Calibri"/>
          <w:szCs w:val="22"/>
        </w:rPr>
      </w:pPr>
      <w:r w:rsidRPr="00983427">
        <w:rPr>
          <w:rFonts w:cs="Calibri"/>
          <w:szCs w:val="22"/>
        </w:rPr>
        <w:lastRenderedPageBreak/>
        <w:t>Making a decision about living organ and tissue donation, 2007</w:t>
      </w:r>
      <w:r w:rsidRPr="00983427">
        <w:rPr>
          <w:rFonts w:cs="Calibri"/>
          <w:szCs w:val="22"/>
        </w:rPr>
        <w:br/>
      </w:r>
    </w:p>
    <w:p w14:paraId="21FBE0A2" w14:textId="77777777" w:rsidR="009C2EF0" w:rsidRPr="00983427" w:rsidRDefault="009C2EF0" w:rsidP="00C3783C">
      <w:pPr>
        <w:pStyle w:val="ListParagraph"/>
        <w:numPr>
          <w:ilvl w:val="0"/>
          <w:numId w:val="115"/>
        </w:numPr>
        <w:spacing w:after="120"/>
        <w:contextualSpacing w:val="0"/>
        <w:rPr>
          <w:rFonts w:cs="Calibri"/>
          <w:szCs w:val="22"/>
        </w:rPr>
      </w:pPr>
      <w:r w:rsidRPr="00983427">
        <w:rPr>
          <w:rFonts w:cs="Calibri"/>
          <w:szCs w:val="22"/>
        </w:rPr>
        <w:t>Identify how all NHMRC ethical guidelines on organ and tissue donation and transplantation could be brought together in a cohesive fashion.</w:t>
      </w:r>
    </w:p>
    <w:p w14:paraId="56E56ACF" w14:textId="77777777" w:rsidR="009C2EF0" w:rsidRPr="00983427" w:rsidRDefault="009C2EF0" w:rsidP="00C3783C">
      <w:pPr>
        <w:pStyle w:val="ListParagraph"/>
        <w:numPr>
          <w:ilvl w:val="0"/>
          <w:numId w:val="115"/>
        </w:numPr>
        <w:spacing w:after="120"/>
        <w:contextualSpacing w:val="0"/>
        <w:rPr>
          <w:rFonts w:cs="Calibri"/>
          <w:szCs w:val="22"/>
        </w:rPr>
      </w:pPr>
      <w:r w:rsidRPr="00983427">
        <w:rPr>
          <w:rFonts w:cs="Calibri"/>
          <w:szCs w:val="22"/>
        </w:rPr>
        <w:t xml:space="preserve">Advise on the recommendation from NHMRC’s Principal Committee Indigenous Caucus regarding the development of separate guidance that specifically addressed issues related to Aboriginal and Torres Strait Islander people and organ and tissue donation and transplantation.    </w:t>
      </w:r>
    </w:p>
    <w:p w14:paraId="3A3F7DBD" w14:textId="77777777" w:rsidR="009C2EF0" w:rsidRPr="00983427" w:rsidRDefault="009C2EF0" w:rsidP="00C3783C">
      <w:pPr>
        <w:pStyle w:val="ListParagraph"/>
        <w:numPr>
          <w:ilvl w:val="0"/>
          <w:numId w:val="115"/>
        </w:numPr>
        <w:spacing w:after="120"/>
        <w:contextualSpacing w:val="0"/>
        <w:rPr>
          <w:rFonts w:cs="Calibri"/>
          <w:szCs w:val="22"/>
        </w:rPr>
      </w:pPr>
      <w:r w:rsidRPr="00983427">
        <w:rPr>
          <w:rFonts w:cs="Calibri"/>
          <w:szCs w:val="22"/>
        </w:rPr>
        <w:t>Develop advice in the form of ethical guidelines for consideration by NHMRC’s Australian Health Ethics Committee.</w:t>
      </w:r>
    </w:p>
    <w:p w14:paraId="30C77CC6" w14:textId="77777777" w:rsidR="009C2EF0" w:rsidRPr="00983427" w:rsidRDefault="009C2EF0" w:rsidP="00EA22AE">
      <w:pPr>
        <w:spacing w:after="120"/>
        <w:rPr>
          <w:rFonts w:ascii="Calibri" w:hAnsi="Calibri" w:cs="Calibri"/>
          <w:sz w:val="22"/>
          <w:szCs w:val="22"/>
        </w:rPr>
      </w:pPr>
      <w:r w:rsidRPr="00983427">
        <w:rPr>
          <w:rFonts w:ascii="Calibri" w:hAnsi="Calibri" w:cs="Calibri"/>
          <w:sz w:val="22"/>
          <w:szCs w:val="22"/>
        </w:rPr>
        <w:t xml:space="preserve">The OTWC met formally on six occasions from August 2017 to March 2019, held eight workshops on specific issues, and provided out of session feedback on various drafts. The process also involved discussions with individual members of the OTWC regarding specific issues.   </w:t>
      </w:r>
    </w:p>
    <w:p w14:paraId="700A8BD9" w14:textId="77777777" w:rsidR="009C2EF0" w:rsidRDefault="009C2EF0" w:rsidP="00EA22AE">
      <w:pPr>
        <w:spacing w:after="120"/>
        <w:rPr>
          <w:rFonts w:ascii="Calibri" w:hAnsi="Calibri" w:cs="Calibri"/>
          <w:sz w:val="22"/>
          <w:szCs w:val="22"/>
        </w:rPr>
      </w:pPr>
      <w:r w:rsidRPr="00983427">
        <w:rPr>
          <w:rFonts w:ascii="Calibri" w:hAnsi="Calibri" w:cs="Calibri"/>
          <w:sz w:val="22"/>
          <w:szCs w:val="22"/>
        </w:rPr>
        <w:t>The work of the OTWC was used to inform the second stage of development of these guidelines.</w:t>
      </w:r>
    </w:p>
    <w:p w14:paraId="1E74EC92" w14:textId="77777777" w:rsidR="0035413C" w:rsidRPr="00983427" w:rsidRDefault="0035413C" w:rsidP="00EA22AE">
      <w:pPr>
        <w:spacing w:after="120"/>
        <w:rPr>
          <w:rFonts w:ascii="Calibri" w:hAnsi="Calibri" w:cs="Calibri"/>
          <w:sz w:val="22"/>
          <w:szCs w:val="22"/>
        </w:rPr>
      </w:pPr>
    </w:p>
    <w:p w14:paraId="5FA3EE74" w14:textId="0A7FA578" w:rsidR="009C2EF0" w:rsidRPr="0035413C" w:rsidRDefault="0035413C" w:rsidP="003645D7">
      <w:pPr>
        <w:spacing w:after="120"/>
        <w:jc w:val="center"/>
        <w:rPr>
          <w:rFonts w:ascii="Calibri" w:hAnsi="Calibri" w:cs="Calibri"/>
          <w:sz w:val="22"/>
          <w:szCs w:val="22"/>
        </w:rPr>
      </w:pPr>
      <w:r w:rsidRPr="0035413C">
        <w:rPr>
          <w:rFonts w:ascii="Calibri" w:hAnsi="Calibri" w:cs="Calibri"/>
          <w:sz w:val="22"/>
          <w:szCs w:val="22"/>
        </w:rPr>
        <w:t>***</w:t>
      </w:r>
      <w:r w:rsidR="003645D7" w:rsidRPr="0035413C">
        <w:rPr>
          <w:rFonts w:ascii="Calibri" w:hAnsi="Calibri" w:cs="Calibri"/>
          <w:sz w:val="22"/>
          <w:szCs w:val="22"/>
        </w:rPr>
        <w:t>Note: The tables below will be completed after the public consultation</w:t>
      </w:r>
      <w:r w:rsidRPr="0035413C">
        <w:rPr>
          <w:rFonts w:ascii="Calibri" w:hAnsi="Calibri" w:cs="Calibri"/>
          <w:sz w:val="22"/>
          <w:szCs w:val="22"/>
        </w:rPr>
        <w:t>***</w:t>
      </w:r>
    </w:p>
    <w:p w14:paraId="3E1609B6" w14:textId="77777777" w:rsidR="0035413C" w:rsidRPr="0077185F" w:rsidRDefault="0035413C" w:rsidP="0035413C">
      <w:pPr>
        <w:spacing w:after="120"/>
        <w:jc w:val="center"/>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9C2EF0" w:rsidRPr="0077185F" w14:paraId="25191C4D" w14:textId="77777777">
        <w:tc>
          <w:tcPr>
            <w:tcW w:w="9010" w:type="dxa"/>
          </w:tcPr>
          <w:p w14:paraId="1211A6FD" w14:textId="77777777" w:rsidR="009C2EF0" w:rsidRDefault="009C2EF0" w:rsidP="00EA22AE">
            <w:pPr>
              <w:spacing w:after="120"/>
              <w:rPr>
                <w:rFonts w:ascii="Calibri" w:hAnsi="Calibri" w:cs="Calibri"/>
                <w:b/>
                <w:bCs/>
                <w:sz w:val="22"/>
                <w:szCs w:val="22"/>
              </w:rPr>
            </w:pPr>
            <w:r w:rsidRPr="00983427">
              <w:rPr>
                <w:rFonts w:ascii="Calibri" w:hAnsi="Calibri" w:cs="Calibri"/>
                <w:b/>
                <w:bCs/>
                <w:sz w:val="22"/>
                <w:szCs w:val="22"/>
              </w:rPr>
              <w:t>Table B1–</w:t>
            </w:r>
            <w:r w:rsidRPr="0077185F">
              <w:rPr>
                <w:rFonts w:ascii="Calibri" w:hAnsi="Calibri" w:cs="Calibri"/>
                <w:b/>
                <w:bCs/>
                <w:sz w:val="22"/>
                <w:szCs w:val="22"/>
              </w:rPr>
              <w:t xml:space="preserve"> Members of the NHMRC Organ and Tissue Working </w:t>
            </w:r>
            <w:r w:rsidR="00B4664F">
              <w:rPr>
                <w:rFonts w:ascii="Calibri" w:hAnsi="Calibri" w:cs="Calibri"/>
                <w:b/>
                <w:bCs/>
                <w:sz w:val="22"/>
                <w:szCs w:val="22"/>
              </w:rPr>
              <w:t xml:space="preserve">Committee </w:t>
            </w:r>
          </w:p>
          <w:p w14:paraId="2EFFC443" w14:textId="2017A7CA" w:rsidR="00B4664F" w:rsidRPr="0077185F" w:rsidRDefault="00E776F3" w:rsidP="00EA22AE">
            <w:pPr>
              <w:spacing w:after="120"/>
              <w:rPr>
                <w:rFonts w:ascii="Calibri" w:hAnsi="Calibri" w:cs="Calibri"/>
                <w:b/>
                <w:bCs/>
                <w:sz w:val="22"/>
                <w:szCs w:val="22"/>
              </w:rPr>
            </w:pPr>
            <w:r w:rsidRPr="003F4A0E">
              <w:rPr>
                <w:rFonts w:ascii="Calibri" w:hAnsi="Calibri" w:cs="Calibri"/>
                <w:b/>
                <w:bCs/>
                <w:sz w:val="22"/>
                <w:szCs w:val="22"/>
              </w:rPr>
              <w:t xml:space="preserve">details will be provided at the next phase and after approval to identify has been confirmed  </w:t>
            </w:r>
          </w:p>
        </w:tc>
      </w:tr>
      <w:tr w:rsidR="009C2EF0" w:rsidRPr="0077185F" w14:paraId="7F1E4DF8" w14:textId="77777777">
        <w:tc>
          <w:tcPr>
            <w:tcW w:w="9010" w:type="dxa"/>
          </w:tcPr>
          <w:p w14:paraId="33167822" w14:textId="77777777" w:rsidR="009C2EF0" w:rsidRDefault="009C2EF0" w:rsidP="00EA22AE">
            <w:pPr>
              <w:spacing w:after="120"/>
              <w:rPr>
                <w:rFonts w:ascii="Calibri" w:hAnsi="Calibri" w:cs="Calibri"/>
                <w:sz w:val="22"/>
                <w:szCs w:val="22"/>
              </w:rPr>
            </w:pPr>
          </w:p>
          <w:p w14:paraId="54FAF465" w14:textId="77777777" w:rsidR="00E776F3" w:rsidRDefault="00E776F3" w:rsidP="00EA22AE">
            <w:pPr>
              <w:spacing w:after="120"/>
              <w:rPr>
                <w:rFonts w:ascii="Calibri" w:hAnsi="Calibri" w:cs="Calibri"/>
                <w:sz w:val="22"/>
                <w:szCs w:val="22"/>
              </w:rPr>
            </w:pPr>
          </w:p>
          <w:p w14:paraId="292EA634" w14:textId="77777777" w:rsidR="00E776F3" w:rsidRDefault="00E776F3" w:rsidP="00EA22AE">
            <w:pPr>
              <w:spacing w:after="120"/>
              <w:rPr>
                <w:rFonts w:ascii="Calibri" w:hAnsi="Calibri" w:cs="Calibri"/>
                <w:sz w:val="22"/>
                <w:szCs w:val="22"/>
              </w:rPr>
            </w:pPr>
          </w:p>
          <w:p w14:paraId="22541FED" w14:textId="77777777" w:rsidR="00E776F3" w:rsidRDefault="00E776F3" w:rsidP="00EA22AE">
            <w:pPr>
              <w:spacing w:after="120"/>
              <w:rPr>
                <w:rFonts w:ascii="Calibri" w:hAnsi="Calibri" w:cs="Calibri"/>
                <w:sz w:val="22"/>
                <w:szCs w:val="22"/>
              </w:rPr>
            </w:pPr>
          </w:p>
          <w:p w14:paraId="572A03C2" w14:textId="77777777" w:rsidR="00E776F3" w:rsidRDefault="00E776F3" w:rsidP="00EA22AE">
            <w:pPr>
              <w:spacing w:after="120"/>
              <w:rPr>
                <w:rFonts w:ascii="Calibri" w:hAnsi="Calibri" w:cs="Calibri"/>
                <w:sz w:val="22"/>
                <w:szCs w:val="22"/>
              </w:rPr>
            </w:pPr>
          </w:p>
          <w:p w14:paraId="28DE9C48" w14:textId="1059915B" w:rsidR="00E776F3" w:rsidRPr="0077185F" w:rsidRDefault="00E776F3" w:rsidP="00EA22AE">
            <w:pPr>
              <w:spacing w:after="120"/>
              <w:rPr>
                <w:rFonts w:ascii="Calibri" w:hAnsi="Calibri" w:cs="Calibri"/>
                <w:sz w:val="22"/>
                <w:szCs w:val="22"/>
              </w:rPr>
            </w:pPr>
          </w:p>
        </w:tc>
      </w:tr>
    </w:tbl>
    <w:p w14:paraId="48A21ECD" w14:textId="77777777" w:rsidR="009C2EF0" w:rsidRDefault="009C2EF0" w:rsidP="00EA22AE">
      <w:pPr>
        <w:pStyle w:val="Heading4"/>
        <w:numPr>
          <w:ilvl w:val="0"/>
          <w:numId w:val="0"/>
        </w:numPr>
        <w:spacing w:after="120"/>
        <w:ind w:left="864"/>
      </w:pPr>
      <w:bookmarkStart w:id="5811" w:name="_Toc82773791"/>
      <w:bookmarkStart w:id="5812" w:name="_Toc82774144"/>
    </w:p>
    <w:p w14:paraId="24FFD747" w14:textId="77777777" w:rsidR="00AE5FB1" w:rsidRDefault="00AE5FB1" w:rsidP="00AE5FB1"/>
    <w:p w14:paraId="66AB3CE1" w14:textId="77777777" w:rsidR="00D6787C" w:rsidRDefault="00D6787C" w:rsidP="00AE5FB1"/>
    <w:p w14:paraId="342E9BF3" w14:textId="77777777" w:rsidR="00D6787C" w:rsidRDefault="00D6787C" w:rsidP="00AE5FB1"/>
    <w:p w14:paraId="5249753E" w14:textId="77777777" w:rsidR="00D6787C" w:rsidRDefault="00D6787C" w:rsidP="00AE5FB1"/>
    <w:p w14:paraId="5DDC2ED6" w14:textId="77777777" w:rsidR="00D6787C" w:rsidRDefault="00D6787C" w:rsidP="00AE5FB1"/>
    <w:p w14:paraId="370FE418" w14:textId="77777777" w:rsidR="00D6787C" w:rsidRDefault="00D6787C" w:rsidP="00AE5FB1"/>
    <w:p w14:paraId="7431A97B" w14:textId="77777777" w:rsidR="00D6787C" w:rsidRDefault="00D6787C" w:rsidP="00AE5FB1"/>
    <w:p w14:paraId="19211AB3" w14:textId="77777777" w:rsidR="00D6787C" w:rsidRDefault="00D6787C" w:rsidP="00AE5FB1"/>
    <w:p w14:paraId="6B5DB2B1" w14:textId="77777777" w:rsidR="00D6787C" w:rsidRDefault="00D6787C" w:rsidP="00AE5FB1"/>
    <w:p w14:paraId="1AE512DC" w14:textId="77777777" w:rsidR="00D6787C" w:rsidRDefault="00D6787C" w:rsidP="00AE5FB1"/>
    <w:p w14:paraId="6F2E59B6" w14:textId="77777777" w:rsidR="00D6787C" w:rsidRDefault="00D6787C" w:rsidP="00AE5FB1"/>
    <w:p w14:paraId="5BB35BEB" w14:textId="77777777" w:rsidR="00D6787C" w:rsidRDefault="00D6787C" w:rsidP="00AE5FB1"/>
    <w:p w14:paraId="6FE408D3" w14:textId="77777777" w:rsidR="00D6787C" w:rsidRDefault="00D6787C" w:rsidP="00AE5FB1"/>
    <w:p w14:paraId="45EEAF8D" w14:textId="77777777" w:rsidR="00D6787C" w:rsidRDefault="00D6787C" w:rsidP="00AE5FB1"/>
    <w:p w14:paraId="2FEB0884" w14:textId="77777777" w:rsidR="00D6787C" w:rsidRDefault="00D6787C" w:rsidP="00AE5FB1"/>
    <w:p w14:paraId="454C8DBE" w14:textId="77777777" w:rsidR="00AE5FB1" w:rsidRDefault="00AE5FB1" w:rsidP="00AE5FB1"/>
    <w:p w14:paraId="3C10592A" w14:textId="77777777" w:rsidR="00AE5FB1" w:rsidRDefault="00AE5FB1" w:rsidP="00AE5FB1"/>
    <w:p w14:paraId="6ABA5AFE" w14:textId="77777777" w:rsidR="00AE5FB1" w:rsidRDefault="00AE5FB1" w:rsidP="00AE5FB1"/>
    <w:p w14:paraId="152DF242" w14:textId="77777777" w:rsidR="00AE5FB1" w:rsidRPr="00AE5FB1" w:rsidRDefault="00AE5FB1" w:rsidP="00AE5FB1"/>
    <w:p w14:paraId="0E84741E" w14:textId="77777777" w:rsidR="009C2EF0" w:rsidRPr="0077185F" w:rsidRDefault="009C2EF0" w:rsidP="00EA22AE">
      <w:pPr>
        <w:pStyle w:val="Heading4"/>
        <w:numPr>
          <w:ilvl w:val="0"/>
          <w:numId w:val="0"/>
        </w:numPr>
        <w:spacing w:after="120"/>
        <w:ind w:left="864"/>
      </w:pPr>
      <w:r w:rsidRPr="0077185F">
        <w:t>Stage Two –</w:t>
      </w:r>
      <w:r>
        <w:t xml:space="preserve"> </w:t>
      </w:r>
      <w:r w:rsidRPr="0077185F">
        <w:t>development</w:t>
      </w:r>
      <w:bookmarkEnd w:id="5811"/>
      <w:bookmarkEnd w:id="5812"/>
      <w:r>
        <w:t xml:space="preserve"> of Draft Guidelines</w:t>
      </w:r>
    </w:p>
    <w:p w14:paraId="3CF2E9CF" w14:textId="77777777" w:rsidR="009C2EF0" w:rsidRPr="0077185F" w:rsidRDefault="009C2EF0" w:rsidP="00EA22AE">
      <w:pPr>
        <w:spacing w:after="120"/>
        <w:rPr>
          <w:rFonts w:ascii="Calibri" w:hAnsi="Calibri" w:cs="Calibri"/>
        </w:rPr>
      </w:pPr>
    </w:p>
    <w:tbl>
      <w:tblPr>
        <w:tblStyle w:val="TableGrid"/>
        <w:tblW w:w="0" w:type="auto"/>
        <w:tblLook w:val="04A0" w:firstRow="1" w:lastRow="0" w:firstColumn="1" w:lastColumn="0" w:noHBand="0" w:noVBand="1"/>
      </w:tblPr>
      <w:tblGrid>
        <w:gridCol w:w="9010"/>
      </w:tblGrid>
      <w:tr w:rsidR="009C2EF0" w:rsidRPr="0077185F" w14:paraId="05B39B5A" w14:textId="77777777">
        <w:tc>
          <w:tcPr>
            <w:tcW w:w="9010" w:type="dxa"/>
          </w:tcPr>
          <w:p w14:paraId="4E0089CF" w14:textId="64252E14" w:rsidR="009C2EF0" w:rsidRPr="0077185F" w:rsidRDefault="009C2EF0" w:rsidP="00EA22AE">
            <w:pPr>
              <w:spacing w:after="120"/>
              <w:rPr>
                <w:rFonts w:ascii="Calibri" w:hAnsi="Calibri" w:cs="Calibri"/>
                <w:b/>
                <w:bCs/>
                <w:sz w:val="22"/>
                <w:szCs w:val="22"/>
              </w:rPr>
            </w:pPr>
            <w:r w:rsidRPr="0077185F">
              <w:rPr>
                <w:rFonts w:ascii="Calibri" w:hAnsi="Calibri" w:cs="Calibri"/>
                <w:b/>
                <w:bCs/>
                <w:sz w:val="22"/>
                <w:szCs w:val="22"/>
              </w:rPr>
              <w:t xml:space="preserve">Table </w:t>
            </w:r>
            <w:r>
              <w:rPr>
                <w:rFonts w:ascii="Calibri" w:hAnsi="Calibri" w:cs="Calibri"/>
                <w:b/>
                <w:bCs/>
                <w:sz w:val="22"/>
                <w:szCs w:val="22"/>
              </w:rPr>
              <w:t>B2</w:t>
            </w:r>
            <w:r w:rsidRPr="0077185F">
              <w:rPr>
                <w:rFonts w:ascii="Calibri" w:hAnsi="Calibri" w:cs="Calibri"/>
                <w:b/>
                <w:bCs/>
                <w:sz w:val="22"/>
                <w:szCs w:val="22"/>
              </w:rPr>
              <w:t xml:space="preserve"> – Further contributors to the draft Ethical Guidelines</w:t>
            </w:r>
            <w:r w:rsidR="00AE5FB1">
              <w:rPr>
                <w:rFonts w:ascii="Calibri" w:hAnsi="Calibri" w:cs="Calibri"/>
                <w:b/>
                <w:bCs/>
                <w:sz w:val="22"/>
                <w:szCs w:val="22"/>
              </w:rPr>
              <w:t xml:space="preserve"> -</w:t>
            </w:r>
            <w:r w:rsidRPr="0077185F">
              <w:rPr>
                <w:rFonts w:ascii="Calibri" w:hAnsi="Calibri" w:cs="Calibri"/>
                <w:b/>
                <w:bCs/>
                <w:sz w:val="22"/>
                <w:szCs w:val="22"/>
              </w:rPr>
              <w:t xml:space="preserve"> </w:t>
            </w:r>
            <w:r w:rsidR="00AE5FB1">
              <w:rPr>
                <w:rFonts w:ascii="Calibri" w:hAnsi="Calibri" w:cs="Calibri"/>
                <w:b/>
                <w:bCs/>
                <w:sz w:val="22"/>
                <w:szCs w:val="22"/>
              </w:rPr>
              <w:t xml:space="preserve">details will be provided at the next phase and after approval to identify has been confirmed </w:t>
            </w:r>
            <w:r w:rsidR="00AE5FB1" w:rsidRPr="0077185F">
              <w:rPr>
                <w:rFonts w:ascii="Calibri" w:hAnsi="Calibri" w:cs="Calibri"/>
                <w:b/>
                <w:bCs/>
                <w:sz w:val="22"/>
                <w:szCs w:val="22"/>
              </w:rPr>
              <w:t xml:space="preserve"> </w:t>
            </w:r>
          </w:p>
        </w:tc>
      </w:tr>
      <w:tr w:rsidR="009C2EF0" w:rsidRPr="0077185F" w14:paraId="4CF781D3" w14:textId="77777777">
        <w:tc>
          <w:tcPr>
            <w:tcW w:w="9010" w:type="dxa"/>
          </w:tcPr>
          <w:p w14:paraId="277467E8" w14:textId="77777777" w:rsidR="009C2EF0" w:rsidRPr="0077185F" w:rsidRDefault="009C2EF0" w:rsidP="00EA22AE">
            <w:pPr>
              <w:spacing w:after="120"/>
              <w:rPr>
                <w:rFonts w:ascii="Calibri" w:hAnsi="Calibri" w:cs="Calibri"/>
                <w:sz w:val="22"/>
                <w:szCs w:val="22"/>
              </w:rPr>
            </w:pPr>
          </w:p>
          <w:p w14:paraId="37C2F32B" w14:textId="2A8310FF" w:rsidR="009C2EF0" w:rsidRPr="00983427" w:rsidRDefault="009C2EF0" w:rsidP="00EA22AE">
            <w:pPr>
              <w:spacing w:after="120"/>
              <w:rPr>
                <w:rFonts w:ascii="Calibri" w:hAnsi="Calibri" w:cs="Calibri"/>
                <w:i/>
                <w:iCs/>
                <w:sz w:val="22"/>
                <w:szCs w:val="22"/>
              </w:rPr>
            </w:pPr>
          </w:p>
        </w:tc>
      </w:tr>
    </w:tbl>
    <w:p w14:paraId="4E3C6740" w14:textId="77777777" w:rsidR="009C2EF0" w:rsidRDefault="009C2EF0" w:rsidP="00EA22AE">
      <w:pPr>
        <w:spacing w:after="120"/>
        <w:rPr>
          <w:rFonts w:ascii="Calibri" w:hAnsi="Calibri" w:cs="Calibri"/>
        </w:rPr>
      </w:pPr>
    </w:p>
    <w:p w14:paraId="32F58D70" w14:textId="23AD229B" w:rsidR="00AE5FB1" w:rsidRDefault="0059604E" w:rsidP="00EA22AE">
      <w:pPr>
        <w:spacing w:after="120"/>
        <w:rPr>
          <w:rFonts w:ascii="Calibri" w:hAnsi="Calibri" w:cs="Calibri"/>
        </w:rPr>
      </w:pPr>
      <w:r w:rsidRPr="0059604E">
        <w:rPr>
          <w:rFonts w:ascii="Calibri" w:eastAsiaTheme="minorHAnsi" w:hAnsi="Calibri" w:cs="Calibri"/>
          <w:noProof/>
          <w:szCs w:val="22"/>
          <w:u w:color="0000FF"/>
          <w:lang w:val="en-GB" w:eastAsia="en-US"/>
          <w14:ligatures w14:val="standardContextual"/>
        </w:rPr>
        <mc:AlternateContent>
          <mc:Choice Requires="wps">
            <w:drawing>
              <wp:anchor distT="0" distB="0" distL="114300" distR="114300" simplePos="0" relativeHeight="251658256" behindDoc="0" locked="0" layoutInCell="1" allowOverlap="1" wp14:anchorId="47280F6B" wp14:editId="1134C7B0">
                <wp:simplePos x="0" y="0"/>
                <wp:positionH relativeFrom="column">
                  <wp:posOffset>0</wp:posOffset>
                </wp:positionH>
                <wp:positionV relativeFrom="paragraph">
                  <wp:posOffset>262918</wp:posOffset>
                </wp:positionV>
                <wp:extent cx="6166485" cy="2926080"/>
                <wp:effectExtent l="0" t="0" r="24765" b="26670"/>
                <wp:wrapNone/>
                <wp:docPr id="16" name="Text Box 16" descr="P3361TB29#y1"/>
                <wp:cNvGraphicFramePr/>
                <a:graphic xmlns:a="http://schemas.openxmlformats.org/drawingml/2006/main">
                  <a:graphicData uri="http://schemas.microsoft.com/office/word/2010/wordprocessingShape">
                    <wps:wsp>
                      <wps:cNvSpPr txBox="1"/>
                      <wps:spPr>
                        <a:xfrm>
                          <a:off x="0" y="0"/>
                          <a:ext cx="6166485" cy="2926080"/>
                        </a:xfrm>
                        <a:prstGeom prst="rect">
                          <a:avLst/>
                        </a:prstGeom>
                        <a:solidFill>
                          <a:sysClr val="window" lastClr="FFFFFF"/>
                        </a:solidFill>
                        <a:ln w="6350">
                          <a:solidFill>
                            <a:prstClr val="black"/>
                          </a:solidFill>
                        </a:ln>
                      </wps:spPr>
                      <wps:txbx>
                        <w:txbxContent>
                          <w:p w14:paraId="60521D67" w14:textId="77777777" w:rsidR="0059604E" w:rsidRDefault="0059604E" w:rsidP="0059604E">
                            <w:r>
                              <w:t>This section designated for further detail on the development process and intentionally left blank.</w:t>
                            </w:r>
                          </w:p>
                          <w:p w14:paraId="493EDF38" w14:textId="77777777" w:rsidR="0059604E" w:rsidRDefault="0059604E" w:rsidP="0059604E"/>
                          <w:p w14:paraId="0C064947" w14:textId="769C9827" w:rsidR="0059604E" w:rsidRDefault="0059604E" w:rsidP="005960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0F6B" id="Text Box 16" o:spid="_x0000_s1039" type="#_x0000_t202" alt="P3361TB29#y1" style="position:absolute;margin-left:0;margin-top:20.7pt;width:485.55pt;height:230.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" fillcolor="window" strokeweight=".5pt">
                <v:textbox>
                  <w:txbxContent>
                    <w:p w14:paraId="60521D67" w14:textId="77777777" w:rsidR="0059604E" w:rsidRDefault="0059604E" w:rsidP="0059604E">
                      <w:r>
                        <w:t>This section designated for further detail on the development process and intentionally left blank.</w:t>
                      </w:r>
                    </w:p>
                    <w:p w14:paraId="493EDF38" w14:textId="77777777" w:rsidR="0059604E" w:rsidRDefault="0059604E" w:rsidP="0059604E"/>
                    <w:p w14:paraId="0C064947" w14:textId="769C9827" w:rsidR="0059604E" w:rsidRDefault="0059604E" w:rsidP="0059604E"/>
                  </w:txbxContent>
                </v:textbox>
              </v:shape>
            </w:pict>
          </mc:Fallback>
        </mc:AlternateContent>
      </w:r>
    </w:p>
    <w:p w14:paraId="5862CC66" w14:textId="0FAAB9F8" w:rsidR="00AE5FB1" w:rsidRDefault="00AE5FB1" w:rsidP="00EA22AE">
      <w:pPr>
        <w:spacing w:after="120"/>
        <w:rPr>
          <w:rFonts w:ascii="Calibri" w:hAnsi="Calibri" w:cs="Calibri"/>
        </w:rPr>
      </w:pPr>
    </w:p>
    <w:p w14:paraId="51282740" w14:textId="77777777" w:rsidR="008E68F6" w:rsidRDefault="008E68F6" w:rsidP="00EA22AE">
      <w:pPr>
        <w:spacing w:after="120"/>
        <w:rPr>
          <w:rFonts w:ascii="Calibri" w:hAnsi="Calibri" w:cs="Calibri"/>
        </w:rPr>
      </w:pPr>
    </w:p>
    <w:p w14:paraId="3D9F6C68" w14:textId="77777777" w:rsidR="008E68F6" w:rsidRDefault="008E68F6" w:rsidP="00EA22AE">
      <w:pPr>
        <w:spacing w:after="120"/>
        <w:rPr>
          <w:rFonts w:ascii="Calibri" w:hAnsi="Calibri" w:cs="Calibri"/>
        </w:rPr>
      </w:pPr>
    </w:p>
    <w:p w14:paraId="55BE05BA" w14:textId="77777777" w:rsidR="008E68F6" w:rsidRDefault="008E68F6" w:rsidP="00EA22AE">
      <w:pPr>
        <w:spacing w:after="120"/>
        <w:rPr>
          <w:rFonts w:ascii="Calibri" w:hAnsi="Calibri" w:cs="Calibri"/>
        </w:rPr>
      </w:pPr>
    </w:p>
    <w:p w14:paraId="5B9CABAD" w14:textId="77777777" w:rsidR="008E68F6" w:rsidRDefault="008E68F6" w:rsidP="00EA22AE">
      <w:pPr>
        <w:spacing w:after="120"/>
        <w:rPr>
          <w:rFonts w:ascii="Calibri" w:hAnsi="Calibri" w:cs="Calibri"/>
        </w:rPr>
      </w:pPr>
    </w:p>
    <w:p w14:paraId="6A12BDE1" w14:textId="77777777" w:rsidR="008E68F6" w:rsidRDefault="008E68F6" w:rsidP="00EA22AE">
      <w:pPr>
        <w:spacing w:after="120"/>
        <w:rPr>
          <w:rFonts w:ascii="Calibri" w:hAnsi="Calibri" w:cs="Calibri"/>
        </w:rPr>
      </w:pPr>
    </w:p>
    <w:p w14:paraId="089631A1" w14:textId="77777777" w:rsidR="008E68F6" w:rsidRDefault="008E68F6" w:rsidP="00EA22AE">
      <w:pPr>
        <w:spacing w:after="120"/>
        <w:rPr>
          <w:rFonts w:ascii="Calibri" w:hAnsi="Calibri" w:cs="Calibri"/>
        </w:rPr>
      </w:pPr>
    </w:p>
    <w:p w14:paraId="1B7A1260" w14:textId="77777777" w:rsidR="008E68F6" w:rsidRDefault="008E68F6" w:rsidP="00EA22AE">
      <w:pPr>
        <w:spacing w:after="120"/>
        <w:rPr>
          <w:rFonts w:ascii="Calibri" w:hAnsi="Calibri" w:cs="Calibri"/>
        </w:rPr>
      </w:pPr>
    </w:p>
    <w:p w14:paraId="19A22B02" w14:textId="77777777" w:rsidR="008E68F6" w:rsidRDefault="008E68F6" w:rsidP="00EA22AE">
      <w:pPr>
        <w:spacing w:after="120"/>
        <w:rPr>
          <w:rFonts w:ascii="Calibri" w:hAnsi="Calibri" w:cs="Calibri"/>
        </w:rPr>
      </w:pPr>
    </w:p>
    <w:p w14:paraId="4CFFD2A1" w14:textId="77777777" w:rsidR="008E68F6" w:rsidRDefault="008E68F6" w:rsidP="00EA22AE">
      <w:pPr>
        <w:spacing w:after="120"/>
        <w:rPr>
          <w:rFonts w:ascii="Calibri" w:hAnsi="Calibri" w:cs="Calibri"/>
        </w:rPr>
      </w:pPr>
    </w:p>
    <w:p w14:paraId="76FA0BA1" w14:textId="77777777" w:rsidR="008E68F6" w:rsidRDefault="008E68F6" w:rsidP="00EA22AE">
      <w:pPr>
        <w:spacing w:after="120"/>
        <w:rPr>
          <w:rFonts w:ascii="Calibri" w:hAnsi="Calibri" w:cs="Calibri"/>
        </w:rPr>
      </w:pPr>
    </w:p>
    <w:p w14:paraId="35344B45" w14:textId="77777777" w:rsidR="008E68F6" w:rsidRDefault="008E68F6" w:rsidP="00EA22AE">
      <w:pPr>
        <w:spacing w:after="120"/>
        <w:rPr>
          <w:rFonts w:ascii="Calibri" w:hAnsi="Calibri" w:cs="Calibri"/>
        </w:rPr>
      </w:pPr>
    </w:p>
    <w:p w14:paraId="3A8BA48F" w14:textId="77777777" w:rsidR="008E68F6" w:rsidRDefault="008E68F6" w:rsidP="00EA22AE">
      <w:pPr>
        <w:spacing w:after="120"/>
        <w:rPr>
          <w:rFonts w:ascii="Calibri" w:hAnsi="Calibri" w:cs="Calibri"/>
        </w:rPr>
      </w:pPr>
    </w:p>
    <w:p w14:paraId="750F5206" w14:textId="77777777" w:rsidR="008E68F6" w:rsidRDefault="008E68F6" w:rsidP="00EA22AE">
      <w:pPr>
        <w:spacing w:after="120"/>
        <w:rPr>
          <w:rFonts w:ascii="Calibri" w:hAnsi="Calibri" w:cs="Calibri"/>
        </w:rPr>
      </w:pPr>
    </w:p>
    <w:p w14:paraId="630ED1AE" w14:textId="77777777" w:rsidR="008E68F6" w:rsidRDefault="008E68F6" w:rsidP="00EA22AE">
      <w:pPr>
        <w:spacing w:after="120"/>
        <w:rPr>
          <w:rFonts w:ascii="Calibri" w:hAnsi="Calibri" w:cs="Calibri"/>
        </w:rPr>
      </w:pPr>
    </w:p>
    <w:p w14:paraId="657554B6" w14:textId="77777777" w:rsidR="008E68F6" w:rsidRDefault="008E68F6" w:rsidP="00EA22AE">
      <w:pPr>
        <w:spacing w:after="120"/>
        <w:rPr>
          <w:rFonts w:ascii="Calibri" w:hAnsi="Calibri" w:cs="Calibri"/>
        </w:rPr>
      </w:pPr>
    </w:p>
    <w:p w14:paraId="64E8B87D" w14:textId="77777777" w:rsidR="008E68F6" w:rsidRDefault="008E68F6" w:rsidP="00EA22AE">
      <w:pPr>
        <w:spacing w:after="120"/>
        <w:rPr>
          <w:rFonts w:ascii="Calibri" w:hAnsi="Calibri" w:cs="Calibri"/>
        </w:rPr>
      </w:pPr>
    </w:p>
    <w:p w14:paraId="7AC4C4D2" w14:textId="77777777" w:rsidR="008E68F6" w:rsidRDefault="008E68F6" w:rsidP="00EA22AE">
      <w:pPr>
        <w:spacing w:after="120"/>
        <w:rPr>
          <w:rFonts w:ascii="Calibri" w:hAnsi="Calibri" w:cs="Calibri"/>
        </w:rPr>
      </w:pPr>
    </w:p>
    <w:p w14:paraId="783DDB9F" w14:textId="77777777" w:rsidR="008E68F6" w:rsidRDefault="008E68F6" w:rsidP="00EA22AE">
      <w:pPr>
        <w:spacing w:after="120"/>
        <w:rPr>
          <w:rFonts w:ascii="Calibri" w:hAnsi="Calibri" w:cs="Calibri"/>
        </w:rPr>
      </w:pPr>
    </w:p>
    <w:p w14:paraId="635BBB22" w14:textId="77777777" w:rsidR="008E68F6" w:rsidRDefault="008E68F6" w:rsidP="00EA22AE">
      <w:pPr>
        <w:spacing w:after="120"/>
        <w:rPr>
          <w:rFonts w:ascii="Calibri" w:hAnsi="Calibri" w:cs="Calibri"/>
        </w:rPr>
      </w:pPr>
    </w:p>
    <w:p w14:paraId="5ECA41BE" w14:textId="77777777" w:rsidR="008E68F6" w:rsidRDefault="008E68F6" w:rsidP="00EA22AE">
      <w:pPr>
        <w:spacing w:after="120"/>
        <w:rPr>
          <w:rFonts w:ascii="Calibri" w:hAnsi="Calibri" w:cs="Calibri"/>
        </w:rPr>
      </w:pPr>
    </w:p>
    <w:p w14:paraId="5BE9E324" w14:textId="77777777" w:rsidR="008E68F6" w:rsidRDefault="008E68F6" w:rsidP="00EA22AE">
      <w:pPr>
        <w:spacing w:after="120"/>
        <w:rPr>
          <w:rFonts w:ascii="Calibri" w:hAnsi="Calibri" w:cs="Calibri"/>
        </w:rPr>
      </w:pPr>
    </w:p>
    <w:p w14:paraId="3BEB9E0E" w14:textId="77777777" w:rsidR="00AE5FB1" w:rsidRDefault="00AE5FB1" w:rsidP="00EA22AE">
      <w:pPr>
        <w:spacing w:after="120"/>
        <w:rPr>
          <w:rFonts w:ascii="Calibri" w:hAnsi="Calibri" w:cs="Calibri"/>
        </w:rPr>
      </w:pPr>
    </w:p>
    <w:p w14:paraId="193BF479" w14:textId="77777777" w:rsidR="00AE5FB1" w:rsidRDefault="00AE5FB1" w:rsidP="00EA22AE">
      <w:pPr>
        <w:spacing w:after="120"/>
        <w:rPr>
          <w:rFonts w:ascii="Calibri" w:hAnsi="Calibri" w:cs="Calibri"/>
        </w:rPr>
      </w:pPr>
    </w:p>
    <w:p w14:paraId="0A2B0EB7" w14:textId="77777777" w:rsidR="00AE5FB1" w:rsidRPr="0077185F" w:rsidRDefault="00AE5FB1" w:rsidP="00EA22AE">
      <w:pPr>
        <w:spacing w:after="120"/>
        <w:rPr>
          <w:rFonts w:ascii="Calibri" w:hAnsi="Calibri" w:cs="Calibri"/>
        </w:rPr>
      </w:pPr>
    </w:p>
    <w:p w14:paraId="7E51D5CB" w14:textId="77777777" w:rsidR="009C2EF0" w:rsidRPr="0077185F" w:rsidRDefault="009C2EF0" w:rsidP="00EA22AE">
      <w:pPr>
        <w:pStyle w:val="Heading4"/>
        <w:numPr>
          <w:ilvl w:val="0"/>
          <w:numId w:val="0"/>
        </w:numPr>
        <w:spacing w:after="120"/>
        <w:ind w:left="864"/>
      </w:pPr>
      <w:bookmarkStart w:id="5813" w:name="_Toc82773793"/>
      <w:bookmarkStart w:id="5814" w:name="_Toc82774145"/>
      <w:r w:rsidRPr="0077185F">
        <w:t xml:space="preserve">Stage Three – </w:t>
      </w:r>
      <w:r>
        <w:t xml:space="preserve">AHEC </w:t>
      </w:r>
      <w:bookmarkEnd w:id="5813"/>
      <w:bookmarkEnd w:id="5814"/>
      <w:r>
        <w:t>review and targeted consultation.</w:t>
      </w:r>
    </w:p>
    <w:p w14:paraId="6CA59744" w14:textId="77777777" w:rsidR="009C2EF0" w:rsidRDefault="009C2EF0" w:rsidP="00EA22AE">
      <w:pPr>
        <w:spacing w:after="120"/>
        <w:rPr>
          <w:rFonts w:ascii="Calibri" w:hAnsi="Calibri" w:cs="Calibri"/>
          <w:color w:val="000000" w:themeColor="text1"/>
          <w:sz w:val="22"/>
          <w:szCs w:val="21"/>
        </w:rPr>
      </w:pPr>
    </w:p>
    <w:p w14:paraId="22816FD8" w14:textId="1E8ADFCD" w:rsidR="00AE5FB1" w:rsidRDefault="00907CC4" w:rsidP="00EA22AE">
      <w:pPr>
        <w:spacing w:after="120"/>
        <w:rPr>
          <w:rFonts w:ascii="Calibri" w:hAnsi="Calibri" w:cs="Calibri"/>
          <w:color w:val="000000" w:themeColor="text1"/>
          <w:sz w:val="22"/>
          <w:szCs w:val="21"/>
        </w:rPr>
      </w:pPr>
      <w:r w:rsidRPr="00907CC4">
        <w:rPr>
          <w:rFonts w:ascii="Calibri" w:eastAsiaTheme="minorHAnsi" w:hAnsi="Calibri" w:cs="Calibri"/>
          <w:noProof/>
          <w:szCs w:val="22"/>
          <w:u w:color="0000FF"/>
          <w:lang w:val="en-GB" w:eastAsia="en-US"/>
          <w14:ligatures w14:val="standardContextual"/>
        </w:rPr>
        <mc:AlternateContent>
          <mc:Choice Requires="wps">
            <w:drawing>
              <wp:anchor distT="0" distB="0" distL="114300" distR="114300" simplePos="0" relativeHeight="251658254" behindDoc="0" locked="0" layoutInCell="1" allowOverlap="1" wp14:anchorId="50B889EC" wp14:editId="78EE341F">
                <wp:simplePos x="0" y="0"/>
                <wp:positionH relativeFrom="column">
                  <wp:posOffset>0</wp:posOffset>
                </wp:positionH>
                <wp:positionV relativeFrom="paragraph">
                  <wp:posOffset>0</wp:posOffset>
                </wp:positionV>
                <wp:extent cx="6166714" cy="1397204"/>
                <wp:effectExtent l="0" t="0" r="24765" b="12700"/>
                <wp:wrapNone/>
                <wp:docPr id="6" name="Text Box 6" descr="P3389TB27#y1"/>
                <wp:cNvGraphicFramePr/>
                <a:graphic xmlns:a="http://schemas.openxmlformats.org/drawingml/2006/main">
                  <a:graphicData uri="http://schemas.microsoft.com/office/word/2010/wordprocessingShape">
                    <wps:wsp>
                      <wps:cNvSpPr txBox="1"/>
                      <wps:spPr>
                        <a:xfrm>
                          <a:off x="0" y="0"/>
                          <a:ext cx="6166714" cy="1397204"/>
                        </a:xfrm>
                        <a:prstGeom prst="rect">
                          <a:avLst/>
                        </a:prstGeom>
                        <a:solidFill>
                          <a:sysClr val="window" lastClr="FFFFFF"/>
                        </a:solidFill>
                        <a:ln w="6350">
                          <a:solidFill>
                            <a:prstClr val="black"/>
                          </a:solidFill>
                        </a:ln>
                      </wps:spPr>
                      <wps:txbx>
                        <w:txbxContent>
                          <w:p w14:paraId="3639B6B6" w14:textId="77777777" w:rsidR="00907CC4" w:rsidRDefault="00907CC4" w:rsidP="00907CC4">
                            <w:r>
                              <w:t>This section designated for further detail on the development process and intentionally left blank.</w:t>
                            </w:r>
                          </w:p>
                          <w:p w14:paraId="5F2328AD" w14:textId="77777777" w:rsidR="00907CC4" w:rsidRDefault="00907CC4" w:rsidP="00907CC4"/>
                          <w:p w14:paraId="62DC5667" w14:textId="37AF5ACF" w:rsidR="00907CC4" w:rsidRDefault="00907CC4" w:rsidP="00907C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89EC" id="Text Box 6" o:spid="_x0000_s1040" type="#_x0000_t202" alt="P3389TB27#y1" style="position:absolute;margin-left:0;margin-top:0;width:485.55pt;height:110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" fillcolor="window" strokeweight=".5pt">
                <v:textbox>
                  <w:txbxContent>
                    <w:p w14:paraId="3639B6B6" w14:textId="77777777" w:rsidR="00907CC4" w:rsidRDefault="00907CC4" w:rsidP="00907CC4">
                      <w:r>
                        <w:t>This section designated for further detail on the development process and intentionally left blank.</w:t>
                      </w:r>
                    </w:p>
                    <w:p w14:paraId="5F2328AD" w14:textId="77777777" w:rsidR="00907CC4" w:rsidRDefault="00907CC4" w:rsidP="00907CC4"/>
                    <w:p w14:paraId="62DC5667" w14:textId="37AF5ACF" w:rsidR="00907CC4" w:rsidRDefault="00907CC4" w:rsidP="00907CC4"/>
                  </w:txbxContent>
                </v:textbox>
              </v:shape>
            </w:pict>
          </mc:Fallback>
        </mc:AlternateContent>
      </w:r>
    </w:p>
    <w:p w14:paraId="2704B769" w14:textId="77777777" w:rsidR="00AE5FB1" w:rsidRDefault="00AE5FB1" w:rsidP="00EA22AE">
      <w:pPr>
        <w:spacing w:after="120"/>
        <w:rPr>
          <w:rFonts w:ascii="Calibri" w:hAnsi="Calibri" w:cs="Calibri"/>
          <w:color w:val="000000" w:themeColor="text1"/>
          <w:sz w:val="22"/>
          <w:szCs w:val="21"/>
        </w:rPr>
      </w:pPr>
    </w:p>
    <w:p w14:paraId="5587D300" w14:textId="77777777" w:rsidR="00AE5FB1" w:rsidRDefault="00AE5FB1" w:rsidP="00EA22AE">
      <w:pPr>
        <w:spacing w:after="120"/>
        <w:rPr>
          <w:rFonts w:ascii="Calibri" w:hAnsi="Calibri" w:cs="Calibri"/>
          <w:color w:val="000000" w:themeColor="text1"/>
          <w:sz w:val="22"/>
          <w:szCs w:val="21"/>
        </w:rPr>
      </w:pPr>
    </w:p>
    <w:p w14:paraId="329088BE" w14:textId="77777777" w:rsidR="00AE5FB1" w:rsidRDefault="00AE5FB1" w:rsidP="00EA22AE">
      <w:pPr>
        <w:spacing w:after="120"/>
        <w:rPr>
          <w:rFonts w:ascii="Calibri" w:hAnsi="Calibri" w:cs="Calibri"/>
          <w:color w:val="000000" w:themeColor="text1"/>
          <w:sz w:val="22"/>
          <w:szCs w:val="21"/>
        </w:rPr>
      </w:pPr>
    </w:p>
    <w:p w14:paraId="7BFD396B" w14:textId="77777777" w:rsidR="00AE5FB1" w:rsidRDefault="00AE5FB1" w:rsidP="00EA22AE">
      <w:pPr>
        <w:spacing w:after="120"/>
        <w:rPr>
          <w:rFonts w:ascii="Calibri" w:hAnsi="Calibri" w:cs="Calibri"/>
          <w:color w:val="000000" w:themeColor="text1"/>
          <w:sz w:val="22"/>
          <w:szCs w:val="21"/>
        </w:rPr>
      </w:pPr>
    </w:p>
    <w:p w14:paraId="17433760" w14:textId="77777777" w:rsidR="00AE5FB1" w:rsidRDefault="00AE5FB1" w:rsidP="00EA22AE">
      <w:pPr>
        <w:spacing w:after="120"/>
        <w:rPr>
          <w:rFonts w:ascii="Calibri" w:hAnsi="Calibri" w:cs="Calibri"/>
          <w:color w:val="000000" w:themeColor="text1"/>
          <w:sz w:val="22"/>
          <w:szCs w:val="21"/>
        </w:rPr>
      </w:pPr>
    </w:p>
    <w:p w14:paraId="456B6574" w14:textId="77777777" w:rsidR="00907CC4" w:rsidRDefault="00907CC4" w:rsidP="00EA22AE">
      <w:pPr>
        <w:pStyle w:val="Heading4"/>
        <w:numPr>
          <w:ilvl w:val="0"/>
          <w:numId w:val="0"/>
        </w:numPr>
        <w:spacing w:after="120"/>
        <w:ind w:left="864"/>
      </w:pPr>
    </w:p>
    <w:p w14:paraId="1515CA6A" w14:textId="77777777" w:rsidR="00907CC4" w:rsidRDefault="00907CC4" w:rsidP="00EA22AE">
      <w:pPr>
        <w:pStyle w:val="Heading4"/>
        <w:numPr>
          <w:ilvl w:val="0"/>
          <w:numId w:val="0"/>
        </w:numPr>
        <w:spacing w:after="120"/>
        <w:ind w:left="864"/>
      </w:pPr>
    </w:p>
    <w:p w14:paraId="0E158308" w14:textId="77777777" w:rsidR="00907CC4" w:rsidRDefault="00907CC4" w:rsidP="00EA22AE">
      <w:pPr>
        <w:pStyle w:val="Heading4"/>
        <w:numPr>
          <w:ilvl w:val="0"/>
          <w:numId w:val="0"/>
        </w:numPr>
        <w:spacing w:after="120"/>
        <w:ind w:left="864"/>
      </w:pPr>
    </w:p>
    <w:p w14:paraId="2D14F608" w14:textId="77777777" w:rsidR="00907CC4" w:rsidRDefault="00907CC4" w:rsidP="00EA22AE">
      <w:pPr>
        <w:pStyle w:val="Heading4"/>
        <w:numPr>
          <w:ilvl w:val="0"/>
          <w:numId w:val="0"/>
        </w:numPr>
        <w:spacing w:after="120"/>
        <w:ind w:left="864"/>
      </w:pPr>
    </w:p>
    <w:p w14:paraId="6A000285" w14:textId="77777777" w:rsidR="00907CC4" w:rsidRDefault="00907CC4" w:rsidP="00EA22AE">
      <w:pPr>
        <w:pStyle w:val="Heading4"/>
        <w:numPr>
          <w:ilvl w:val="0"/>
          <w:numId w:val="0"/>
        </w:numPr>
        <w:spacing w:after="120"/>
        <w:ind w:left="864"/>
      </w:pPr>
    </w:p>
    <w:p w14:paraId="27A8EEC3" w14:textId="182F4F40" w:rsidR="009C2EF0" w:rsidRDefault="009C2EF0" w:rsidP="00EA22AE">
      <w:pPr>
        <w:pStyle w:val="Heading4"/>
        <w:numPr>
          <w:ilvl w:val="0"/>
          <w:numId w:val="0"/>
        </w:numPr>
        <w:spacing w:after="120"/>
        <w:ind w:left="864"/>
      </w:pPr>
      <w:r w:rsidRPr="0077185F">
        <w:t xml:space="preserve">Stage </w:t>
      </w:r>
      <w:r>
        <w:t>Four</w:t>
      </w:r>
      <w:r w:rsidRPr="0077185F">
        <w:t xml:space="preserve"> – </w:t>
      </w:r>
      <w:r>
        <w:t xml:space="preserve">Public consultation </w:t>
      </w:r>
    </w:p>
    <w:p w14:paraId="16DC676A" w14:textId="11C88D37" w:rsidR="009C2EF0" w:rsidRPr="007E1B57" w:rsidRDefault="009C2EF0" w:rsidP="00EA22AE">
      <w:pPr>
        <w:pStyle w:val="Guidelinesnormalparagraph"/>
        <w:rPr>
          <w:rFonts w:ascii="Calibri" w:hAnsi="Calibri" w:cs="Calibri"/>
          <w:kern w:val="0"/>
          <w:szCs w:val="22"/>
          <w:u w:color="0000FF"/>
          <w:lang w:val="en-GB"/>
        </w:rPr>
      </w:pPr>
    </w:p>
    <w:p w14:paraId="2078064E" w14:textId="077DBE79" w:rsidR="009C2EF0" w:rsidRDefault="00C7415C" w:rsidP="00EA22AE">
      <w:pPr>
        <w:spacing w:after="120"/>
        <w:rPr>
          <w:lang w:val="en-GB"/>
        </w:rPr>
      </w:pPr>
      <w:r w:rsidRPr="00C7415C">
        <w:rPr>
          <w:rFonts w:ascii="Calibri" w:eastAsiaTheme="minorHAnsi" w:hAnsi="Calibri" w:cs="Calibri"/>
          <w:noProof/>
          <w:szCs w:val="22"/>
          <w:u w:color="0000FF"/>
          <w:lang w:val="en-GB" w:eastAsia="en-US"/>
          <w14:ligatures w14:val="standardContextual"/>
        </w:rPr>
        <mc:AlternateContent>
          <mc:Choice Requires="wps">
            <w:drawing>
              <wp:anchor distT="0" distB="0" distL="114300" distR="114300" simplePos="0" relativeHeight="251658255" behindDoc="0" locked="0" layoutInCell="1" allowOverlap="1" wp14:anchorId="7E00D0CA" wp14:editId="65527E00">
                <wp:simplePos x="0" y="0"/>
                <wp:positionH relativeFrom="column">
                  <wp:posOffset>0</wp:posOffset>
                </wp:positionH>
                <wp:positionV relativeFrom="paragraph">
                  <wp:posOffset>0</wp:posOffset>
                </wp:positionV>
                <wp:extent cx="6166714" cy="1397204"/>
                <wp:effectExtent l="0" t="0" r="24765" b="12700"/>
                <wp:wrapNone/>
                <wp:docPr id="15" name="Text Box 15" descr="P3402TB28#y1"/>
                <wp:cNvGraphicFramePr/>
                <a:graphic xmlns:a="http://schemas.openxmlformats.org/drawingml/2006/main">
                  <a:graphicData uri="http://schemas.microsoft.com/office/word/2010/wordprocessingShape">
                    <wps:wsp>
                      <wps:cNvSpPr txBox="1"/>
                      <wps:spPr>
                        <a:xfrm>
                          <a:off x="0" y="0"/>
                          <a:ext cx="6166714" cy="1397204"/>
                        </a:xfrm>
                        <a:prstGeom prst="rect">
                          <a:avLst/>
                        </a:prstGeom>
                        <a:solidFill>
                          <a:sysClr val="window" lastClr="FFFFFF"/>
                        </a:solidFill>
                        <a:ln w="6350">
                          <a:solidFill>
                            <a:prstClr val="black"/>
                          </a:solidFill>
                        </a:ln>
                      </wps:spPr>
                      <wps:txbx>
                        <w:txbxContent>
                          <w:p w14:paraId="29308107" w14:textId="77777777" w:rsidR="00C7415C" w:rsidRDefault="00C7415C" w:rsidP="00C7415C">
                            <w:r>
                              <w:t>This section designated for further detail on the development process and intentionally left blank.</w:t>
                            </w:r>
                          </w:p>
                          <w:p w14:paraId="44D2AC74" w14:textId="77777777" w:rsidR="00C7415C" w:rsidRDefault="00C7415C" w:rsidP="00C7415C"/>
                          <w:p w14:paraId="612EBFD8" w14:textId="2F3F13A2" w:rsidR="00C7415C" w:rsidRDefault="00C7415C" w:rsidP="00C74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0D0CA" id="Text Box 15" o:spid="_x0000_s1041" type="#_x0000_t202" alt="P3402TB28#y1" style="position:absolute;margin-left:0;margin-top:0;width:485.55pt;height:110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" fillcolor="window" strokeweight=".5pt">
                <v:textbox>
                  <w:txbxContent>
                    <w:p w14:paraId="29308107" w14:textId="77777777" w:rsidR="00C7415C" w:rsidRDefault="00C7415C" w:rsidP="00C7415C">
                      <w:r>
                        <w:t>This section designated for further detail on the development process and intentionally left blank.</w:t>
                      </w:r>
                    </w:p>
                    <w:p w14:paraId="44D2AC74" w14:textId="77777777" w:rsidR="00C7415C" w:rsidRDefault="00C7415C" w:rsidP="00C7415C"/>
                    <w:p w14:paraId="612EBFD8" w14:textId="2F3F13A2" w:rsidR="00C7415C" w:rsidRDefault="00C7415C" w:rsidP="00C7415C"/>
                  </w:txbxContent>
                </v:textbox>
              </v:shape>
            </w:pict>
          </mc:Fallback>
        </mc:AlternateContent>
      </w:r>
    </w:p>
    <w:p w14:paraId="296A6727" w14:textId="77777777" w:rsidR="006C6EBA" w:rsidRPr="006720E4" w:rsidRDefault="006C6EBA" w:rsidP="00EA22AE">
      <w:pPr>
        <w:spacing w:after="120"/>
        <w:rPr>
          <w:rFonts w:ascii="Calibri" w:hAnsi="Calibri" w:cs="Calibri"/>
          <w:sz w:val="22"/>
          <w:szCs w:val="22"/>
        </w:rPr>
      </w:pPr>
    </w:p>
    <w:p w14:paraId="1A9FD8ED" w14:textId="77777777" w:rsidR="00A83E9D" w:rsidRDefault="00A83E9D">
      <w:pPr>
        <w:rPr>
          <w:rFonts w:ascii="Calibri" w:hAnsi="Calibri" w:cs="Calibri"/>
          <w:b/>
          <w:bCs/>
          <w:color w:val="4472C4" w:themeColor="accent1"/>
          <w:sz w:val="32"/>
          <w:szCs w:val="32"/>
          <w:u w:val="single"/>
        </w:rPr>
      </w:pPr>
      <w:bookmarkStart w:id="5815" w:name="_References"/>
      <w:bookmarkStart w:id="5816" w:name="_Toc74173003"/>
      <w:bookmarkStart w:id="5817" w:name="_Toc74238909"/>
      <w:bookmarkStart w:id="5818" w:name="_Toc78304832"/>
      <w:bookmarkStart w:id="5819" w:name="_Toc79330942"/>
      <w:bookmarkStart w:id="5820" w:name="_Toc79331322"/>
      <w:bookmarkStart w:id="5821" w:name="_Toc79406568"/>
      <w:bookmarkStart w:id="5822" w:name="_Toc82773806"/>
      <w:bookmarkStart w:id="5823" w:name="_Toc82774158"/>
      <w:bookmarkStart w:id="5824" w:name="_Toc128314273"/>
      <w:bookmarkEnd w:id="5815"/>
      <w:r>
        <w:br w:type="page"/>
      </w:r>
    </w:p>
    <w:p w14:paraId="0C9EF634" w14:textId="0EE24C90" w:rsidR="006C6EBA" w:rsidRPr="006720E4" w:rsidRDefault="006C6EBA" w:rsidP="00EA22AE">
      <w:pPr>
        <w:pStyle w:val="Heading1"/>
        <w:numPr>
          <w:ilvl w:val="0"/>
          <w:numId w:val="0"/>
        </w:numPr>
      </w:pPr>
      <w:bookmarkStart w:id="5825" w:name="_Toc135131515"/>
      <w:r w:rsidRPr="006720E4">
        <w:lastRenderedPageBreak/>
        <w:t>References</w:t>
      </w:r>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816"/>
      <w:bookmarkEnd w:id="5817"/>
      <w:bookmarkEnd w:id="5818"/>
      <w:bookmarkEnd w:id="5819"/>
      <w:bookmarkEnd w:id="5820"/>
      <w:bookmarkEnd w:id="5821"/>
      <w:bookmarkEnd w:id="5822"/>
      <w:bookmarkEnd w:id="5823"/>
      <w:bookmarkEnd w:id="5824"/>
      <w:bookmarkEnd w:id="5825"/>
    </w:p>
    <w:p w14:paraId="1B2751D5" w14:textId="3E67DD9B" w:rsidR="00EB088B" w:rsidRPr="00EB088B" w:rsidRDefault="00F03887" w:rsidP="00EB088B">
      <w:pPr>
        <w:widowControl w:val="0"/>
        <w:autoSpaceDE w:val="0"/>
        <w:autoSpaceDN w:val="0"/>
        <w:adjustRightInd w:val="0"/>
        <w:spacing w:after="120"/>
        <w:ind w:left="640" w:hanging="640"/>
        <w:rPr>
          <w:rFonts w:ascii="Calibri" w:hAnsi="Calibri" w:cs="Calibri"/>
          <w:noProof/>
          <w:sz w:val="22"/>
          <w:lang w:val="en-GB"/>
        </w:rPr>
      </w:pPr>
      <w:r w:rsidRPr="006720E4">
        <w:rPr>
          <w:rFonts w:ascii="Calibri" w:hAnsi="Calibri" w:cs="Calibri"/>
          <w:sz w:val="22"/>
          <w:szCs w:val="22"/>
        </w:rPr>
        <w:fldChar w:fldCharType="begin" w:fldLock="1"/>
      </w:r>
      <w:r w:rsidRPr="006720E4">
        <w:rPr>
          <w:rFonts w:ascii="Calibri" w:hAnsi="Calibri" w:cs="Calibri"/>
          <w:sz w:val="22"/>
          <w:szCs w:val="22"/>
        </w:rPr>
        <w:instrText xml:space="preserve">ADDIN Mendeley Bibliography CSL_BIBLIOGRAPHY </w:instrText>
      </w:r>
      <w:r w:rsidRPr="006720E4">
        <w:rPr>
          <w:rFonts w:ascii="Calibri" w:hAnsi="Calibri" w:cs="Calibri"/>
          <w:sz w:val="22"/>
          <w:szCs w:val="22"/>
        </w:rPr>
        <w:fldChar w:fldCharType="separate"/>
      </w:r>
      <w:r w:rsidR="00EB088B" w:rsidRPr="00EB088B">
        <w:rPr>
          <w:rFonts w:ascii="Calibri" w:hAnsi="Calibri" w:cs="Calibri"/>
          <w:noProof/>
          <w:sz w:val="22"/>
          <w:lang w:val="en-GB"/>
        </w:rPr>
        <w:t xml:space="preserve">1. </w:t>
      </w:r>
      <w:r w:rsidR="00EB088B" w:rsidRPr="00EB088B">
        <w:rPr>
          <w:rFonts w:ascii="Calibri" w:hAnsi="Calibri" w:cs="Calibri"/>
          <w:noProof/>
          <w:sz w:val="22"/>
          <w:lang w:val="en-GB"/>
        </w:rPr>
        <w:tab/>
        <w:t xml:space="preserve">World Health Organization (WHO). WHO guiding principles on human cell, tissue and organ transplantation: Sixty-Third World Health Assembly. Cell Tissue Bank. 2010;11(4):229–33. </w:t>
      </w:r>
    </w:p>
    <w:p w14:paraId="4E7B19B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 </w:t>
      </w:r>
      <w:r w:rsidRPr="00EB088B">
        <w:rPr>
          <w:rFonts w:ascii="Calibri" w:hAnsi="Calibri" w:cs="Calibri"/>
          <w:noProof/>
          <w:sz w:val="22"/>
          <w:lang w:val="en-GB"/>
        </w:rPr>
        <w:tab/>
        <w:t>United Nations (UN). UN Declaration on the Rights of Indigenous Peoples [Internet]. 2007. Available from: https://www.un.org/development/desa/indigenouspeoples/wp-content/uploads/sites/19/2018/11/UNDRIP_E_web.pdf</w:t>
      </w:r>
    </w:p>
    <w:p w14:paraId="63966A4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 </w:t>
      </w:r>
      <w:r w:rsidRPr="00EB088B">
        <w:rPr>
          <w:rFonts w:ascii="Calibri" w:hAnsi="Calibri" w:cs="Calibri"/>
          <w:noProof/>
          <w:sz w:val="22"/>
          <w:lang w:val="en-GB"/>
        </w:rPr>
        <w:tab/>
        <w:t>United Nations (UN). Convention on the Rights of the Child [Internet]. 1989. Available from: https://www.unicef.org/child-rights-convention</w:t>
      </w:r>
    </w:p>
    <w:p w14:paraId="1C79109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 </w:t>
      </w:r>
      <w:r w:rsidRPr="00EB088B">
        <w:rPr>
          <w:rFonts w:ascii="Calibri" w:hAnsi="Calibri" w:cs="Calibri"/>
          <w:noProof/>
          <w:sz w:val="22"/>
          <w:lang w:val="en-GB"/>
        </w:rPr>
        <w:tab/>
        <w:t>United Nations. Universal Declaration of Human Rights [Internet]. 1948 p. 1. Available from: https://www.un.org/en/universal-declaration-human-rights/</w:t>
      </w:r>
    </w:p>
    <w:p w14:paraId="6B7E846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 </w:t>
      </w:r>
      <w:r w:rsidRPr="00EB088B">
        <w:rPr>
          <w:rFonts w:ascii="Calibri" w:hAnsi="Calibri" w:cs="Calibri"/>
          <w:noProof/>
          <w:sz w:val="22"/>
          <w:lang w:val="en-GB"/>
        </w:rPr>
        <w:tab/>
        <w:t>United Nations (UN). Convention on the rights of persons with disabilities [Internet]. United Nations 2007. Available from: https://www.un.org/disabilities/documents/convention/convoptprot-e.pdf</w:t>
      </w:r>
    </w:p>
    <w:p w14:paraId="6FA9BCC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6. </w:t>
      </w:r>
      <w:r w:rsidRPr="00EB088B">
        <w:rPr>
          <w:rFonts w:ascii="Calibri" w:hAnsi="Calibri" w:cs="Calibri"/>
          <w:noProof/>
          <w:sz w:val="22"/>
          <w:lang w:val="en-GB"/>
        </w:rPr>
        <w:tab/>
        <w:t>The Declaration of Istanbul on Organ Trafficking and Transplant Tourism (2018 Edition). Transplantation [Internet]. 2019;103(2):218–9. Available from: https://journals.lww.com/transplantjournal/Fulltext/2019/02000/The_Declaration_of_Istanbul_on_Organ_Trafficking.3.aspx</w:t>
      </w:r>
    </w:p>
    <w:p w14:paraId="5DBB1C7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 </w:t>
      </w:r>
      <w:r w:rsidRPr="00EB088B">
        <w:rPr>
          <w:rFonts w:ascii="Calibri" w:hAnsi="Calibri" w:cs="Calibri"/>
          <w:noProof/>
          <w:sz w:val="22"/>
          <w:lang w:val="en-GB"/>
        </w:rPr>
        <w:tab/>
        <w:t>Global Alliance of Eye Banking Associations (GAEBA). The Barcelona Principles: A Global Bioethical Framework. Int J Eye Bank [Internet]. 2020;8(3). Available from: https://eyebankingjournal.org/article/the-barcelona-principles-a-global-bioethical-framework/</w:t>
      </w:r>
    </w:p>
    <w:p w14:paraId="6E3EFD4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 </w:t>
      </w:r>
      <w:r w:rsidRPr="00EB088B">
        <w:rPr>
          <w:rFonts w:ascii="Calibri" w:hAnsi="Calibri" w:cs="Calibri"/>
          <w:noProof/>
          <w:sz w:val="22"/>
          <w:lang w:val="en-GB"/>
        </w:rPr>
        <w:tab/>
        <w:t>(WMDA) WMDA. International standards for unrelated hematopoietic stem cell donor registries [Internet]. 2021. Available from: https://wmda.info/wp-content/uploads/2021/01/WMDA-2020-Standards_AM1_Jan2021-1.pdf</w:t>
      </w:r>
    </w:p>
    <w:p w14:paraId="0187920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 </w:t>
      </w:r>
      <w:r w:rsidRPr="00EB088B">
        <w:rPr>
          <w:rFonts w:ascii="Calibri" w:hAnsi="Calibri" w:cs="Calibri"/>
          <w:noProof/>
          <w:sz w:val="22"/>
          <w:lang w:val="en-GB"/>
        </w:rPr>
        <w:tab/>
        <w:t xml:space="preserve">Bakken R, van Walraven AM, Egeland T. Donor commitment and patient needs. Bone Marrow Transplant. 2004;33(2):225–30. </w:t>
      </w:r>
    </w:p>
    <w:p w14:paraId="48F97BC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 </w:t>
      </w:r>
      <w:r w:rsidRPr="00EB088B">
        <w:rPr>
          <w:rFonts w:ascii="Calibri" w:hAnsi="Calibri" w:cs="Calibri"/>
          <w:noProof/>
          <w:sz w:val="22"/>
          <w:lang w:val="en-GB"/>
        </w:rPr>
        <w:tab/>
        <w:t>World Medical Association (WMA). WMA Statement on organ and tissue donation [Internet]. 2017. Available from: https://www.wma.net/policies-post/wma-statement-on-organ-and-tissue-donation/</w:t>
      </w:r>
    </w:p>
    <w:p w14:paraId="260EFA8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 </w:t>
      </w:r>
      <w:r w:rsidRPr="00EB088B">
        <w:rPr>
          <w:rFonts w:ascii="Calibri" w:hAnsi="Calibri" w:cs="Calibri"/>
          <w:noProof/>
          <w:sz w:val="22"/>
          <w:lang w:val="en-GB"/>
        </w:rPr>
        <w:tab/>
        <w:t xml:space="preserve">Weinkove R, McQuilten ZK, Adler J, Agar MR, Blyth E, Cheng AC, et al. Managing haematology and oncology patients during the COVID-19 pandemic: interim consensus guidance. Med J Aust. 2020;212(10):481–9. </w:t>
      </w:r>
    </w:p>
    <w:p w14:paraId="27AD116A"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 </w:t>
      </w:r>
      <w:r w:rsidRPr="00EB088B">
        <w:rPr>
          <w:rFonts w:ascii="Calibri" w:hAnsi="Calibri" w:cs="Calibri"/>
          <w:noProof/>
          <w:sz w:val="22"/>
          <w:lang w:val="en-GB"/>
        </w:rPr>
        <w:tab/>
        <w:t>Transplantation Society of Australia and New Zealand (TSANZ). Clinical guidelines for organ transplantation from deceased donors [Internet]. 2021. Available from: https://tsanz.com.au/storage/documents/TSANZ_Clinical_Guidelines_Version-16_11052021.pdf</w:t>
      </w:r>
    </w:p>
    <w:p w14:paraId="3581CE3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 </w:t>
      </w:r>
      <w:r w:rsidRPr="00EB088B">
        <w:rPr>
          <w:rFonts w:ascii="Calibri" w:hAnsi="Calibri" w:cs="Calibri"/>
          <w:noProof/>
          <w:sz w:val="22"/>
          <w:lang w:val="en-GB"/>
        </w:rPr>
        <w:tab/>
        <w:t>Eye Bank Association of Australia New Zealand (EBAANZ). Medical and Quality Standards for Eye Donation and Eye Tissue Banking (2nd Ed) [Internet]. 2009. Available from: https://ebaanz.org/wp-content/uploads/2021/05/Medical-and-Quality-Standards-for-Eye-Donation-and-Eye-Tissue-Banking-Edition-2.-April-2009.pdf</w:t>
      </w:r>
    </w:p>
    <w:p w14:paraId="4FD13BD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 </w:t>
      </w:r>
      <w:r w:rsidRPr="00EB088B">
        <w:rPr>
          <w:rFonts w:ascii="Calibri" w:hAnsi="Calibri" w:cs="Calibri"/>
          <w:noProof/>
          <w:sz w:val="22"/>
          <w:lang w:val="en-GB"/>
        </w:rPr>
        <w:tab/>
        <w:t>Centre for Eye Research Australia (CERA). How to register as an eye donor [Internet]. 2021 [cited 2021 Jul 28]. Available from: https://www.cera.org.au/lions-eye-donation-service/how-to-register-as-an-eye-donor/</w:t>
      </w:r>
    </w:p>
    <w:p w14:paraId="28F0BC56"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15. </w:t>
      </w:r>
      <w:r w:rsidRPr="00EB088B">
        <w:rPr>
          <w:rFonts w:ascii="Calibri" w:hAnsi="Calibri" w:cs="Calibri"/>
          <w:noProof/>
          <w:sz w:val="22"/>
          <w:lang w:val="en-GB"/>
        </w:rPr>
        <w:tab/>
        <w:t xml:space="preserve">Australian Bone Marrow Donor Registry (ABMDR). Are you someone’ s perfect match? </w:t>
      </w:r>
      <w:r w:rsidRPr="00EB088B">
        <w:rPr>
          <w:rFonts w:ascii="Calibri" w:hAnsi="Calibri" w:cs="Calibri"/>
          <w:noProof/>
          <w:sz w:val="22"/>
          <w:lang w:val="en-GB"/>
        </w:rPr>
        <w:lastRenderedPageBreak/>
        <w:t>[Internet]. 2020. p. 2020. Available from: https://www.abmdr.org.au/downloads/donor-brochure-english/</w:t>
      </w:r>
    </w:p>
    <w:p w14:paraId="3675E8F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 </w:t>
      </w:r>
      <w:r w:rsidRPr="00EB088B">
        <w:rPr>
          <w:rFonts w:ascii="Calibri" w:hAnsi="Calibri" w:cs="Calibri"/>
          <w:noProof/>
          <w:sz w:val="22"/>
          <w:lang w:val="en-GB"/>
        </w:rPr>
        <w:tab/>
        <w:t>National Health and Medical Research Council (NHMRC). Ethical conduct in research with Aboriginal and Torres Strait Islander Peoples and communities: Guidelines for researchers and stakeholders [Internet]. 2018. Available from: https://www.nhmrc.gov.au/about-us/resources/ethical-conduct-research-aboriginal-and-torres-strait-islander-peoples-and-communities</w:t>
      </w:r>
    </w:p>
    <w:p w14:paraId="647613C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 </w:t>
      </w:r>
      <w:r w:rsidRPr="00EB088B">
        <w:rPr>
          <w:rFonts w:ascii="Calibri" w:hAnsi="Calibri" w:cs="Calibri"/>
          <w:noProof/>
          <w:sz w:val="22"/>
          <w:lang w:val="en-GB"/>
        </w:rPr>
        <w:tab/>
        <w:t>National Health and Medical Research Council (NHMRC). Conduct in human research national statement on ethical conduct in human research [Internet]. Available from: www.nhmrc.gov.au/guidelines/publications/e72%0Ahttps://www.nhmrc.gov.au/about-us/publications/national-statement-ethical-conduct-human-research-2007-updated-2018</w:t>
      </w:r>
    </w:p>
    <w:p w14:paraId="20E1BC4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 </w:t>
      </w:r>
      <w:r w:rsidRPr="00EB088B">
        <w:rPr>
          <w:rFonts w:ascii="Calibri" w:hAnsi="Calibri" w:cs="Calibri"/>
          <w:noProof/>
          <w:sz w:val="22"/>
          <w:lang w:val="en-GB"/>
        </w:rPr>
        <w:tab/>
        <w:t xml:space="preserve">Dwyer KM, Webb AR, Furniss HS, Anjou KE, Gibbs-Dwyer JM, McCombe DB, et al. First hand transplant procedure in Australia: Outcome at 2 years. Med J Aust. 2013;199(4):285–7. </w:t>
      </w:r>
    </w:p>
    <w:p w14:paraId="0F006A0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 </w:t>
      </w:r>
      <w:r w:rsidRPr="00EB088B">
        <w:rPr>
          <w:rFonts w:ascii="Calibri" w:hAnsi="Calibri" w:cs="Calibri"/>
          <w:noProof/>
          <w:sz w:val="22"/>
          <w:lang w:val="en-GB"/>
        </w:rPr>
        <w:tab/>
        <w:t>Therapeutic Goods Administration. Australian code of good manufacturing practice for human blood and blood components, human tissues and human cellular therapy products [Internet]. 2013. Available from: https://www.tga.gov.au/resources/publication/publications/australian-code-good-manufacturing-practice-human-blood-and-blood-components-human-tissues-and-human-cellular-therapy-products</w:t>
      </w:r>
    </w:p>
    <w:p w14:paraId="1DF0428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20. </w:t>
      </w:r>
      <w:r w:rsidRPr="00EB088B">
        <w:rPr>
          <w:rFonts w:ascii="Calibri" w:hAnsi="Calibri" w:cs="Calibri"/>
          <w:noProof/>
          <w:sz w:val="22"/>
          <w:lang w:val="en-GB"/>
        </w:rPr>
        <w:tab/>
        <w:t>Australia and New Zealand Intensive Care Society (ANZICS). The Statement on Death and Organ Donation (Ed 4.1) [Internet]. 2021. Available from: https://www.anzics.com.au/wp-content/uploads/2021/06/ANZICS-Statement-on-Death-and-Organ-Donation-4.1.pdf</w:t>
      </w:r>
    </w:p>
    <w:p w14:paraId="2535AA96"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21. </w:t>
      </w:r>
      <w:r w:rsidRPr="00EB088B">
        <w:rPr>
          <w:rFonts w:ascii="Calibri" w:hAnsi="Calibri" w:cs="Calibri"/>
          <w:noProof/>
          <w:sz w:val="22"/>
          <w:lang w:val="en-GB"/>
        </w:rPr>
        <w:tab/>
        <w:t>National Health and Medical Research Council (NHMRC). Ethical guidelines for the care of people in post-coma unresponsiveness (vegetative state) or a minimally responsive state. [Internet]. 2008. Available from: https://www.nhmrc.gov.au/about-us/publications/ethical-guidelines-care-people-post-coma-unresponsiveness#block-views-block-file-attachments-content-block-1</w:t>
      </w:r>
    </w:p>
    <w:p w14:paraId="16DDF90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22. </w:t>
      </w:r>
      <w:r w:rsidRPr="00EB088B">
        <w:rPr>
          <w:rFonts w:ascii="Calibri" w:hAnsi="Calibri" w:cs="Calibri"/>
          <w:noProof/>
          <w:sz w:val="22"/>
          <w:lang w:val="en-GB"/>
        </w:rPr>
        <w:tab/>
        <w:t>Organ and Tissue Authority. Best Practice Guideline for Offering Organ and Tissue Donation in Australia (Edition 2) [Internet]. 2021. Available from: https://donatelife.gov.au/resources/clinical-guidelines-and-protocols/best-practice-guideline-offering-organ-and-tissue</w:t>
      </w:r>
    </w:p>
    <w:p w14:paraId="5CA79F1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23. </w:t>
      </w:r>
      <w:r w:rsidRPr="00EB088B">
        <w:rPr>
          <w:rFonts w:ascii="Calibri" w:hAnsi="Calibri" w:cs="Calibri"/>
          <w:noProof/>
          <w:sz w:val="22"/>
          <w:lang w:val="en-GB"/>
        </w:rPr>
        <w:tab/>
        <w:t>Australian Government Department of Health. Supporting Living Organ Donors Program [Internet]. 2021. Available from: https://www.health.gov.au/initiatives-and-programs/supporting-living-organ-donors-program</w:t>
      </w:r>
    </w:p>
    <w:p w14:paraId="25901B5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24. </w:t>
      </w:r>
      <w:r w:rsidRPr="00EB088B">
        <w:rPr>
          <w:rFonts w:ascii="Calibri" w:hAnsi="Calibri" w:cs="Calibri"/>
          <w:noProof/>
          <w:sz w:val="22"/>
          <w:lang w:val="en-GB"/>
        </w:rPr>
        <w:tab/>
        <w:t>Australian Government Department of Health, PwC. Review of the HPC sector Final Report [Internet]. 2018. Available from: https://www.health.gov.au/sites/default/files/documents/2021/10/review-of-the-hpc-sector-final-report-2018-review-of-the-hpc-sector---final-report.pdf</w:t>
      </w:r>
    </w:p>
    <w:p w14:paraId="247693F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25. </w:t>
      </w:r>
      <w:r w:rsidRPr="00EB088B">
        <w:rPr>
          <w:rFonts w:ascii="Calibri" w:hAnsi="Calibri" w:cs="Calibri"/>
          <w:noProof/>
          <w:sz w:val="22"/>
          <w:lang w:val="en-GB"/>
        </w:rPr>
        <w:tab/>
        <w:t xml:space="preserve">National Haemopoietic Progenitor Cell ( HPC ) Framework. 2021. </w:t>
      </w:r>
    </w:p>
    <w:p w14:paraId="7417CBD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26. </w:t>
      </w:r>
      <w:r w:rsidRPr="00EB088B">
        <w:rPr>
          <w:rFonts w:ascii="Calibri" w:hAnsi="Calibri" w:cs="Calibri"/>
          <w:noProof/>
          <w:sz w:val="22"/>
          <w:lang w:val="en-GB"/>
        </w:rPr>
        <w:tab/>
        <w:t xml:space="preserve">Martin DE. Ethical aspects of medical products of human origin. ISBT Sci Ser. 2017;12(1):281–7. </w:t>
      </w:r>
    </w:p>
    <w:p w14:paraId="4FF2DD4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27. </w:t>
      </w:r>
      <w:r w:rsidRPr="00EB088B">
        <w:rPr>
          <w:rFonts w:ascii="Calibri" w:hAnsi="Calibri" w:cs="Calibri"/>
          <w:noProof/>
          <w:sz w:val="22"/>
          <w:lang w:val="en-GB"/>
        </w:rPr>
        <w:tab/>
        <w:t>Martin DE, Muller E. In Defense of Patient Autonomy in Kidney Failure Care When Treatment Choices Are Limited. Semin Nephrol [Internet]. 2021;41(3):242–52. Available from: https://doi.org/10.1016/j.semnephrol.2021.05.005</w:t>
      </w:r>
    </w:p>
    <w:p w14:paraId="331FCA3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28. </w:t>
      </w:r>
      <w:r w:rsidRPr="00EB088B">
        <w:rPr>
          <w:rFonts w:ascii="Calibri" w:hAnsi="Calibri" w:cs="Calibri"/>
          <w:noProof/>
          <w:sz w:val="22"/>
          <w:lang w:val="en-GB"/>
        </w:rPr>
        <w:tab/>
        <w:t xml:space="preserve">Curtis E, Jones R, Tipene-Leach D, Walker C, Loring B, Paine SJ, et al. Why cultural safety rather than cultural competency is required to achieve health equity: A literature review and </w:t>
      </w:r>
      <w:r w:rsidRPr="00EB088B">
        <w:rPr>
          <w:rFonts w:ascii="Calibri" w:hAnsi="Calibri" w:cs="Calibri"/>
          <w:noProof/>
          <w:sz w:val="22"/>
          <w:lang w:val="en-GB"/>
        </w:rPr>
        <w:lastRenderedPageBreak/>
        <w:t xml:space="preserve">recommended definition. Int J Equity Health. 2019;18(1):1–17. </w:t>
      </w:r>
    </w:p>
    <w:p w14:paraId="659E005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29. </w:t>
      </w:r>
      <w:r w:rsidRPr="00EB088B">
        <w:rPr>
          <w:rFonts w:ascii="Calibri" w:hAnsi="Calibri" w:cs="Calibri"/>
          <w:noProof/>
          <w:sz w:val="22"/>
          <w:lang w:val="en-GB"/>
        </w:rPr>
        <w:tab/>
        <w:t>Australian Health Practitioner Regulation Agency (AHPRA). The National Scheme’s Aboriginal and Torres Strait Islander Health and Cultural Safety Strategy 2020-2025 [Internet]. Australian Health Practitioner Regulation Agency. 2020. Available from: https://nacchocommunique.files.wordpress.com/2020/02/aboriginal-and-torres-strait-islander-cultural-health-and-safety-strategy-2020-2025-1.pdf</w:t>
      </w:r>
    </w:p>
    <w:p w14:paraId="797EF6D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30. </w:t>
      </w:r>
      <w:r w:rsidRPr="00EB088B">
        <w:rPr>
          <w:rFonts w:ascii="Calibri" w:hAnsi="Calibri" w:cs="Calibri"/>
          <w:noProof/>
          <w:sz w:val="22"/>
          <w:lang w:val="en-GB"/>
        </w:rPr>
        <w:tab/>
        <w:t>Hughes JT, Dembski L, Kerrigan V, Majoni SW, Lawton PD, Cass A. Gathering Perspectives - Finding Solutions for Chronic and End Stage Kidney Disease. Nephrology [Internet]. 2018;23:5–13. Available from: https://onlinelibrary.wiley.com/doi/full/10.1111/nep.13233</w:t>
      </w:r>
    </w:p>
    <w:p w14:paraId="16CFB68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31. </w:t>
      </w:r>
      <w:r w:rsidRPr="00EB088B">
        <w:rPr>
          <w:rFonts w:ascii="Calibri" w:hAnsi="Calibri" w:cs="Calibri"/>
          <w:noProof/>
          <w:sz w:val="22"/>
          <w:lang w:val="en-GB"/>
        </w:rPr>
        <w:tab/>
        <w:t>Australian Health Ministers’ Advisory Council’s National, Aboriginal and Torres Strait Islander Health Standing Committee. Cultural respect framework 2016-2026 [Internet]. 2016. Available from: http://www.coaghealthcouncil.gov.au/Portals/0/National Cultural Respect Framework for Aboriginal and Torres Strait Islander Health 2016_2026_2.pdf</w:t>
      </w:r>
    </w:p>
    <w:p w14:paraId="399908A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32. </w:t>
      </w:r>
      <w:r w:rsidRPr="00EB088B">
        <w:rPr>
          <w:rFonts w:ascii="Calibri" w:hAnsi="Calibri" w:cs="Calibri"/>
          <w:noProof/>
          <w:sz w:val="22"/>
          <w:lang w:val="en-GB"/>
        </w:rPr>
        <w:tab/>
        <w:t xml:space="preserve">Devitt J, Anderson K, Cunningham J, Preece C, Snelling P, Cass A. Difficult conversations: Australian Indigenous patients’ views on kidney transplantation. BMC Nephrol. 2017;18(1):1–14. </w:t>
      </w:r>
    </w:p>
    <w:p w14:paraId="3EEE5C7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33. </w:t>
      </w:r>
      <w:r w:rsidRPr="00EB088B">
        <w:rPr>
          <w:rFonts w:ascii="Calibri" w:hAnsi="Calibri" w:cs="Calibri"/>
          <w:noProof/>
          <w:sz w:val="22"/>
          <w:lang w:val="en-GB"/>
        </w:rPr>
        <w:tab/>
        <w:t xml:space="preserve">Blumenthal-Barby JS, Krieger H. Cognitive biases and heuristics in medical decision making: A critical review using a systematic search strategy. Med Decis Mak. 2015;35(4):539–57. </w:t>
      </w:r>
    </w:p>
    <w:p w14:paraId="595F157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34. </w:t>
      </w:r>
      <w:r w:rsidRPr="00EB088B">
        <w:rPr>
          <w:rFonts w:ascii="Calibri" w:hAnsi="Calibri" w:cs="Calibri"/>
          <w:noProof/>
          <w:sz w:val="22"/>
          <w:lang w:val="en-GB"/>
        </w:rPr>
        <w:tab/>
        <w:t xml:space="preserve">Blumenthal-Barby JS. Biases and Heuristics in Decision Making and Their Impact on Autonomy. Am J Bioeth. 2016;16(5):5–15. </w:t>
      </w:r>
    </w:p>
    <w:p w14:paraId="2FC7E30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35. </w:t>
      </w:r>
      <w:r w:rsidRPr="00EB088B">
        <w:rPr>
          <w:rFonts w:ascii="Calibri" w:hAnsi="Calibri" w:cs="Calibri"/>
          <w:noProof/>
          <w:sz w:val="22"/>
          <w:lang w:val="en-GB"/>
        </w:rPr>
        <w:tab/>
        <w:t>Australasian Transplant Coordinators Association. National Guidelines for organ and tissue donation 4th Ed. 2008;(July). Available from: http://creativecommons.</w:t>
      </w:r>
    </w:p>
    <w:p w14:paraId="225C769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36. </w:t>
      </w:r>
      <w:r w:rsidRPr="00EB088B">
        <w:rPr>
          <w:rFonts w:ascii="Calibri" w:hAnsi="Calibri" w:cs="Calibri"/>
          <w:noProof/>
          <w:sz w:val="22"/>
          <w:lang w:val="en-GB"/>
        </w:rPr>
        <w:tab/>
        <w:t>Taylor E V, Lyford M, Parsons L, Mason T, Sabesan S, Thompson SC. “We’re very much part of the team here”: A culture of respect for Indigenous health workforce transforms Indigenous health care. PLoS One [Internet]. 2020;15(9 September). Available from: http://dx.doi.org/10.1371/journal.pone.0239207</w:t>
      </w:r>
    </w:p>
    <w:p w14:paraId="503ED89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37. </w:t>
      </w:r>
      <w:r w:rsidRPr="00EB088B">
        <w:rPr>
          <w:rFonts w:ascii="Calibri" w:hAnsi="Calibri" w:cs="Calibri"/>
          <w:noProof/>
          <w:sz w:val="22"/>
          <w:lang w:val="en-GB"/>
        </w:rPr>
        <w:tab/>
        <w:t xml:space="preserve">Hays RE, LaPointe Rudow D, Dew MA, Taler SJ, Spicer H, Mandelbrot DA. The independent living donor advocate: A guidance document from the american society of transplantation’s living donor community of practice (AST LDCOP). Am J Transplant. 2015;15(2):518–25. </w:t>
      </w:r>
    </w:p>
    <w:p w14:paraId="1608399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38. </w:t>
      </w:r>
      <w:r w:rsidRPr="00EB088B">
        <w:rPr>
          <w:rFonts w:ascii="Calibri" w:hAnsi="Calibri" w:cs="Calibri"/>
          <w:noProof/>
          <w:sz w:val="22"/>
          <w:lang w:val="en-GB"/>
        </w:rPr>
        <w:tab/>
        <w:t xml:space="preserve">Bergman EJ. Identifying Sources of Clinical Conflict: A Tool for Practice and Training in Bioethics Mediation. J Clin Ethics. 2015;26(4):315–23. </w:t>
      </w:r>
    </w:p>
    <w:p w14:paraId="5495ADF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39. </w:t>
      </w:r>
      <w:r w:rsidRPr="00EB088B">
        <w:rPr>
          <w:rFonts w:ascii="Calibri" w:hAnsi="Calibri" w:cs="Calibri"/>
          <w:noProof/>
          <w:sz w:val="22"/>
          <w:lang w:val="en-GB"/>
        </w:rPr>
        <w:tab/>
        <w:t xml:space="preserve">Hook JN, Davis DE, Owen J, Worthington EL, Utsey SO. Cultural humility: Measuring openness to culturally diverse clients. J Couns Psychol. 2013;60(3):353–66. </w:t>
      </w:r>
    </w:p>
    <w:p w14:paraId="0D40D13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40. </w:t>
      </w:r>
      <w:r w:rsidRPr="00EB088B">
        <w:rPr>
          <w:rFonts w:ascii="Calibri" w:hAnsi="Calibri" w:cs="Calibri"/>
          <w:noProof/>
          <w:sz w:val="22"/>
          <w:lang w:val="en-GB"/>
        </w:rPr>
        <w:tab/>
        <w:t>(AMA) AMA. AMA Position Statement Conscientious Objection [Internet]. 2019. Available from: https://www.ama.com.au/position-statement/conscientious-objection-2019</w:t>
      </w:r>
    </w:p>
    <w:p w14:paraId="0AA668E6"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41. </w:t>
      </w:r>
      <w:r w:rsidRPr="00EB088B">
        <w:rPr>
          <w:rFonts w:ascii="Calibri" w:hAnsi="Calibri" w:cs="Calibri"/>
          <w:noProof/>
          <w:sz w:val="22"/>
          <w:lang w:val="en-GB"/>
        </w:rPr>
        <w:tab/>
        <w:t xml:space="preserve">Morley G, Bradbury-Jones C, Ives J. Reasons To Redefine Moral Distress: a Feminist Empirical Bioethics Analysis. Bioethics. 2021;35(1):61–71. </w:t>
      </w:r>
    </w:p>
    <w:p w14:paraId="2D12EB1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42. </w:t>
      </w:r>
      <w:r w:rsidRPr="00EB088B">
        <w:rPr>
          <w:rFonts w:ascii="Calibri" w:hAnsi="Calibri" w:cs="Calibri"/>
          <w:noProof/>
          <w:sz w:val="22"/>
          <w:lang w:val="en-GB"/>
        </w:rPr>
        <w:tab/>
        <w:t xml:space="preserve">Mooney-Doyle K, Ulrich CM. Parent moral distress in serious pediatric illness: A dimensional analysis. Nurs Ethics. 2020;27(3):821–37. </w:t>
      </w:r>
    </w:p>
    <w:p w14:paraId="49D1994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43. </w:t>
      </w:r>
      <w:r w:rsidRPr="00EB088B">
        <w:rPr>
          <w:rFonts w:ascii="Calibri" w:hAnsi="Calibri" w:cs="Calibri"/>
          <w:noProof/>
          <w:sz w:val="22"/>
          <w:lang w:val="en-GB"/>
        </w:rPr>
        <w:tab/>
        <w:t xml:space="preserve">Ullrich A, Theochari M, Bergelt C, Marx G, Woellert K, Bokemeyer C, et al. Ethical challenges in family caregivers of patients with advanced cancer - A qualitative study. BMC Palliat Care. 2020;19(1):1–13. </w:t>
      </w:r>
    </w:p>
    <w:p w14:paraId="08F26DC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44. </w:t>
      </w:r>
      <w:r w:rsidRPr="00EB088B">
        <w:rPr>
          <w:rFonts w:ascii="Calibri" w:hAnsi="Calibri" w:cs="Calibri"/>
          <w:noProof/>
          <w:sz w:val="22"/>
          <w:lang w:val="en-GB"/>
        </w:rPr>
        <w:tab/>
        <w:t xml:space="preserve">Morley G, Bradbury-jones C, Ives J. Moral Distress in End-of-Life Care. In: Emmerich N, Mallia P, Gordjin B, Pistoia F, editors. Contemporary European Perspectives on the Ethics of End of </w:t>
      </w:r>
      <w:r w:rsidRPr="00EB088B">
        <w:rPr>
          <w:rFonts w:ascii="Calibri" w:hAnsi="Calibri" w:cs="Calibri"/>
          <w:noProof/>
          <w:sz w:val="22"/>
          <w:lang w:val="en-GB"/>
        </w:rPr>
        <w:lastRenderedPageBreak/>
        <w:t>Life Care [Internet]. Springer; 2020. p. 335–53. Available from: https://link.springer.com/chapter/10.1007%2F978-3-030-40033-0_22</w:t>
      </w:r>
    </w:p>
    <w:p w14:paraId="5769054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45. </w:t>
      </w:r>
      <w:r w:rsidRPr="00EB088B">
        <w:rPr>
          <w:rFonts w:ascii="Calibri" w:hAnsi="Calibri" w:cs="Calibri"/>
          <w:noProof/>
          <w:sz w:val="22"/>
          <w:lang w:val="en-GB"/>
        </w:rPr>
        <w:tab/>
        <w:t>Ducharlet K, Philip J, Gock H, Brown M, Gelfand SL, Josland EA, et al. Moral Distress in Nephrology: Perceived Barriers to Ethical Clinical Care. Am J Kidney Dis [Internet]. 2020;76(2):248–54. Available from: https://doi.org/10.1053/j.ajkd.2019.09.018</w:t>
      </w:r>
    </w:p>
    <w:p w14:paraId="72FBC31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46. </w:t>
      </w:r>
      <w:r w:rsidRPr="00EB088B">
        <w:rPr>
          <w:rFonts w:ascii="Calibri" w:hAnsi="Calibri" w:cs="Calibri"/>
          <w:noProof/>
          <w:sz w:val="22"/>
          <w:lang w:val="en-GB"/>
        </w:rPr>
        <w:tab/>
        <w:t>Medical Board of Australia (MBA). Good Medical Practice: A Code of Conduct for Doctors in Australia [Internet]. 2020. Available from: https://www.medicalboard.gov.au/codes-guidelines-policies/code-of-conduct.aspx</w:t>
      </w:r>
    </w:p>
    <w:p w14:paraId="3F791F5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47. </w:t>
      </w:r>
      <w:r w:rsidRPr="00EB088B">
        <w:rPr>
          <w:rFonts w:ascii="Calibri" w:hAnsi="Calibri" w:cs="Calibri"/>
          <w:noProof/>
          <w:sz w:val="22"/>
          <w:lang w:val="en-GB"/>
        </w:rPr>
        <w:tab/>
        <w:t>Machin HM, Buckland L, Critchley C, Wiffen S, Sutton G, Baird PN. Determining the willingness of Australians to export their corneas on death. PLoS One [Internet]. 2021;16(2 February 2021):1–12. Available from: http://dx.doi.org/10.1371/journal.pone.0246622</w:t>
      </w:r>
    </w:p>
    <w:p w14:paraId="24B3B3A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48. </w:t>
      </w:r>
      <w:r w:rsidRPr="00EB088B">
        <w:rPr>
          <w:rFonts w:ascii="Calibri" w:hAnsi="Calibri" w:cs="Calibri"/>
          <w:noProof/>
          <w:sz w:val="22"/>
          <w:lang w:val="en-GB"/>
        </w:rPr>
        <w:tab/>
        <w:t xml:space="preserve">Iuliani O, Passeri C, Papola F, Accorsi P. The withdrawal of consent to haematopoietic stem cells (HSC) donation: The complicated balance between donor’s rights and patient’s protection. Transfus Apher Sci. 2020;59(4):17–8. </w:t>
      </w:r>
    </w:p>
    <w:p w14:paraId="1CFFFB3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49. </w:t>
      </w:r>
      <w:r w:rsidRPr="00EB088B">
        <w:rPr>
          <w:rFonts w:ascii="Calibri" w:hAnsi="Calibri" w:cs="Calibri"/>
          <w:noProof/>
          <w:sz w:val="22"/>
          <w:lang w:val="en-GB"/>
        </w:rPr>
        <w:tab/>
        <w:t xml:space="preserve">Cowan N, Gritsch HA, Nassiri N, Sinacore J, Veale J. Broken Chains and Reneging: A Review of 1748 Kidney Paired Donation Transplants. Am J Transplant. 2017;17(9):2451–7. </w:t>
      </w:r>
    </w:p>
    <w:p w14:paraId="235535E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50. </w:t>
      </w:r>
      <w:r w:rsidRPr="00EB088B">
        <w:rPr>
          <w:rFonts w:ascii="Calibri" w:hAnsi="Calibri" w:cs="Calibri"/>
          <w:noProof/>
          <w:sz w:val="22"/>
          <w:lang w:val="en-GB"/>
        </w:rPr>
        <w:tab/>
        <w:t xml:space="preserve">Ross LF, Thistlethwaite JR. Prisoners as Living Donors: A Vulnerabilities Analysis. Cambridge Q Healthc Ethics. 2018;27(1):93–108. </w:t>
      </w:r>
    </w:p>
    <w:p w14:paraId="1701153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51. </w:t>
      </w:r>
      <w:r w:rsidRPr="00EB088B">
        <w:rPr>
          <w:rFonts w:ascii="Calibri" w:hAnsi="Calibri" w:cs="Calibri"/>
          <w:noProof/>
          <w:sz w:val="22"/>
          <w:lang w:val="en-GB"/>
        </w:rPr>
        <w:tab/>
        <w:t xml:space="preserve">Kisch AM, Forsberg A, Fridh I, Almgren M, Lundmark M, Lovén C, et al. The Meaning of Being a Living Kidney, Liver, or Stem Cell Donor - A Meta-Ethnography. Transplantation. 2018;102(5):744–56. </w:t>
      </w:r>
    </w:p>
    <w:p w14:paraId="1F96B67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52. </w:t>
      </w:r>
      <w:r w:rsidRPr="00EB088B">
        <w:rPr>
          <w:rFonts w:ascii="Calibri" w:hAnsi="Calibri" w:cs="Calibri"/>
          <w:noProof/>
          <w:sz w:val="22"/>
          <w:lang w:val="en-GB"/>
        </w:rPr>
        <w:tab/>
        <w:t>Garcia MC, Chapman JR, Shaw PJ, Gottlieb DJ, Ralph A, Craig JC, et al. Motivations, Experiences, and Perspectives of Bone Marrow and Peripheral Blood Stem Cell Donors: Thematic Synthesis of Qualitative Studies. Biol Blood Marrow Transplant [Internet]. 2013;19(7):1046–58. Available from: http://dx.doi.org/10.1016/j.bbmt.2013.04.012</w:t>
      </w:r>
    </w:p>
    <w:p w14:paraId="73E2DFE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53. </w:t>
      </w:r>
      <w:r w:rsidRPr="00EB088B">
        <w:rPr>
          <w:rFonts w:ascii="Calibri" w:hAnsi="Calibri" w:cs="Calibri"/>
          <w:noProof/>
          <w:sz w:val="22"/>
          <w:lang w:val="en-GB"/>
        </w:rPr>
        <w:tab/>
        <w:t xml:space="preserve">Thiessen C, Kim YA, Formica R, Bia M, Kulkarni S. Opting out: Confidentiality and availability of an “alibi” for potential living kidney donors in the USA. J Med Ethics. 2015;41(7):506–10. </w:t>
      </w:r>
    </w:p>
    <w:p w14:paraId="61B37CC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54. </w:t>
      </w:r>
      <w:r w:rsidRPr="00EB088B">
        <w:rPr>
          <w:rFonts w:ascii="Calibri" w:hAnsi="Calibri" w:cs="Calibri"/>
          <w:noProof/>
          <w:sz w:val="22"/>
          <w:lang w:val="en-GB"/>
        </w:rPr>
        <w:tab/>
        <w:t>Australian Bone Marrow Donor Registry (ABMDR). Donor enrolment form [Internet]. 2021. Available from: https://www.abmdr.org.au/wp-content/uploads/2021/02/Donor_Enrolment_Form-Web.pdf</w:t>
      </w:r>
    </w:p>
    <w:p w14:paraId="3DC5ACA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55. </w:t>
      </w:r>
      <w:r w:rsidRPr="00EB088B">
        <w:rPr>
          <w:rFonts w:ascii="Calibri" w:hAnsi="Calibri" w:cs="Calibri"/>
          <w:noProof/>
          <w:sz w:val="22"/>
          <w:lang w:val="en-GB"/>
        </w:rPr>
        <w:tab/>
        <w:t>Australian Bone Marrow Donor Registry (ABMDR). Donor Information - Work Up [Internet]. 2021. Available from: https://www.abmdr.org.au/donors/work-up/</w:t>
      </w:r>
    </w:p>
    <w:p w14:paraId="637CCFB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56. </w:t>
      </w:r>
      <w:r w:rsidRPr="00EB088B">
        <w:rPr>
          <w:rFonts w:ascii="Calibri" w:hAnsi="Calibri" w:cs="Calibri"/>
          <w:noProof/>
          <w:sz w:val="22"/>
          <w:lang w:val="en-GB"/>
        </w:rPr>
        <w:tab/>
        <w:t xml:space="preserve">Confer D, Shaw B, Pamphilon D. WMDA guidelines for subsequent donations following initial BM or PBSCs. Bone Marrow Transplant. 2011;46:1409–12. </w:t>
      </w:r>
    </w:p>
    <w:p w14:paraId="46398BE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57. </w:t>
      </w:r>
      <w:r w:rsidRPr="00EB088B">
        <w:rPr>
          <w:rFonts w:ascii="Calibri" w:hAnsi="Calibri" w:cs="Calibri"/>
          <w:noProof/>
          <w:sz w:val="22"/>
          <w:lang w:val="en-GB"/>
        </w:rPr>
        <w:tab/>
        <w:t xml:space="preserve">Then SN, Martin DE. Transitions in decision-making authority at the end of life: A problem of law, ethics and practice in deceased donation. J Med Ethics. 2020;1–6. </w:t>
      </w:r>
    </w:p>
    <w:p w14:paraId="28B8F06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58. </w:t>
      </w:r>
      <w:r w:rsidRPr="00EB088B">
        <w:rPr>
          <w:rFonts w:ascii="Calibri" w:hAnsi="Calibri" w:cs="Calibri"/>
          <w:noProof/>
          <w:sz w:val="22"/>
          <w:lang w:val="en-GB"/>
        </w:rPr>
        <w:tab/>
        <w:t xml:space="preserve">Toews M, Caulfield T. Evaluating the “family veto” of consent for organ donation. Can Med Assoc J. 2016;188(17–18):E436–7. </w:t>
      </w:r>
    </w:p>
    <w:p w14:paraId="59EAED2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59. </w:t>
      </w:r>
      <w:r w:rsidRPr="00EB088B">
        <w:rPr>
          <w:rFonts w:ascii="Calibri" w:hAnsi="Calibri" w:cs="Calibri"/>
          <w:noProof/>
          <w:sz w:val="22"/>
          <w:lang w:val="en-GB"/>
        </w:rPr>
        <w:tab/>
        <w:t xml:space="preserve">Albertsen A. Against the family veto in organ procurement: Why the wishes of the dead should prevail when the living and the deceased disagree on organ donation. Bioethics. 2019;46(April 2018):272–80. </w:t>
      </w:r>
    </w:p>
    <w:p w14:paraId="24985C7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60. </w:t>
      </w:r>
      <w:r w:rsidRPr="00EB088B">
        <w:rPr>
          <w:rFonts w:ascii="Calibri" w:hAnsi="Calibri" w:cs="Calibri"/>
          <w:noProof/>
          <w:sz w:val="22"/>
          <w:lang w:val="en-GB"/>
        </w:rPr>
        <w:tab/>
        <w:t xml:space="preserve">Shaw D, Georgieva D, Haase B, Gardiner D, Lewis P, Jansen N, et al. Family over rules? an ethical analysis of allowing families to overrule donation intentions. Transplantation. 2017;101(3):482–7. </w:t>
      </w:r>
    </w:p>
    <w:p w14:paraId="0420FC2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lastRenderedPageBreak/>
        <w:t xml:space="preserve">61. </w:t>
      </w:r>
      <w:r w:rsidRPr="00EB088B">
        <w:rPr>
          <w:rFonts w:ascii="Calibri" w:hAnsi="Calibri" w:cs="Calibri"/>
          <w:noProof/>
          <w:sz w:val="22"/>
          <w:lang w:val="en-GB"/>
        </w:rPr>
        <w:tab/>
        <w:t xml:space="preserve">Bramstedt KA. Family refusals of registered consents: The disruption of organ donation by double-standard surrogate decision-making. Intern Med J. 2013;43(2):120–3. </w:t>
      </w:r>
    </w:p>
    <w:p w14:paraId="00764EB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62. </w:t>
      </w:r>
      <w:r w:rsidRPr="00EB088B">
        <w:rPr>
          <w:rFonts w:ascii="Calibri" w:hAnsi="Calibri" w:cs="Calibri"/>
          <w:noProof/>
          <w:sz w:val="22"/>
          <w:lang w:val="en-GB"/>
        </w:rPr>
        <w:tab/>
        <w:t xml:space="preserve">Then SN, Kerridge IH, Marks M. Children as haematopoietic stem cell donors: Ethically challenging and legally complex. Med J Aust. 2018;208(8):334–8. </w:t>
      </w:r>
    </w:p>
    <w:p w14:paraId="55B6A78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63. </w:t>
      </w:r>
      <w:r w:rsidRPr="00EB088B">
        <w:rPr>
          <w:rFonts w:ascii="Calibri" w:hAnsi="Calibri" w:cs="Calibri"/>
          <w:noProof/>
          <w:sz w:val="22"/>
          <w:lang w:val="en-GB"/>
        </w:rPr>
        <w:tab/>
        <w:t xml:space="preserve">Northern Sydney and Central Coast Area Health Service v CT [2005] NSWSC 551. </w:t>
      </w:r>
    </w:p>
    <w:p w14:paraId="5B46F41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A34343">
        <w:rPr>
          <w:rFonts w:ascii="Calibri" w:hAnsi="Calibri" w:cs="Calibri"/>
          <w:noProof/>
          <w:sz w:val="22"/>
          <w:lang w:val="fr-FR"/>
        </w:rPr>
        <w:t xml:space="preserve">64. </w:t>
      </w:r>
      <w:r w:rsidRPr="00A34343">
        <w:rPr>
          <w:rFonts w:ascii="Calibri" w:hAnsi="Calibri" w:cs="Calibri"/>
          <w:noProof/>
          <w:sz w:val="22"/>
          <w:lang w:val="fr-FR"/>
        </w:rPr>
        <w:tab/>
        <w:t xml:space="preserve">Cheah YL, Simpson MA, Pomposelli JJ, Pomfret EA. </w:t>
      </w:r>
      <w:r w:rsidRPr="00EB088B">
        <w:rPr>
          <w:rFonts w:ascii="Calibri" w:hAnsi="Calibri" w:cs="Calibri"/>
          <w:noProof/>
          <w:sz w:val="22"/>
          <w:lang w:val="en-GB"/>
        </w:rPr>
        <w:t xml:space="preserve">Incidence of Death and Potentially Life- Threatening Near-Miss Events in Living Donor Hepatic Lobectomy: A World-Wide Survey. Liver Transplant. 2013;19:499–506. </w:t>
      </w:r>
    </w:p>
    <w:p w14:paraId="4C0DEA5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65. </w:t>
      </w:r>
      <w:r w:rsidRPr="00EB088B">
        <w:rPr>
          <w:rFonts w:ascii="Calibri" w:hAnsi="Calibri" w:cs="Calibri"/>
          <w:noProof/>
          <w:sz w:val="22"/>
          <w:lang w:val="en-GB"/>
        </w:rPr>
        <w:tab/>
        <w:t xml:space="preserve">Reese PP, Allen MB, Carney C, Leidy D, Levsky S, Pendse R, et al. Outcomes for individuals turned down for living kidney donation. Clin Transplant. 2018;32(12):1–12. </w:t>
      </w:r>
    </w:p>
    <w:p w14:paraId="4CE323D4" w14:textId="77777777" w:rsidR="00EB088B" w:rsidRPr="00A34343" w:rsidRDefault="00EB088B" w:rsidP="00EB088B">
      <w:pPr>
        <w:widowControl w:val="0"/>
        <w:autoSpaceDE w:val="0"/>
        <w:autoSpaceDN w:val="0"/>
        <w:adjustRightInd w:val="0"/>
        <w:spacing w:after="120"/>
        <w:ind w:left="640" w:hanging="640"/>
        <w:rPr>
          <w:rFonts w:ascii="Calibri" w:hAnsi="Calibri" w:cs="Calibri"/>
          <w:noProof/>
          <w:sz w:val="22"/>
          <w:lang w:val="fr-FR"/>
        </w:rPr>
      </w:pPr>
      <w:r w:rsidRPr="00EB088B">
        <w:rPr>
          <w:rFonts w:ascii="Calibri" w:hAnsi="Calibri" w:cs="Calibri"/>
          <w:noProof/>
          <w:sz w:val="22"/>
          <w:lang w:val="en-GB"/>
        </w:rPr>
        <w:t xml:space="preserve">66. </w:t>
      </w:r>
      <w:r w:rsidRPr="00EB088B">
        <w:rPr>
          <w:rFonts w:ascii="Calibri" w:hAnsi="Calibri" w:cs="Calibri"/>
          <w:noProof/>
          <w:sz w:val="22"/>
          <w:lang w:val="en-GB"/>
        </w:rPr>
        <w:tab/>
        <w:t xml:space="preserve">Rössler F, Sapisochin G, Song GW, Lin YH, Simpson MA, Hasegawa K, et al. Defining benchmarks for major liver surgery: A multicenter analysis of 5202 living liver donors. </w:t>
      </w:r>
      <w:r w:rsidRPr="00A34343">
        <w:rPr>
          <w:rFonts w:ascii="Calibri" w:hAnsi="Calibri" w:cs="Calibri"/>
          <w:noProof/>
          <w:sz w:val="22"/>
          <w:lang w:val="fr-FR"/>
        </w:rPr>
        <w:t xml:space="preserve">Ann Surg. 2016;264(3):492–9. </w:t>
      </w:r>
    </w:p>
    <w:p w14:paraId="40E2664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A34343">
        <w:rPr>
          <w:rFonts w:ascii="Calibri" w:hAnsi="Calibri" w:cs="Calibri"/>
          <w:noProof/>
          <w:sz w:val="22"/>
          <w:lang w:val="fr-FR"/>
        </w:rPr>
        <w:t xml:space="preserve">67. </w:t>
      </w:r>
      <w:r w:rsidRPr="00A34343">
        <w:rPr>
          <w:rFonts w:ascii="Calibri" w:hAnsi="Calibri" w:cs="Calibri"/>
          <w:noProof/>
          <w:sz w:val="22"/>
          <w:lang w:val="fr-FR"/>
        </w:rPr>
        <w:tab/>
        <w:t xml:space="preserve">Dew MA, Butt Z, Liu Q, Simpson MA, Zee J, Ladner DP, et al. </w:t>
      </w:r>
      <w:r w:rsidRPr="00EB088B">
        <w:rPr>
          <w:rFonts w:ascii="Calibri" w:hAnsi="Calibri" w:cs="Calibri"/>
          <w:noProof/>
          <w:sz w:val="22"/>
          <w:lang w:val="en-GB"/>
        </w:rPr>
        <w:t xml:space="preserve">Prevalence and Predictors of Patient-Reported Long-term Mental and Physical Health after Donation in the Adult-to-Adult Living-Donor Liver Transplantation Cohort Study. Transplantation. 2018;102(1):105–18. </w:t>
      </w:r>
    </w:p>
    <w:p w14:paraId="487A07E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68. </w:t>
      </w:r>
      <w:r w:rsidRPr="00EB088B">
        <w:rPr>
          <w:rFonts w:ascii="Calibri" w:hAnsi="Calibri" w:cs="Calibri"/>
          <w:noProof/>
          <w:sz w:val="22"/>
          <w:lang w:val="en-GB"/>
        </w:rPr>
        <w:tab/>
        <w:t xml:space="preserve">Tong A, Gill J, Budde K, Marson L, Reese PP, Rosenbloom D, et al. Toward Establishing Core Outcome Domains for Trials in Kidney Transplantation: Report of the Standardized Outcomes in Nephrology-Kidney Transplantation Consensus Workshops. Transplantation. 2017;101(8):1887–96. </w:t>
      </w:r>
    </w:p>
    <w:p w14:paraId="0C8E3AE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69. </w:t>
      </w:r>
      <w:r w:rsidRPr="00EB088B">
        <w:rPr>
          <w:rFonts w:ascii="Calibri" w:hAnsi="Calibri" w:cs="Calibri"/>
          <w:noProof/>
          <w:sz w:val="22"/>
          <w:lang w:val="en-GB"/>
        </w:rPr>
        <w:tab/>
        <w:t xml:space="preserve">Abel GA, Albelda R, Khera N, Hahn T, Salas Coronado DY, Odejide OO, et al. Financial Hardship and Patient-Reported Outcomes after Hematopoietic Cell Transplantation. Biol Blood Marrow Transplant. 2016;22(8):1504–10. </w:t>
      </w:r>
    </w:p>
    <w:p w14:paraId="47759D4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70. </w:t>
      </w:r>
      <w:r w:rsidRPr="00EB088B">
        <w:rPr>
          <w:rFonts w:ascii="Calibri" w:hAnsi="Calibri" w:cs="Calibri"/>
          <w:noProof/>
          <w:sz w:val="22"/>
          <w:lang w:val="en-GB"/>
        </w:rPr>
        <w:tab/>
        <w:t>Reese PP, Boudville N, Garg AX. Living kidney donation: Outcomes, ethics, and uncertainty. Lancet [Internet]. 2015;385(9981):2003–13. Available from: http://dx.doi.org/10.1016/S0140-6736(14)62484-3</w:t>
      </w:r>
    </w:p>
    <w:p w14:paraId="061FC14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71. </w:t>
      </w:r>
      <w:r w:rsidRPr="00EB088B">
        <w:rPr>
          <w:rFonts w:ascii="Calibri" w:hAnsi="Calibri" w:cs="Calibri"/>
          <w:noProof/>
          <w:sz w:val="22"/>
          <w:lang w:val="en-GB"/>
        </w:rPr>
        <w:tab/>
        <w:t>Australian Medical Association (AMA). AMA Code of Ethics 2004. Editorially revised 2006. Revised 2016. [Internet]. Australian Medical Association. 2016. Available from: https://www.ama.com.au/sites/default/files/2021-02/AMA_Code_of_Ethics_2004._Editorially_Revised_2006._Revised_2016_0.pdf</w:t>
      </w:r>
    </w:p>
    <w:p w14:paraId="0B47814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72. </w:t>
      </w:r>
      <w:r w:rsidRPr="00EB088B">
        <w:rPr>
          <w:rFonts w:ascii="Calibri" w:hAnsi="Calibri" w:cs="Calibri"/>
          <w:noProof/>
          <w:sz w:val="22"/>
          <w:lang w:val="en-GB"/>
        </w:rPr>
        <w:tab/>
        <w:t>Australian Medical Association (AMA). Position Statement on End of Life Care and Advance Care Planning 2014 [Internet]. 2014. Available from: https://ama.com.au/position-statement/position-statement-end-life-care-and-advance-care-planning-2014</w:t>
      </w:r>
    </w:p>
    <w:p w14:paraId="5136BC7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73. </w:t>
      </w:r>
      <w:r w:rsidRPr="00EB088B">
        <w:rPr>
          <w:rFonts w:ascii="Calibri" w:hAnsi="Calibri" w:cs="Calibri"/>
          <w:noProof/>
          <w:sz w:val="22"/>
          <w:lang w:val="en-GB"/>
        </w:rPr>
        <w:tab/>
        <w:t xml:space="preserve">Dew MA, Dimartini AF, Devito Dabbs AJ, Zuckoff A, Tan HP, McNulty ML, et al. Preventive intervention for living donor psychosocial outcomes: Feasibility and efficacy in a randomized controlled trial. Am J Transplant. 2013;13(10):2672–84. </w:t>
      </w:r>
    </w:p>
    <w:p w14:paraId="3BE8BB8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74. </w:t>
      </w:r>
      <w:r w:rsidRPr="00EB088B">
        <w:rPr>
          <w:rFonts w:ascii="Calibri" w:hAnsi="Calibri" w:cs="Calibri"/>
          <w:noProof/>
          <w:sz w:val="22"/>
          <w:lang w:val="en-GB"/>
        </w:rPr>
        <w:tab/>
        <w:t>Australian Bone Marrow Donor Registry (ABMDR). Donor information - collection [Internet]. Available from: https://www.abmdr.org.au/donors/collection/</w:t>
      </w:r>
    </w:p>
    <w:p w14:paraId="6A6F20E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75. </w:t>
      </w:r>
      <w:r w:rsidRPr="00EB088B">
        <w:rPr>
          <w:rFonts w:ascii="Calibri" w:hAnsi="Calibri" w:cs="Calibri"/>
          <w:noProof/>
          <w:sz w:val="22"/>
          <w:lang w:val="en-GB"/>
        </w:rPr>
        <w:tab/>
        <w:t>Kidney Health Australia (KHA). An introduction to kidney donation by live donors [Internet]. October. 2017. Available from: https://kidney.org.au/uploads/resources/an-introduction-to-kidney-donation-by-living-donors-handbook-kidney-health-australia.pdf</w:t>
      </w:r>
    </w:p>
    <w:p w14:paraId="444D34B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76. </w:t>
      </w:r>
      <w:r w:rsidRPr="00EB088B">
        <w:rPr>
          <w:rFonts w:ascii="Calibri" w:hAnsi="Calibri" w:cs="Calibri"/>
          <w:noProof/>
          <w:sz w:val="22"/>
          <w:lang w:val="en-GB"/>
        </w:rPr>
        <w:tab/>
        <w:t xml:space="preserve">Hoffman A, Tendulkar K, Merani S, Maskin A, Langnas A. Fortuitous benefits of living kidney donation: Diagnosis of serious medical conditions during the living donor evaluation. Clin Transplant. 2018;32(3):1–5. </w:t>
      </w:r>
    </w:p>
    <w:p w14:paraId="60EC8701" w14:textId="77777777" w:rsidR="00EB088B" w:rsidRPr="00A34343" w:rsidRDefault="00EB088B" w:rsidP="00EB088B">
      <w:pPr>
        <w:widowControl w:val="0"/>
        <w:autoSpaceDE w:val="0"/>
        <w:autoSpaceDN w:val="0"/>
        <w:adjustRightInd w:val="0"/>
        <w:spacing w:after="120"/>
        <w:ind w:left="640" w:hanging="640"/>
        <w:rPr>
          <w:rFonts w:ascii="Calibri" w:hAnsi="Calibri" w:cs="Calibri"/>
          <w:noProof/>
          <w:sz w:val="22"/>
          <w:lang w:val="fr-FR"/>
        </w:rPr>
      </w:pPr>
      <w:r w:rsidRPr="00EB088B">
        <w:rPr>
          <w:rFonts w:ascii="Calibri" w:hAnsi="Calibri" w:cs="Calibri"/>
          <w:noProof/>
          <w:sz w:val="22"/>
          <w:lang w:val="en-GB"/>
        </w:rPr>
        <w:lastRenderedPageBreak/>
        <w:t xml:space="preserve">77. </w:t>
      </w:r>
      <w:r w:rsidRPr="00EB088B">
        <w:rPr>
          <w:rFonts w:ascii="Calibri" w:hAnsi="Calibri" w:cs="Calibri"/>
          <w:noProof/>
          <w:sz w:val="22"/>
          <w:lang w:val="en-GB"/>
        </w:rPr>
        <w:tab/>
        <w:t xml:space="preserve">Shukhman E, Hunt J, LaPointe-Rudow D, Mandelbrot D, Hays RE, Kumar V, et al. Evaluation and care of international living kidney donor candidates: Strategies for addressing common considerations and challenges. </w:t>
      </w:r>
      <w:r w:rsidRPr="00A34343">
        <w:rPr>
          <w:rFonts w:ascii="Calibri" w:hAnsi="Calibri" w:cs="Calibri"/>
          <w:noProof/>
          <w:sz w:val="22"/>
          <w:lang w:val="fr-FR"/>
        </w:rPr>
        <w:t xml:space="preserve">Clin Transplant. 2020;34(3):1–11. </w:t>
      </w:r>
    </w:p>
    <w:p w14:paraId="6D041D7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A34343">
        <w:rPr>
          <w:rFonts w:ascii="Calibri" w:hAnsi="Calibri" w:cs="Calibri"/>
          <w:noProof/>
          <w:sz w:val="22"/>
          <w:lang w:val="fr-FR"/>
        </w:rPr>
        <w:t xml:space="preserve">78. </w:t>
      </w:r>
      <w:r w:rsidRPr="00A34343">
        <w:rPr>
          <w:rFonts w:ascii="Calibri" w:hAnsi="Calibri" w:cs="Calibri"/>
          <w:noProof/>
          <w:sz w:val="22"/>
          <w:lang w:val="fr-FR"/>
        </w:rPr>
        <w:tab/>
        <w:t xml:space="preserve">Manera KE, Hanson CS, Chapman JR, Kanellis J, Gill J, Craig JC, et al. </w:t>
      </w:r>
      <w:r w:rsidRPr="00EB088B">
        <w:rPr>
          <w:rFonts w:ascii="Calibri" w:hAnsi="Calibri" w:cs="Calibri"/>
          <w:noProof/>
          <w:sz w:val="22"/>
          <w:lang w:val="en-GB"/>
        </w:rPr>
        <w:t xml:space="preserve">Expectations and Experiences of Follow-up and Self-Care after Living Kidney Donation: A Focus Group Study. Transplantation. 2017;101(10):2627–35. </w:t>
      </w:r>
    </w:p>
    <w:p w14:paraId="51EBFC0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79. </w:t>
      </w:r>
      <w:r w:rsidRPr="00EB088B">
        <w:rPr>
          <w:rFonts w:ascii="Calibri" w:hAnsi="Calibri" w:cs="Calibri"/>
          <w:noProof/>
          <w:sz w:val="22"/>
          <w:lang w:val="en-GB"/>
        </w:rPr>
        <w:tab/>
        <w:t xml:space="preserve">Lentine KL, Lam NN, Segev DL. Risks of living kidney donation: Current state of knowledge on outcomes important to donors. Clin J Am Soc Nephrol. 2019;14(4):597–608. </w:t>
      </w:r>
    </w:p>
    <w:p w14:paraId="652FAA2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80. </w:t>
      </w:r>
      <w:r w:rsidRPr="00EB088B">
        <w:rPr>
          <w:rFonts w:ascii="Calibri" w:hAnsi="Calibri" w:cs="Calibri"/>
          <w:noProof/>
          <w:sz w:val="22"/>
          <w:lang w:val="en-GB"/>
        </w:rPr>
        <w:tab/>
        <w:t>Thiessen C, Gordon EJ, Reese PP, Kulkarni S. Development of a Donor-Centered Approach to Risk Assessment: Rebalancing Nonmaleficence and Autonomy. Am J Transplant [Internet]. 2015;15(9):2314–23. Available from: https://onlinelibrary.wiley.com/doi/10.1111/ajt.13272</w:t>
      </w:r>
    </w:p>
    <w:p w14:paraId="70A044D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81. </w:t>
      </w:r>
      <w:r w:rsidRPr="00EB088B">
        <w:rPr>
          <w:rFonts w:ascii="Calibri" w:hAnsi="Calibri" w:cs="Calibri"/>
          <w:noProof/>
          <w:sz w:val="22"/>
          <w:lang w:val="en-GB"/>
        </w:rPr>
        <w:tab/>
        <w:t xml:space="preserve">Sigurjonsdottir VK, Grimm PC. Living or deceased donor kidney transplantation in children. Curr Opin Pediatr. 2019;31(2):232–6. </w:t>
      </w:r>
    </w:p>
    <w:p w14:paraId="4F7D79F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82. </w:t>
      </w:r>
      <w:r w:rsidRPr="00EB088B">
        <w:rPr>
          <w:rFonts w:ascii="Calibri" w:hAnsi="Calibri" w:cs="Calibri"/>
          <w:noProof/>
          <w:sz w:val="22"/>
          <w:lang w:val="en-GB"/>
        </w:rPr>
        <w:tab/>
        <w:t xml:space="preserve">Habbous S, Barnieh L, Klarenbach S, Manns B, Sarma S, Begen MA, et al. Evaluating multiple living kidney donor candidates simultaneously is more cost-effective than sequentially. Kidney Int. 2020;98(6):1578–88. </w:t>
      </w:r>
    </w:p>
    <w:p w14:paraId="1BBCE9C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83. </w:t>
      </w:r>
      <w:r w:rsidRPr="00EB088B">
        <w:rPr>
          <w:rFonts w:ascii="Calibri" w:hAnsi="Calibri" w:cs="Calibri"/>
          <w:noProof/>
          <w:sz w:val="22"/>
          <w:lang w:val="en-GB"/>
        </w:rPr>
        <w:tab/>
        <w:t>Van Pilsum Rasmussen SE, Robin M, Saha A, Eno A, Lifshitz R, Waldram MM, et al. The Tangible Benefits of Living Donation: Results of a Qualitative Study of Living Kidney Donors. Transplant Direct [Internet]. 2020;1–8. Available from: https://journals.lww.com/transplantationdirect/fulltext/2020/12000/the_tangible_benefits_of_living_donation__results.3.aspx</w:t>
      </w:r>
    </w:p>
    <w:p w14:paraId="3962149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84. </w:t>
      </w:r>
      <w:r w:rsidRPr="00EB088B">
        <w:rPr>
          <w:rFonts w:ascii="Calibri" w:hAnsi="Calibri" w:cs="Calibri"/>
          <w:noProof/>
          <w:sz w:val="22"/>
          <w:lang w:val="en-GB"/>
        </w:rPr>
        <w:tab/>
        <w:t xml:space="preserve">Humphreville VR, Radosevich DM, Humar A, Payne WD, Kandaswamy R, Lake JR, et al. Longterm health-related quality of life after living liver donation. Liver Transplant. 2016;22(1):53–62. </w:t>
      </w:r>
    </w:p>
    <w:p w14:paraId="02BDE59E" w14:textId="77777777" w:rsidR="00EB088B" w:rsidRPr="00A34343" w:rsidRDefault="00EB088B" w:rsidP="00EB088B">
      <w:pPr>
        <w:widowControl w:val="0"/>
        <w:autoSpaceDE w:val="0"/>
        <w:autoSpaceDN w:val="0"/>
        <w:adjustRightInd w:val="0"/>
        <w:spacing w:after="120"/>
        <w:ind w:left="640" w:hanging="640"/>
        <w:rPr>
          <w:rFonts w:ascii="Calibri" w:hAnsi="Calibri" w:cs="Calibri"/>
          <w:noProof/>
          <w:sz w:val="22"/>
          <w:lang w:val="fr-FR"/>
        </w:rPr>
      </w:pPr>
      <w:r w:rsidRPr="00EB088B">
        <w:rPr>
          <w:rFonts w:ascii="Calibri" w:hAnsi="Calibri" w:cs="Calibri"/>
          <w:noProof/>
          <w:sz w:val="22"/>
          <w:lang w:val="en-GB"/>
        </w:rPr>
        <w:t xml:space="preserve">85. </w:t>
      </w:r>
      <w:r w:rsidRPr="00EB088B">
        <w:rPr>
          <w:rFonts w:ascii="Calibri" w:hAnsi="Calibri" w:cs="Calibri"/>
          <w:noProof/>
          <w:sz w:val="22"/>
          <w:lang w:val="en-GB"/>
        </w:rPr>
        <w:tab/>
        <w:t xml:space="preserve">Rodrigue JR, Schold JD, Morrissey P, Whiting J, Vella J, Kayler LK, et al. Mood, body image, fear of kidney failure, life satisfaction, and decisional stability following living kidney donation: Findings from the KDOC study. </w:t>
      </w:r>
      <w:r w:rsidRPr="00A34343">
        <w:rPr>
          <w:rFonts w:ascii="Calibri" w:hAnsi="Calibri" w:cs="Calibri"/>
          <w:noProof/>
          <w:sz w:val="22"/>
          <w:lang w:val="fr-FR"/>
        </w:rPr>
        <w:t xml:space="preserve">Am J Transplant. 2018;18(6):1397–407. </w:t>
      </w:r>
    </w:p>
    <w:p w14:paraId="4A1E874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A34343">
        <w:rPr>
          <w:rFonts w:ascii="Calibri" w:hAnsi="Calibri" w:cs="Calibri"/>
          <w:noProof/>
          <w:sz w:val="22"/>
          <w:lang w:val="fr-FR"/>
        </w:rPr>
        <w:t xml:space="preserve">86. </w:t>
      </w:r>
      <w:r w:rsidRPr="00A34343">
        <w:rPr>
          <w:rFonts w:ascii="Calibri" w:hAnsi="Calibri" w:cs="Calibri"/>
          <w:noProof/>
          <w:sz w:val="22"/>
          <w:lang w:val="fr-FR"/>
        </w:rPr>
        <w:tab/>
        <w:t xml:space="preserve">Menjivar A, Torres X, Paredes D, Avinyo N, Peri JM, De Sousa-Amorim E, et al. </w:t>
      </w:r>
      <w:r w:rsidRPr="00EB088B">
        <w:rPr>
          <w:rFonts w:ascii="Calibri" w:hAnsi="Calibri" w:cs="Calibri"/>
          <w:noProof/>
          <w:sz w:val="22"/>
          <w:lang w:val="en-GB"/>
        </w:rPr>
        <w:t xml:space="preserve">Assessment of donor satisfaction as an essential part of living donor kidney transplantation: an eleven-year retrospective study. Transpl Int. 2018;31(12):1332–44. </w:t>
      </w:r>
    </w:p>
    <w:p w14:paraId="1039C24A"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87. </w:t>
      </w:r>
      <w:r w:rsidRPr="00EB088B">
        <w:rPr>
          <w:rFonts w:ascii="Calibri" w:hAnsi="Calibri" w:cs="Calibri"/>
          <w:noProof/>
          <w:sz w:val="22"/>
          <w:lang w:val="en-GB"/>
        </w:rPr>
        <w:tab/>
        <w:t xml:space="preserve">Maple H, Chilcot J, Burnapp L, Gibbs P, Santhouse A, Norton S, et al. Motivations, outcomes, and characteristics of unspecified (nondirected altruistic) kidney donors in the United Kingdom. Transplantation. 2014;98(11):1182–9. </w:t>
      </w:r>
    </w:p>
    <w:p w14:paraId="12DF3A2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88. </w:t>
      </w:r>
      <w:r w:rsidRPr="00EB088B">
        <w:rPr>
          <w:rFonts w:ascii="Calibri" w:hAnsi="Calibri" w:cs="Calibri"/>
          <w:noProof/>
          <w:sz w:val="22"/>
          <w:lang w:val="en-GB"/>
        </w:rPr>
        <w:tab/>
        <w:t>Raza MH, Kim MH, Ding L, Fong TL, Romero C, Genyk Y, et al. Long-Term Financial, Psychosocial, and Overall Health-Related Quality of Life After Living Liver Donation. J Surg Res [Internet]. 2020;253:41–52. Available from: https://doi.org/10.1016/j.jss.2020.03.025</w:t>
      </w:r>
    </w:p>
    <w:p w14:paraId="18C760A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89. </w:t>
      </w:r>
      <w:r w:rsidRPr="00EB088B">
        <w:rPr>
          <w:rFonts w:ascii="Calibri" w:hAnsi="Calibri" w:cs="Calibri"/>
          <w:noProof/>
          <w:sz w:val="22"/>
          <w:lang w:val="en-GB"/>
        </w:rPr>
        <w:tab/>
        <w:t xml:space="preserve">Sarti AJ, Sutherland S, Healey A, Dhanani S, Landriault A, Fothergill-Bourbonnais F, et al. A multicenter qualitative investigation of the experiences and perspectives of substitute decision makers who underwent organ donation decisions. Prog Transplant. 2018;28(4):343–8. </w:t>
      </w:r>
    </w:p>
    <w:p w14:paraId="33D4E3F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90. </w:t>
      </w:r>
      <w:r w:rsidRPr="00EB088B">
        <w:rPr>
          <w:rFonts w:ascii="Calibri" w:hAnsi="Calibri" w:cs="Calibri"/>
          <w:noProof/>
          <w:sz w:val="22"/>
          <w:lang w:val="en-GB"/>
        </w:rPr>
        <w:tab/>
        <w:t>Kentish-Barnes N, Siminoff LA, Walker W, Urbanski M, Charpentier J, Thuong M, et al. A narrative review of family members’ experience of organ donation request after brain death in the critical care setting. Intensive Care Med [Internet]. 2019;45(3):331–42. Available from: https://doi.org/10.1007/s00134-019-05575-4</w:t>
      </w:r>
    </w:p>
    <w:p w14:paraId="093AD5D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91. </w:t>
      </w:r>
      <w:r w:rsidRPr="00EB088B">
        <w:rPr>
          <w:rFonts w:ascii="Calibri" w:hAnsi="Calibri" w:cs="Calibri"/>
          <w:noProof/>
          <w:sz w:val="22"/>
          <w:lang w:val="en-GB"/>
        </w:rPr>
        <w:tab/>
        <w:t xml:space="preserve">Taylor LJ, Buffington A, Scalea JR, Fost N, Croes KD, Mezrich JD, et al. Harms of unsuccessful </w:t>
      </w:r>
      <w:r w:rsidRPr="00EB088B">
        <w:rPr>
          <w:rFonts w:ascii="Calibri" w:hAnsi="Calibri" w:cs="Calibri"/>
          <w:noProof/>
          <w:sz w:val="22"/>
          <w:lang w:val="en-GB"/>
        </w:rPr>
        <w:lastRenderedPageBreak/>
        <w:t xml:space="preserve">donation after circulatory death: An exploratory study. Am J Transplant. 2018;18(2):402–9. </w:t>
      </w:r>
    </w:p>
    <w:p w14:paraId="3129B7A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92. </w:t>
      </w:r>
      <w:r w:rsidRPr="00EB088B">
        <w:rPr>
          <w:rFonts w:ascii="Calibri" w:hAnsi="Calibri" w:cs="Calibri"/>
          <w:noProof/>
          <w:sz w:val="22"/>
          <w:lang w:val="en-GB"/>
        </w:rPr>
        <w:tab/>
        <w:t xml:space="preserve">Ladhani M, Craig JC, Wong G. Obesity and gender-biased access to deceased donor kidney transplantation. Nephrol Dial Transpl. 2020;(35):184–9. </w:t>
      </w:r>
    </w:p>
    <w:p w14:paraId="287642E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93. </w:t>
      </w:r>
      <w:r w:rsidRPr="00EB088B">
        <w:rPr>
          <w:rFonts w:ascii="Calibri" w:hAnsi="Calibri" w:cs="Calibri"/>
          <w:noProof/>
          <w:sz w:val="22"/>
          <w:lang w:val="en-GB"/>
        </w:rPr>
        <w:tab/>
        <w:t xml:space="preserve">Khanal N, Lawton PD, Cass A, McDonald SP. Disparity of access to kidney transplantation by indigenous and non-indigenous Australians. Med J Aust. 2018;209(6):261–6. </w:t>
      </w:r>
    </w:p>
    <w:p w14:paraId="5BF1603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94. </w:t>
      </w:r>
      <w:r w:rsidRPr="00EB088B">
        <w:rPr>
          <w:rFonts w:ascii="Calibri" w:hAnsi="Calibri" w:cs="Calibri"/>
          <w:noProof/>
          <w:sz w:val="22"/>
          <w:lang w:val="en-GB"/>
        </w:rPr>
        <w:tab/>
        <w:t xml:space="preserve">Lawton PD, McDonald SP, Snelling PL, Hughes J, Cass A. Organ Transplantation in Australia: Inequities in Access and Outcome for Indigenous Australians. Transplantation. 2017;101(11):e345–6. </w:t>
      </w:r>
    </w:p>
    <w:p w14:paraId="56054F6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95. </w:t>
      </w:r>
      <w:r w:rsidRPr="00EB088B">
        <w:rPr>
          <w:rFonts w:ascii="Calibri" w:hAnsi="Calibri" w:cs="Calibri"/>
          <w:noProof/>
          <w:sz w:val="22"/>
          <w:lang w:val="en-GB"/>
        </w:rPr>
        <w:tab/>
        <w:t xml:space="preserve">Botha J, Conradie F, Etheredge H, Fabian J, Duncan M, Haeri Mazanderani A, et al. Living donor liver transplant from an HIV-positive mother to her HIV-negative child: opening up new therapeutic options. AIDS. 2018;32(16):F13–9. </w:t>
      </w:r>
    </w:p>
    <w:p w14:paraId="24C44DC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96. </w:t>
      </w:r>
      <w:r w:rsidRPr="00EB088B">
        <w:rPr>
          <w:rFonts w:ascii="Calibri" w:hAnsi="Calibri" w:cs="Calibri"/>
          <w:noProof/>
          <w:sz w:val="22"/>
          <w:lang w:val="en-GB"/>
        </w:rPr>
        <w:tab/>
        <w:t xml:space="preserve">Mitchell E, Loomes KM, Squires RH, Goldberg D. Variability in acceptance of organ offers by pediatric transplant centers and its impact on wait-list mortality. Liver Transplant. 2018;24(6):803–9. </w:t>
      </w:r>
    </w:p>
    <w:p w14:paraId="19E8B4F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97. </w:t>
      </w:r>
      <w:r w:rsidRPr="00EB088B">
        <w:rPr>
          <w:rFonts w:ascii="Calibri" w:hAnsi="Calibri" w:cs="Calibri"/>
          <w:noProof/>
          <w:sz w:val="22"/>
          <w:lang w:val="en-GB"/>
        </w:rPr>
        <w:tab/>
        <w:t xml:space="preserve">Mulvihill MS, Lee HJ, Weber J, Choi AY, Cox ML, Yerokun BA, et al. Variability in donor organ offer acceptance and lung transplantation survival. J Hear Lung Transplant. 2020;39(4):353–62. </w:t>
      </w:r>
    </w:p>
    <w:p w14:paraId="0F725FB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98. </w:t>
      </w:r>
      <w:r w:rsidRPr="00EB088B">
        <w:rPr>
          <w:rFonts w:ascii="Calibri" w:hAnsi="Calibri" w:cs="Calibri"/>
          <w:noProof/>
          <w:sz w:val="22"/>
          <w:lang w:val="en-GB"/>
        </w:rPr>
        <w:tab/>
        <w:t xml:space="preserve">Husain SA, King KL, Pastan S, Pazter RE, Cohen DJ, Radhakrishnan J, et al. Association between Declined Offers of Deceased Donor Kidney Allograft and Outcomes in Kidney Transplant Candidates. JAMA Netw Open. 2019;2(8):2–13. </w:t>
      </w:r>
    </w:p>
    <w:p w14:paraId="31CF958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99. </w:t>
      </w:r>
      <w:r w:rsidRPr="00EB088B">
        <w:rPr>
          <w:rFonts w:ascii="Calibri" w:hAnsi="Calibri" w:cs="Calibri"/>
          <w:noProof/>
          <w:sz w:val="22"/>
          <w:lang w:val="en-GB"/>
        </w:rPr>
        <w:tab/>
        <w:t xml:space="preserve">Choi AY, Mulvihill MS, Lee HJ, Zhao C, Kuchibhatla M, Schroder JN, et al. Transplant Center Variability in Organ Offer Acceptance and Mortality among US Patients on the Heart Transplant Waitlist. JAMA Cardiol. 2020;5(6):660–8. </w:t>
      </w:r>
    </w:p>
    <w:p w14:paraId="03A7200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100. </w:t>
      </w:r>
      <w:r w:rsidRPr="00EB088B">
        <w:rPr>
          <w:rFonts w:ascii="Calibri" w:hAnsi="Calibri" w:cs="Calibri"/>
          <w:noProof/>
          <w:sz w:val="22"/>
          <w:lang w:val="en-GB"/>
        </w:rPr>
        <w:tab/>
        <w:t xml:space="preserve">Wey A, Salkowski N, Kremers WK, Schaffhausen CR, Kasiske BL, Israni AK, et al. A kidney offer acceptance decision tool to inform the decision to accept an offer or wait for a better kidney. Am J Transplant. 2018;18(4):897–906. </w:t>
      </w:r>
    </w:p>
    <w:p w14:paraId="3D85505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101. </w:t>
      </w:r>
      <w:r w:rsidRPr="00EB088B">
        <w:rPr>
          <w:rFonts w:ascii="Calibri" w:hAnsi="Calibri" w:cs="Calibri"/>
          <w:noProof/>
          <w:sz w:val="22"/>
          <w:lang w:val="en-GB"/>
        </w:rPr>
        <w:tab/>
        <w:t>Cardinal H, Ballesteros Gallego F, Affdal A, Fortin MC. Canadian transplant nephrologists’ perspectives on the decision-making process for accepting or refusing a kidney from a deceased organ donor. Clin Transplant [Internet]. 2020;34(3). Available from: https://onlinelibrary.wiley.com/doi/10.1111/ctr.13793</w:t>
      </w:r>
    </w:p>
    <w:p w14:paraId="3E66F2B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102. </w:t>
      </w:r>
      <w:r w:rsidRPr="00EB088B">
        <w:rPr>
          <w:rFonts w:ascii="Calibri" w:hAnsi="Calibri" w:cs="Calibri"/>
          <w:noProof/>
          <w:sz w:val="22"/>
          <w:lang w:val="en-GB"/>
        </w:rPr>
        <w:tab/>
        <w:t xml:space="preserve">Wong G, Howell M, Patrick E, Yang J. Taking Kidneys for Granted? Time to Reflect on the Choices We Make. Transplantation. 2017;101(12):2812–3. </w:t>
      </w:r>
    </w:p>
    <w:p w14:paraId="0E7B292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103. </w:t>
      </w:r>
      <w:r w:rsidRPr="00EB088B">
        <w:rPr>
          <w:rFonts w:ascii="Calibri" w:hAnsi="Calibri" w:cs="Calibri"/>
          <w:noProof/>
          <w:sz w:val="22"/>
          <w:lang w:val="en-GB"/>
        </w:rPr>
        <w:tab/>
        <w:t>OAIC. What is privacy [Internet]. Available from: https://www.oaic.gov.au/privacy/your-privacy-rights/what-is-privacy/</w:t>
      </w:r>
    </w:p>
    <w:p w14:paraId="25E6BDF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104. </w:t>
      </w:r>
      <w:r w:rsidRPr="00EB088B">
        <w:rPr>
          <w:rFonts w:ascii="Calibri" w:hAnsi="Calibri" w:cs="Calibri"/>
          <w:noProof/>
          <w:sz w:val="22"/>
          <w:lang w:val="en-GB"/>
        </w:rPr>
        <w:tab/>
        <w:t>s 95AA Privacy Act and associated guidelines [Internet]. Available from: https://www.nhmrc.gov.au/about-us/publications/guidelines-approved-under-section-95aa-privacy-act-1988-cth</w:t>
      </w:r>
    </w:p>
    <w:p w14:paraId="2012B62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105. </w:t>
      </w:r>
      <w:r w:rsidRPr="00EB088B">
        <w:rPr>
          <w:rFonts w:ascii="Calibri" w:hAnsi="Calibri" w:cs="Calibri"/>
          <w:noProof/>
          <w:sz w:val="22"/>
          <w:lang w:val="en-GB"/>
        </w:rPr>
        <w:tab/>
        <w:t>Links to State and Territory Public Health Legislation, the Biosecurity Act, and the National Health Security Act 2007 [Internet]. Available from: https://www1.health.gov.au/internet/main/publishing.nsf/Content/cda-state-legislation-links.htm</w:t>
      </w:r>
    </w:p>
    <w:p w14:paraId="08E2AE9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106. </w:t>
      </w:r>
      <w:r w:rsidRPr="00EB088B">
        <w:rPr>
          <w:rFonts w:ascii="Calibri" w:hAnsi="Calibri" w:cs="Calibri"/>
          <w:noProof/>
          <w:sz w:val="22"/>
          <w:lang w:val="en-GB"/>
        </w:rPr>
        <w:tab/>
        <w:t xml:space="preserve">Meggiolaro N, Barlow-Stewart K, Dunlop K, Newson AJ, Fleming J. Disclosure to genetic relatives without consent - Australian genetic professionals’ awareness of the health privacy law. BMC Med Ethics. 2020;21(1):1–10. </w:t>
      </w:r>
    </w:p>
    <w:p w14:paraId="7B50A81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lastRenderedPageBreak/>
        <w:t xml:space="preserve">107. </w:t>
      </w:r>
      <w:r w:rsidRPr="00EB088B">
        <w:rPr>
          <w:rFonts w:ascii="Calibri" w:hAnsi="Calibri" w:cs="Calibri"/>
          <w:noProof/>
          <w:sz w:val="22"/>
          <w:lang w:val="en-GB"/>
        </w:rPr>
        <w:tab/>
        <w:t xml:space="preserve">Young A, Kim SJ, Gibney EM, Parikh CR, Cuerden MS, Horvat LD, et al. Discovering misattributed paternity in living kidney donation: Prevalence, preference, and practice. Transplantation. 2009;87(10):1429–35. </w:t>
      </w:r>
    </w:p>
    <w:p w14:paraId="604CDD3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108. </w:t>
      </w:r>
      <w:r w:rsidRPr="00EB088B">
        <w:rPr>
          <w:rFonts w:ascii="Calibri" w:hAnsi="Calibri" w:cs="Calibri"/>
          <w:noProof/>
          <w:sz w:val="22"/>
          <w:lang w:val="en-GB"/>
        </w:rPr>
        <w:tab/>
        <w:t>Botkin JR, Belmont JW, Berg JS, Berkman BE, Bombard Y, Holm IA, et al. Points to Consider: Ethical, Legal, and Psychosocial Implications of Genetic Testing in Children and Adolescents. Am J Hum Genet [Internet]. 2015;97(1):6–21. Available from: http://dx.doi.org/10.1016/j.ajhg.2015.05.022</w:t>
      </w:r>
    </w:p>
    <w:p w14:paraId="7FCF214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109. </w:t>
      </w:r>
      <w:r w:rsidRPr="00EB088B">
        <w:rPr>
          <w:rFonts w:ascii="Calibri" w:hAnsi="Calibri" w:cs="Calibri"/>
          <w:noProof/>
          <w:sz w:val="22"/>
          <w:lang w:val="en-GB"/>
        </w:rPr>
        <w:tab/>
        <w:t xml:space="preserve">Freeman MA, Parker LS. Answers to Questions that Weren’t Asked: The Ethical Complexities of Identifying Misattributed Paternity During the Transplant Evaluation Process. In: Ethical issues in Pediatric Organ Transplantation. Springer; 2016. p. 43–59. </w:t>
      </w:r>
    </w:p>
    <w:p w14:paraId="483C97A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110. </w:t>
      </w:r>
      <w:r w:rsidRPr="00EB088B">
        <w:rPr>
          <w:rFonts w:ascii="Calibri" w:hAnsi="Calibri" w:cs="Calibri"/>
          <w:noProof/>
          <w:sz w:val="22"/>
          <w:lang w:val="en-GB"/>
        </w:rPr>
        <w:tab/>
        <w:t xml:space="preserve">Wheeler DC, Winkelmayer WC. KDIGO Clinical Practice Guideline on the Evaluation and Care of Living Kidney Donors. Transplantation. 2017;101(8S):S1. </w:t>
      </w:r>
    </w:p>
    <w:p w14:paraId="5791D89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111. </w:t>
      </w:r>
      <w:r w:rsidRPr="00EB088B">
        <w:rPr>
          <w:rFonts w:ascii="Calibri" w:hAnsi="Calibri" w:cs="Calibri"/>
          <w:noProof/>
          <w:sz w:val="22"/>
          <w:lang w:val="en-GB"/>
        </w:rPr>
        <w:tab/>
        <w:t xml:space="preserve">Jacobson S, Eggert J, Deluca J, Speckhart D. Misattributed paternity in hematopoietic stem cell transplantation: The role of the healthcare provider. Clin J Oncol Nurs. 2015;19(2):218–21. </w:t>
      </w:r>
    </w:p>
    <w:p w14:paraId="1130438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112. </w:t>
      </w:r>
      <w:r w:rsidRPr="00EB088B">
        <w:rPr>
          <w:rFonts w:ascii="Calibri" w:hAnsi="Calibri" w:cs="Calibri"/>
          <w:noProof/>
          <w:sz w:val="22"/>
          <w:lang w:val="en-GB"/>
        </w:rPr>
        <w:tab/>
        <w:t>Hercher L, Jamal L. An old problem in a new age: Revisiting the clinical dilemma of misattributed paternity. Appl Transl Genomics [Internet]. 2016;8:36–9. Available from: http://dx.doi.org/10.1016/j.atg.2016.01.004</w:t>
      </w:r>
    </w:p>
    <w:p w14:paraId="039A430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113. </w:t>
      </w:r>
      <w:r w:rsidRPr="00EB088B">
        <w:rPr>
          <w:rFonts w:ascii="Calibri" w:hAnsi="Calibri" w:cs="Calibri"/>
          <w:noProof/>
          <w:sz w:val="22"/>
          <w:lang w:val="en-GB"/>
        </w:rPr>
        <w:tab/>
        <w:t>Martin DE. Contact between donor families and transplant recipients [Internet]. 2017. Available from: https://donatelife.gov.au/sites/default/files/Report on the community consultative forum.pdf</w:t>
      </w:r>
    </w:p>
    <w:p w14:paraId="5009CF2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114. </w:t>
      </w:r>
      <w:r w:rsidRPr="00EB088B">
        <w:rPr>
          <w:rFonts w:ascii="Calibri" w:hAnsi="Calibri" w:cs="Calibri"/>
          <w:noProof/>
          <w:sz w:val="22"/>
          <w:lang w:val="en-GB"/>
        </w:rPr>
        <w:tab/>
        <w:t xml:space="preserve">Petrini C, Riva L, Floridia G, Mannelli C. Anonymity and Organ Donation: Ethical and Policy Implications After the Opinion Released by the Italian Committee for Bioethics. Transplant Proc. 2020;52(5):1525–7. </w:t>
      </w:r>
    </w:p>
    <w:p w14:paraId="235D488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115. </w:t>
      </w:r>
      <w:r w:rsidRPr="00EB088B">
        <w:rPr>
          <w:rFonts w:ascii="Calibri" w:hAnsi="Calibri" w:cs="Calibri"/>
          <w:noProof/>
          <w:sz w:val="22"/>
          <w:lang w:val="en-GB"/>
        </w:rPr>
        <w:tab/>
        <w:t xml:space="preserve">Vajentic AK. Correspondence and personal contact between donor families and organ recipients: One OPO’s procedure and experience. J Transpl Coord. 1997;7(3):106–10. </w:t>
      </w:r>
    </w:p>
    <w:p w14:paraId="4CB3A3A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116. </w:t>
      </w:r>
      <w:r w:rsidRPr="00EB088B">
        <w:rPr>
          <w:rFonts w:ascii="Calibri" w:hAnsi="Calibri" w:cs="Calibri"/>
          <w:noProof/>
          <w:sz w:val="22"/>
          <w:lang w:val="en-GB"/>
        </w:rPr>
        <w:tab/>
        <w:t xml:space="preserve">Clayville L. When donor families and organ recipients meet. J Transpl Coord. 1999;9(2):81–6. </w:t>
      </w:r>
    </w:p>
    <w:p w14:paraId="229A243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117. </w:t>
      </w:r>
      <w:r w:rsidRPr="00EB088B">
        <w:rPr>
          <w:rFonts w:ascii="Calibri" w:hAnsi="Calibri" w:cs="Calibri"/>
          <w:noProof/>
          <w:sz w:val="22"/>
          <w:lang w:val="en-GB"/>
        </w:rPr>
        <w:tab/>
        <w:t>O’Donnell NH, Guidry JPD. #BeTheMatch: Assessing How Testimonials on Reddit Promote the Importance of Donating Bone Marrow. J Health Commun [Internet]. 2020;25(8):660–70. Available from: https://doi.org/10.1080/10810730.2020.1836088</w:t>
      </w:r>
    </w:p>
    <w:p w14:paraId="0E6D51E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118. </w:t>
      </w:r>
      <w:r w:rsidRPr="00EB088B">
        <w:rPr>
          <w:rFonts w:ascii="Calibri" w:hAnsi="Calibri" w:cs="Calibri"/>
          <w:noProof/>
          <w:sz w:val="22"/>
          <w:lang w:val="en-GB"/>
        </w:rPr>
        <w:tab/>
        <w:t xml:space="preserve">Morgan SE, Harrison TR, Long SD, Afifi WA, Stephenson MS, Reichert T. Family discussions about organ donation: How the media influences opinions about donation decisions. Clin Transplant. 2005;19(5):674–82. </w:t>
      </w:r>
    </w:p>
    <w:p w14:paraId="12EC4D5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119. </w:t>
      </w:r>
      <w:r w:rsidRPr="00EB088B">
        <w:rPr>
          <w:rFonts w:ascii="Calibri" w:hAnsi="Calibri" w:cs="Calibri"/>
          <w:noProof/>
          <w:sz w:val="22"/>
          <w:lang w:val="en-GB"/>
        </w:rPr>
        <w:tab/>
        <w:t xml:space="preserve">Hoque DME, Kumari V, Hoque M, Ruseckaite R, Romero L, Evans SM. Impact of clinical registries on quality of patient care and clinical outcomes: A systematic review. PLoS One. 2017;12(9):1–20. </w:t>
      </w:r>
    </w:p>
    <w:p w14:paraId="0E60839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120. </w:t>
      </w:r>
      <w:r w:rsidRPr="00EB088B">
        <w:rPr>
          <w:rFonts w:ascii="Calibri" w:hAnsi="Calibri" w:cs="Calibri"/>
          <w:noProof/>
          <w:sz w:val="22"/>
          <w:lang w:val="en-GB"/>
        </w:rPr>
        <w:tab/>
        <w:t>Australian Government Department of Health. National Clinical Quality Registry and Virtual Registry Strategy [Internet]. 2021. Available from: https://www1.health.gov.au/internet/main/publishing.nsf/Content/national_clinical_quality_registry_and_virtual_registry_strategy_2020-2030</w:t>
      </w:r>
    </w:p>
    <w:p w14:paraId="27A5D29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121. </w:t>
      </w:r>
      <w:r w:rsidRPr="00EB088B">
        <w:rPr>
          <w:rFonts w:ascii="Calibri" w:hAnsi="Calibri" w:cs="Calibri"/>
          <w:noProof/>
          <w:sz w:val="22"/>
          <w:lang w:val="en-GB"/>
        </w:rPr>
        <w:tab/>
        <w:t>Walker J, Lovett R, Kukutai T, Jones C, Henry D. Indigenous health data and the path to healing. Lancet [Internet]. 2017;390(10107):2022–3. Available from: http://dx.doi.org/10.1016/S0140-6736(17)32755-1</w:t>
      </w:r>
    </w:p>
    <w:p w14:paraId="1F8B9E7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122. </w:t>
      </w:r>
      <w:r w:rsidRPr="00EB088B">
        <w:rPr>
          <w:rFonts w:ascii="Calibri" w:hAnsi="Calibri" w:cs="Calibri"/>
          <w:noProof/>
          <w:sz w:val="22"/>
          <w:lang w:val="en-GB"/>
        </w:rPr>
        <w:tab/>
        <w:t>Centre FNIG. The First Nations Principles of OCAP® [Internet]. Available from: https://fnigc.ca/ocap-training/</w:t>
      </w:r>
    </w:p>
    <w:p w14:paraId="4A4A8E3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lastRenderedPageBreak/>
        <w:t xml:space="preserve">123. </w:t>
      </w:r>
      <w:r w:rsidRPr="00EB088B">
        <w:rPr>
          <w:rFonts w:ascii="Calibri" w:hAnsi="Calibri" w:cs="Calibri"/>
          <w:noProof/>
          <w:sz w:val="22"/>
          <w:lang w:val="en-GB"/>
        </w:rPr>
        <w:tab/>
        <w:t>ANZDATA Registry. Guidance on data requests relating to patient ethnicity [Internet]. 2021. Available from: https://www.anzdata.org.au/wp-content/uploads/2021/02/2.9Guidance_on_data_requests_relating_to_patient_ethnicity_v2020.3.pdf</w:t>
      </w:r>
    </w:p>
    <w:p w14:paraId="293E0E0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124. </w:t>
      </w:r>
      <w:r w:rsidRPr="00EB088B">
        <w:rPr>
          <w:rFonts w:ascii="Calibri" w:hAnsi="Calibri" w:cs="Calibri"/>
          <w:noProof/>
          <w:sz w:val="22"/>
          <w:lang w:val="en-GB"/>
        </w:rPr>
        <w:tab/>
        <w:t>Mick-Ramsamy L, Kelly J, Duff D, Cass A, Ross L, Croker D, et al. Catching Some Air - Asserting Aboriginal and Torres Strait Islander Information Rights in Renal Disease Project - The Final Report [Internet]. 2019. Available from: www.menzies.edu.au/CatchingSomeAir/FinalReport</w:t>
      </w:r>
    </w:p>
    <w:p w14:paraId="4CABD6D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125. </w:t>
      </w:r>
      <w:r w:rsidRPr="00EB088B">
        <w:rPr>
          <w:rFonts w:ascii="Calibri" w:hAnsi="Calibri" w:cs="Calibri"/>
          <w:noProof/>
          <w:sz w:val="22"/>
          <w:lang w:val="en-GB"/>
        </w:rPr>
        <w:tab/>
        <w:t>PwC. Final report Analysis of the Australian tissue sector [Internet]. 2016. Available from: https://www.donatelife.gov.au/sites/default/files/pwc_-_analysis_of_the_australian_tissue_sector_-_final_d16-1267056_2.pdf</w:t>
      </w:r>
    </w:p>
    <w:p w14:paraId="775CC7F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126. </w:t>
      </w:r>
      <w:r w:rsidRPr="00EB088B">
        <w:rPr>
          <w:rFonts w:ascii="Calibri" w:hAnsi="Calibri" w:cs="Calibri"/>
          <w:noProof/>
          <w:sz w:val="22"/>
          <w:lang w:val="en-GB"/>
        </w:rPr>
        <w:tab/>
        <w:t xml:space="preserve">Persad G, Wertheimer A, Emanuel EJ. Principles for allocation of scarce medical interventions. Lancet. 2009;373(9661):423–31. </w:t>
      </w:r>
    </w:p>
    <w:p w14:paraId="3D70703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127. </w:t>
      </w:r>
      <w:r w:rsidRPr="00EB088B">
        <w:rPr>
          <w:rFonts w:ascii="Calibri" w:hAnsi="Calibri" w:cs="Calibri"/>
          <w:noProof/>
          <w:sz w:val="22"/>
          <w:lang w:val="en-GB"/>
        </w:rPr>
        <w:tab/>
        <w:t xml:space="preserve">Whitehead M. The concepts and principles of equity and health. Int J Heal Serv. 1992;22(3):429–45. </w:t>
      </w:r>
    </w:p>
    <w:p w14:paraId="1D8D3F2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128. </w:t>
      </w:r>
      <w:r w:rsidRPr="00EB088B">
        <w:rPr>
          <w:rFonts w:ascii="Calibri" w:hAnsi="Calibri" w:cs="Calibri"/>
          <w:noProof/>
          <w:sz w:val="22"/>
          <w:lang w:val="en-GB"/>
        </w:rPr>
        <w:tab/>
        <w:t xml:space="preserve">Singer P, McKie J, Kuhse H, Richardson J. Double jeopardy and the use of QALYs in health care allocation. J Med Ethics. 1995;21(3):144–57. </w:t>
      </w:r>
    </w:p>
    <w:p w14:paraId="4EBC80DA"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129. </w:t>
      </w:r>
      <w:r w:rsidRPr="00EB088B">
        <w:rPr>
          <w:rFonts w:ascii="Calibri" w:hAnsi="Calibri" w:cs="Calibri"/>
          <w:noProof/>
          <w:sz w:val="22"/>
          <w:lang w:val="en-GB"/>
        </w:rPr>
        <w:tab/>
        <w:t xml:space="preserve">Veatch RM. Egalitarian and maximin theories of justice: Directed donation of organs for transplant. J Med Philos. 1998;23(5):456–76. </w:t>
      </w:r>
    </w:p>
    <w:p w14:paraId="30A8023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130. </w:t>
      </w:r>
      <w:r w:rsidRPr="00EB088B">
        <w:rPr>
          <w:rFonts w:ascii="Calibri" w:hAnsi="Calibri" w:cs="Calibri"/>
          <w:noProof/>
          <w:sz w:val="22"/>
          <w:lang w:val="en-GB"/>
        </w:rPr>
        <w:tab/>
        <w:t>Grace BS, Clayton PA, Cass A, McDonald SP. Transplantation rates for living- but not deceased-donor kidneys vary with socioeconomic status in Australia. Kidney Int [Internet]. 2013;83(1):138–45. Available from: http://dx.doi.org/10.1038/ki.2012.304</w:t>
      </w:r>
    </w:p>
    <w:p w14:paraId="3868C0D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131. </w:t>
      </w:r>
      <w:r w:rsidRPr="00EB088B">
        <w:rPr>
          <w:rFonts w:ascii="Calibri" w:hAnsi="Calibri" w:cs="Calibri"/>
          <w:noProof/>
          <w:sz w:val="22"/>
          <w:lang w:val="en-GB"/>
        </w:rPr>
        <w:tab/>
        <w:t xml:space="preserve">Huesch MD. One and done? Equality of opportunity and repeated access to scarce, indivisible medical resources. BMC Med Ethics. 2012;(13). </w:t>
      </w:r>
    </w:p>
    <w:p w14:paraId="25BB6E1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132. </w:t>
      </w:r>
      <w:r w:rsidRPr="00EB088B">
        <w:rPr>
          <w:rFonts w:ascii="Calibri" w:hAnsi="Calibri" w:cs="Calibri"/>
          <w:noProof/>
          <w:sz w:val="22"/>
          <w:lang w:val="en-GB"/>
        </w:rPr>
        <w:tab/>
        <w:t>Tong A, Howard K, Wong G, Cass A, Jan S, Irving M, et al. Nephrologists’ perspectives on waitlisting and allocation of deceased donor kidneys for transplant. Am J Kidney Dis [Internet]. 2011;58(5):704–16. Available from: http://dx.doi.org/10.1053/j.ajkd.2011.05.029</w:t>
      </w:r>
    </w:p>
    <w:p w14:paraId="227B751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133. </w:t>
      </w:r>
      <w:r w:rsidRPr="00EB088B">
        <w:rPr>
          <w:rFonts w:ascii="Calibri" w:hAnsi="Calibri" w:cs="Calibri"/>
          <w:noProof/>
          <w:sz w:val="22"/>
          <w:lang w:val="en-GB"/>
        </w:rPr>
        <w:tab/>
        <w:t>Schicktanz S, Simon A, Raphael S, Ahlert M. The ethical debate over child priority in post-mortem organ allocation: A scoping review and practical-ethical outlook. Transplant Rev [Internet]. 2020;34(3):100543. Available from: https://doi.org/10.1016/j.trre.2020.100543</w:t>
      </w:r>
    </w:p>
    <w:p w14:paraId="7547120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134. </w:t>
      </w:r>
      <w:r w:rsidRPr="00EB088B">
        <w:rPr>
          <w:rFonts w:ascii="Calibri" w:hAnsi="Calibri" w:cs="Calibri"/>
          <w:noProof/>
          <w:sz w:val="22"/>
          <w:lang w:val="en-GB"/>
        </w:rPr>
        <w:tab/>
        <w:t xml:space="preserve">Irving MJ, Tong A, Jan S, Wong G, Cass A, Allen RD, et al. Community preferences for the allocation of deceased donor organs for transplantation: A focus group study. Nephrol Dial Transplant. 2013;28(8):2187–93. </w:t>
      </w:r>
    </w:p>
    <w:p w14:paraId="428B4BE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135. </w:t>
      </w:r>
      <w:r w:rsidRPr="00EB088B">
        <w:rPr>
          <w:rFonts w:ascii="Calibri" w:hAnsi="Calibri" w:cs="Calibri"/>
          <w:noProof/>
          <w:sz w:val="22"/>
          <w:lang w:val="en-GB"/>
        </w:rPr>
        <w:tab/>
        <w:t xml:space="preserve">Ubel PA, Jepson C, Baron J, Mohr T, McMorrow S, Asch DA. Allocation of transplantable organs: Do people want to punish patients for causing their illness? Liver Transplant. 2001;7(7):600–7. </w:t>
      </w:r>
    </w:p>
    <w:p w14:paraId="74EB504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136. </w:t>
      </w:r>
      <w:r w:rsidRPr="00EB088B">
        <w:rPr>
          <w:rFonts w:ascii="Calibri" w:hAnsi="Calibri" w:cs="Calibri"/>
          <w:noProof/>
          <w:sz w:val="22"/>
          <w:lang w:val="en-GB"/>
        </w:rPr>
        <w:tab/>
        <w:t xml:space="preserve">Westphal SG, Langewisch ED, Robinson AM, Wilk AR, Dong JJ, Plumb TJ, et al. The impact of multi-organ transplant allocation priority on waitlisted kidney transplant candidates. Am J Transplant. 2021;21(6):2161–74. </w:t>
      </w:r>
    </w:p>
    <w:p w14:paraId="0272B31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137. </w:t>
      </w:r>
      <w:r w:rsidRPr="00EB088B">
        <w:rPr>
          <w:rFonts w:ascii="Calibri" w:hAnsi="Calibri" w:cs="Calibri"/>
          <w:noProof/>
          <w:sz w:val="22"/>
          <w:lang w:val="en-GB"/>
        </w:rPr>
        <w:tab/>
        <w:t xml:space="preserve">Friesen P. Personal responsibility within health policy: Unethical and ineffective. J Med Ethics. 2018;44(1):53–8. </w:t>
      </w:r>
    </w:p>
    <w:p w14:paraId="054C6AE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138. </w:t>
      </w:r>
      <w:r w:rsidRPr="00EB088B">
        <w:rPr>
          <w:rFonts w:ascii="Calibri" w:hAnsi="Calibri" w:cs="Calibri"/>
          <w:noProof/>
          <w:sz w:val="22"/>
          <w:lang w:val="en-GB"/>
        </w:rPr>
        <w:tab/>
        <w:t xml:space="preserve">Caulfield T, Murdoch B, Sapir-Pichhadze R, Keown P. Policy Challenges for Organ Allocation in an Era of “Precision Medicine.” Can J Kidney Heal Dis. 2020;7. </w:t>
      </w:r>
    </w:p>
    <w:p w14:paraId="5FAE87B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139. </w:t>
      </w:r>
      <w:r w:rsidRPr="00EB088B">
        <w:rPr>
          <w:rFonts w:ascii="Calibri" w:hAnsi="Calibri" w:cs="Calibri"/>
          <w:noProof/>
          <w:sz w:val="22"/>
          <w:lang w:val="en-GB"/>
        </w:rPr>
        <w:tab/>
        <w:t xml:space="preserve">Szer J, Weisdorf D, Querol S, Foeken L, Madrigal A. The impact of COVID-19 on the provision of donor hematopoietic stem cell products worldwide: collateral damage. Bone Marrow </w:t>
      </w:r>
      <w:r w:rsidRPr="00EB088B">
        <w:rPr>
          <w:rFonts w:ascii="Calibri" w:hAnsi="Calibri" w:cs="Calibri"/>
          <w:noProof/>
          <w:sz w:val="22"/>
          <w:lang w:val="en-GB"/>
        </w:rPr>
        <w:lastRenderedPageBreak/>
        <w:t>Transplant [Internet]. 2020;55(10):2043–4. Available from: http://dx.doi.org/10.1038/s41409-020-0873-x</w:t>
      </w:r>
    </w:p>
    <w:p w14:paraId="459A9B1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140. </w:t>
      </w:r>
      <w:r w:rsidRPr="00EB088B">
        <w:rPr>
          <w:rFonts w:ascii="Calibri" w:hAnsi="Calibri" w:cs="Calibri"/>
          <w:noProof/>
          <w:sz w:val="22"/>
          <w:lang w:val="en-GB"/>
        </w:rPr>
        <w:tab/>
        <w:t>Australian Bone Marrow Donor Registry (ABMDR). Why you should consider being a donor [Internet]. 2019 [cited 2021 Jul 20]. Available from: https://strengthtogive.org.au/</w:t>
      </w:r>
    </w:p>
    <w:p w14:paraId="573BD34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141. </w:t>
      </w:r>
      <w:r w:rsidRPr="00EB088B">
        <w:rPr>
          <w:rFonts w:ascii="Calibri" w:hAnsi="Calibri" w:cs="Calibri"/>
          <w:noProof/>
          <w:sz w:val="22"/>
          <w:lang w:val="en-GB"/>
        </w:rPr>
        <w:tab/>
        <w:t>Eye Bank Association of Australia New Zealand (EBAANZ). Bioethical Framework for Policy and Procedure 2015 [Internet]. 2015. Available from: http://www.ebaanz.org/wp-content/uploads/2016/05/EBAANZ-Bioethic-Framework-2015.pdf</w:t>
      </w:r>
    </w:p>
    <w:p w14:paraId="2D2577E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142. </w:t>
      </w:r>
      <w:r w:rsidRPr="00EB088B">
        <w:rPr>
          <w:rFonts w:ascii="Calibri" w:hAnsi="Calibri" w:cs="Calibri"/>
          <w:noProof/>
          <w:sz w:val="22"/>
          <w:lang w:val="en-GB"/>
        </w:rPr>
        <w:tab/>
        <w:t xml:space="preserve">Shimazono Y. The state of the international organ trade: A provisional picture based on integration of available information. Bull World Health Organ. 2007;85(12):955–62. </w:t>
      </w:r>
    </w:p>
    <w:p w14:paraId="1174BCD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143. </w:t>
      </w:r>
      <w:r w:rsidRPr="00EB088B">
        <w:rPr>
          <w:rFonts w:ascii="Calibri" w:hAnsi="Calibri" w:cs="Calibri"/>
          <w:noProof/>
          <w:sz w:val="22"/>
          <w:lang w:val="en-GB"/>
        </w:rPr>
        <w:tab/>
        <w:t xml:space="preserve">Smith G, Gujari D, Russell O, Palmer L, Toews M, Wong G, et al. International travel by Australians for overseas transplantation. Med J Aust. 2019;211(10):460. </w:t>
      </w:r>
    </w:p>
    <w:p w14:paraId="467D769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144. </w:t>
      </w:r>
      <w:r w:rsidRPr="00EB088B">
        <w:rPr>
          <w:rFonts w:ascii="Calibri" w:hAnsi="Calibri" w:cs="Calibri"/>
          <w:noProof/>
          <w:sz w:val="22"/>
          <w:lang w:val="en-GB"/>
        </w:rPr>
        <w:tab/>
        <w:t xml:space="preserve">Mendoza RL. Colombia’s organ trade: Evidence from Bogotá and Medellín. J Public Health (Bangkok). 2010;18(4):375–84. </w:t>
      </w:r>
    </w:p>
    <w:p w14:paraId="563B940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145. </w:t>
      </w:r>
      <w:r w:rsidRPr="00EB088B">
        <w:rPr>
          <w:rFonts w:ascii="Calibri" w:hAnsi="Calibri" w:cs="Calibri"/>
          <w:noProof/>
          <w:sz w:val="22"/>
          <w:lang w:val="en-GB"/>
        </w:rPr>
        <w:tab/>
        <w:t xml:space="preserve">Moniruzzaman M. “Living Cadavers” in Bangladesh: Bioviolence in the Human Organ Bazaar. Med Anthropol Q. 2012;26(1):69–91. </w:t>
      </w:r>
    </w:p>
    <w:p w14:paraId="46AB0FE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146. </w:t>
      </w:r>
      <w:r w:rsidRPr="00EB088B">
        <w:rPr>
          <w:rFonts w:ascii="Calibri" w:hAnsi="Calibri" w:cs="Calibri"/>
          <w:noProof/>
          <w:sz w:val="22"/>
          <w:lang w:val="en-GB"/>
        </w:rPr>
        <w:tab/>
        <w:t xml:space="preserve">Farhat Moazam, Riffat Moazam Zaman, Aamir M. Jafarey. Conversations with Kidney Vendors in Pakistan: An Ethnographic Study. Hastings Cent Rep. 2009;39(3):29–44. </w:t>
      </w:r>
    </w:p>
    <w:p w14:paraId="2B8E340A"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147. </w:t>
      </w:r>
      <w:r w:rsidRPr="00EB088B">
        <w:rPr>
          <w:rFonts w:ascii="Calibri" w:hAnsi="Calibri" w:cs="Calibri"/>
          <w:noProof/>
          <w:sz w:val="22"/>
          <w:lang w:val="en-GB"/>
        </w:rPr>
        <w:tab/>
        <w:t>Yea S. Masculinity under the knife: Filipino men, trafficking and the black organ market in Manila, the Philippines. Gender, Place Cult [Internet]. 2015;22(1):123–42. Available from: https://doi.org/10.1080/0966369X.2013.832657</w:t>
      </w:r>
    </w:p>
    <w:p w14:paraId="096F27A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148. </w:t>
      </w:r>
      <w:r w:rsidRPr="00EB088B">
        <w:rPr>
          <w:rFonts w:ascii="Calibri" w:hAnsi="Calibri" w:cs="Calibri"/>
          <w:noProof/>
          <w:sz w:val="22"/>
          <w:lang w:val="en-GB"/>
        </w:rPr>
        <w:tab/>
        <w:t>Torres Soto M, Kotton CN. Infectious disease complications of transplant tourism. Expert Rev Anti Infect Ther [Internet]. 2021;19(6):671–3. Available from: https://www.tandfonline.com/doi/pdf/10.1080/14787210.2020.1851196</w:t>
      </w:r>
    </w:p>
    <w:p w14:paraId="0851A24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149. </w:t>
      </w:r>
      <w:r w:rsidRPr="00EB088B">
        <w:rPr>
          <w:rFonts w:ascii="Calibri" w:hAnsi="Calibri" w:cs="Calibri"/>
          <w:noProof/>
          <w:sz w:val="22"/>
          <w:lang w:val="en-GB"/>
        </w:rPr>
        <w:tab/>
        <w:t xml:space="preserve">Wright L, Zaltzman JS, Gill J, Prasad GVR. Kidney transplant tourism: Cases from Canada. Med Heal Care Philos. 2013;16(4):921–4. </w:t>
      </w:r>
    </w:p>
    <w:p w14:paraId="3ECAC7B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150. </w:t>
      </w:r>
      <w:r w:rsidRPr="00EB088B">
        <w:rPr>
          <w:rFonts w:ascii="Calibri" w:hAnsi="Calibri" w:cs="Calibri"/>
          <w:noProof/>
          <w:sz w:val="22"/>
          <w:lang w:val="en-GB"/>
        </w:rPr>
        <w:tab/>
        <w:t xml:space="preserve">Danovitch GM, Chapman J, Capron AM, Levin A, Abbud-Filho M, Al Mousawi M, et al. Organ trafficking and transplant tourism: The role of global professional ethical standards - The 2008 declaration of Istanbul. Transplantation. 2013;95(11):1306–12. </w:t>
      </w:r>
    </w:p>
    <w:p w14:paraId="045BCBF6"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151. </w:t>
      </w:r>
      <w:r w:rsidRPr="00EB088B">
        <w:rPr>
          <w:rFonts w:ascii="Calibri" w:hAnsi="Calibri" w:cs="Calibri"/>
          <w:noProof/>
          <w:sz w:val="22"/>
          <w:lang w:val="en-GB"/>
        </w:rPr>
        <w:tab/>
        <w:t xml:space="preserve">Muller E, Dominguez-Gil B, Martin D. The Declaration of Istanbul on Organ Trafficking and Transplant Tourism (2018 Edition) Introduction. Transplantation. 2019;103(2):217. </w:t>
      </w:r>
    </w:p>
    <w:p w14:paraId="50AC5D1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152. </w:t>
      </w:r>
      <w:r w:rsidRPr="00EB088B">
        <w:rPr>
          <w:rFonts w:ascii="Calibri" w:hAnsi="Calibri" w:cs="Calibri"/>
          <w:noProof/>
          <w:sz w:val="22"/>
          <w:lang w:val="en-GB"/>
        </w:rPr>
        <w:tab/>
        <w:t>World Medical Assembly (WMA). WMA Statement on measures for the prevention and fight against transplant-related crimes [Internet]. 2020. Available from: https://www.wma.net/policies-post/wma-statement-on-measures-for-the-prevention-and-fight-against-transplant-related-crimes/</w:t>
      </w:r>
    </w:p>
    <w:p w14:paraId="7F7CAC3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A34343">
        <w:rPr>
          <w:rFonts w:ascii="Calibri" w:hAnsi="Calibri" w:cs="Calibri"/>
          <w:noProof/>
          <w:sz w:val="22"/>
          <w:lang w:val="fr-FR"/>
        </w:rPr>
        <w:t xml:space="preserve">153. </w:t>
      </w:r>
      <w:r w:rsidRPr="00A34343">
        <w:rPr>
          <w:rFonts w:ascii="Calibri" w:hAnsi="Calibri" w:cs="Calibri"/>
          <w:noProof/>
          <w:sz w:val="22"/>
          <w:lang w:val="fr-FR"/>
        </w:rPr>
        <w:tab/>
        <w:t xml:space="preserve">Martin DE, Van Assche K, Domínguez-Gil B, López-Fraga M, Garcia Gallont R, Muller E, et al. </w:t>
      </w:r>
      <w:r w:rsidRPr="00EB088B">
        <w:rPr>
          <w:rFonts w:ascii="Calibri" w:hAnsi="Calibri" w:cs="Calibri"/>
          <w:noProof/>
          <w:sz w:val="22"/>
          <w:lang w:val="en-GB"/>
        </w:rPr>
        <w:t xml:space="preserve">A new edition of the Declaration of Istanbul: updated guidance to combat organ trafficking and transplant tourism worldwide. Kidney Int. 2019;95(4):757–9. </w:t>
      </w:r>
    </w:p>
    <w:p w14:paraId="6CE8EC1D" w14:textId="77777777" w:rsidR="00EB088B" w:rsidRPr="00A34343" w:rsidRDefault="00EB088B" w:rsidP="00EB088B">
      <w:pPr>
        <w:widowControl w:val="0"/>
        <w:autoSpaceDE w:val="0"/>
        <w:autoSpaceDN w:val="0"/>
        <w:adjustRightInd w:val="0"/>
        <w:spacing w:after="120"/>
        <w:ind w:left="640" w:hanging="640"/>
        <w:rPr>
          <w:rFonts w:ascii="Calibri" w:hAnsi="Calibri" w:cs="Calibri"/>
          <w:noProof/>
          <w:sz w:val="22"/>
          <w:lang w:val="fr-FR"/>
        </w:rPr>
      </w:pPr>
      <w:r w:rsidRPr="00EB088B">
        <w:rPr>
          <w:rFonts w:ascii="Calibri" w:hAnsi="Calibri" w:cs="Calibri"/>
          <w:noProof/>
          <w:sz w:val="22"/>
          <w:lang w:val="en-GB"/>
        </w:rPr>
        <w:t xml:space="preserve">154. </w:t>
      </w:r>
      <w:r w:rsidRPr="00EB088B">
        <w:rPr>
          <w:rFonts w:ascii="Calibri" w:hAnsi="Calibri" w:cs="Calibri"/>
          <w:noProof/>
          <w:sz w:val="22"/>
          <w:lang w:val="en-GB"/>
        </w:rPr>
        <w:tab/>
        <w:t xml:space="preserve">Ishikawa M, Lynch S V., Balderson GA, Shepherd RW, Ong TH, Strong RW. Liver transplantation in Japanese and Australian/New Zealand children with biliary atresia: A 10-year comparative study. </w:t>
      </w:r>
      <w:r w:rsidRPr="00A34343">
        <w:rPr>
          <w:rFonts w:ascii="Calibri" w:hAnsi="Calibri" w:cs="Calibri"/>
          <w:noProof/>
          <w:sz w:val="22"/>
          <w:lang w:val="fr-FR"/>
        </w:rPr>
        <w:t xml:space="preserve">Eur J Surg. 1999;165(5):454–9. </w:t>
      </w:r>
    </w:p>
    <w:p w14:paraId="3EB6FEDC" w14:textId="77777777" w:rsidR="00EB088B" w:rsidRPr="00A34343" w:rsidRDefault="00EB088B" w:rsidP="00EB088B">
      <w:pPr>
        <w:widowControl w:val="0"/>
        <w:autoSpaceDE w:val="0"/>
        <w:autoSpaceDN w:val="0"/>
        <w:adjustRightInd w:val="0"/>
        <w:spacing w:after="120"/>
        <w:ind w:left="640" w:hanging="640"/>
        <w:rPr>
          <w:rFonts w:ascii="Calibri" w:hAnsi="Calibri" w:cs="Calibri"/>
          <w:noProof/>
          <w:sz w:val="22"/>
          <w:lang w:val="fr-FR"/>
        </w:rPr>
      </w:pPr>
      <w:r w:rsidRPr="00A34343">
        <w:rPr>
          <w:rFonts w:ascii="Calibri" w:hAnsi="Calibri" w:cs="Calibri"/>
          <w:noProof/>
          <w:sz w:val="22"/>
          <w:lang w:val="fr-FR"/>
        </w:rPr>
        <w:t xml:space="preserve">155. </w:t>
      </w:r>
      <w:r w:rsidRPr="00A34343">
        <w:rPr>
          <w:rFonts w:ascii="Calibri" w:hAnsi="Calibri" w:cs="Calibri"/>
          <w:noProof/>
          <w:sz w:val="22"/>
          <w:lang w:val="fr-FR"/>
        </w:rPr>
        <w:tab/>
        <w:t xml:space="preserve">Delmonico FL, Martin D, Domínguez-Gil B, Muller E, Jha V, Levin A, et al. </w:t>
      </w:r>
      <w:r w:rsidRPr="00EB088B">
        <w:rPr>
          <w:rFonts w:ascii="Calibri" w:hAnsi="Calibri" w:cs="Calibri"/>
          <w:noProof/>
          <w:sz w:val="22"/>
          <w:lang w:val="en-GB"/>
        </w:rPr>
        <w:t xml:space="preserve">Living and deceased organ donation should be financially neutral acts. </w:t>
      </w:r>
      <w:r w:rsidRPr="00A34343">
        <w:rPr>
          <w:rFonts w:ascii="Calibri" w:hAnsi="Calibri" w:cs="Calibri"/>
          <w:noProof/>
          <w:sz w:val="22"/>
          <w:lang w:val="fr-FR"/>
        </w:rPr>
        <w:t xml:space="preserve">Am J Transplant. 2015;15(5):1187–91. </w:t>
      </w:r>
    </w:p>
    <w:p w14:paraId="0D5C0E2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A34343">
        <w:rPr>
          <w:rFonts w:ascii="Calibri" w:hAnsi="Calibri" w:cs="Calibri"/>
          <w:noProof/>
          <w:sz w:val="22"/>
          <w:lang w:val="fr-FR"/>
        </w:rPr>
        <w:t xml:space="preserve">156. </w:t>
      </w:r>
      <w:r w:rsidRPr="00A34343">
        <w:rPr>
          <w:rFonts w:ascii="Calibri" w:hAnsi="Calibri" w:cs="Calibri"/>
          <w:noProof/>
          <w:sz w:val="22"/>
          <w:lang w:val="fr-FR"/>
        </w:rPr>
        <w:tab/>
        <w:t xml:space="preserve">Martin DE, Van Assche K, Domínguez-Gil B, López-Fraga M, García Gallont R, Muller E, et al. </w:t>
      </w:r>
      <w:r w:rsidRPr="00EB088B">
        <w:rPr>
          <w:rFonts w:ascii="Calibri" w:hAnsi="Calibri" w:cs="Calibri"/>
          <w:noProof/>
          <w:sz w:val="22"/>
          <w:lang w:val="en-GB"/>
        </w:rPr>
        <w:t xml:space="preserve">Strengthening Global Efforts to Combat Organ Trafficking and Transplant Tourism: </w:t>
      </w:r>
      <w:r w:rsidRPr="00EB088B">
        <w:rPr>
          <w:rFonts w:ascii="Calibri" w:hAnsi="Calibri" w:cs="Calibri"/>
          <w:noProof/>
          <w:sz w:val="22"/>
          <w:lang w:val="en-GB"/>
        </w:rPr>
        <w:lastRenderedPageBreak/>
        <w:t xml:space="preserve">Implications of the 2018 Edition of the Declaration of Istanbul. Transplant Direct. 2019;5(3):1–13. </w:t>
      </w:r>
    </w:p>
    <w:p w14:paraId="1F98761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157. </w:t>
      </w:r>
      <w:r w:rsidRPr="00EB088B">
        <w:rPr>
          <w:rFonts w:ascii="Calibri" w:hAnsi="Calibri" w:cs="Calibri"/>
          <w:noProof/>
          <w:sz w:val="22"/>
          <w:lang w:val="en-GB"/>
        </w:rPr>
        <w:tab/>
        <w:t xml:space="preserve">Commonwealth Government. Review of the Australian organ donation, retrieval and transplantation system -Final Report. 2018. </w:t>
      </w:r>
    </w:p>
    <w:p w14:paraId="36F639FA"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158. </w:t>
      </w:r>
      <w:r w:rsidRPr="00EB088B">
        <w:rPr>
          <w:rFonts w:ascii="Calibri" w:hAnsi="Calibri" w:cs="Calibri"/>
          <w:noProof/>
          <w:sz w:val="22"/>
          <w:lang w:val="en-GB"/>
        </w:rPr>
        <w:tab/>
        <w:t xml:space="preserve">Barnieh L, Kanellis J, McDonald S, Arnold J, Sontrop JM, Cuerden M, et al. Direct and indirect costs incurred by Australian living kidney donors. Nephrology. 2018;23(12):1145–51. </w:t>
      </w:r>
    </w:p>
    <w:p w14:paraId="1F1AF07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159. </w:t>
      </w:r>
      <w:r w:rsidRPr="00EB088B">
        <w:rPr>
          <w:rFonts w:ascii="Calibri" w:hAnsi="Calibri" w:cs="Calibri"/>
          <w:noProof/>
          <w:sz w:val="22"/>
          <w:lang w:val="en-GB"/>
        </w:rPr>
        <w:tab/>
        <w:t xml:space="preserve">Columb S. Excavating the organ trade: An empirical study of organ trading networks in Cairo, Egypt. Br J Criminol. 2017;57(6):1301–21. </w:t>
      </w:r>
    </w:p>
    <w:p w14:paraId="67877AAA"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160. </w:t>
      </w:r>
      <w:r w:rsidRPr="00EB088B">
        <w:rPr>
          <w:rFonts w:ascii="Calibri" w:hAnsi="Calibri" w:cs="Calibri"/>
          <w:noProof/>
          <w:sz w:val="22"/>
          <w:lang w:val="en-GB"/>
        </w:rPr>
        <w:tab/>
        <w:t xml:space="preserve">Goyal M, Mehta RL, Schneiderman LJ, Sehgal AR. Economic and health consequences of selling a kidney in India. J Am Med Assoc. 2002;288(13):1589–93. </w:t>
      </w:r>
    </w:p>
    <w:p w14:paraId="5379B48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161. </w:t>
      </w:r>
      <w:r w:rsidRPr="00EB088B">
        <w:rPr>
          <w:rFonts w:ascii="Calibri" w:hAnsi="Calibri" w:cs="Calibri"/>
          <w:noProof/>
          <w:sz w:val="22"/>
          <w:lang w:val="en-GB"/>
        </w:rPr>
        <w:tab/>
        <w:t>Australian Federal Police. Human trafficking [Internet]. 2021 [cited 2021 Jul 26]. Available from: https://www.afp.gov.au/what-we-do/crime-types/human-trafficking</w:t>
      </w:r>
    </w:p>
    <w:p w14:paraId="7F0EB684"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162. </w:t>
      </w:r>
      <w:r w:rsidRPr="00EB088B">
        <w:rPr>
          <w:rFonts w:ascii="Calibri" w:hAnsi="Calibri" w:cs="Calibri"/>
          <w:noProof/>
          <w:sz w:val="22"/>
          <w:lang w:val="en-GB"/>
        </w:rPr>
        <w:tab/>
        <w:t>Australian Government. Organ trafficking: Information for medical professionals [Internet]. Available from: https://www.homeaffairs.gov.au/criminal-justice/files/organ-trafficking-fact-sheet.pdf</w:t>
      </w:r>
    </w:p>
    <w:p w14:paraId="727CD73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A34343">
        <w:rPr>
          <w:rFonts w:ascii="Calibri" w:hAnsi="Calibri" w:cs="Calibri"/>
          <w:noProof/>
          <w:sz w:val="22"/>
          <w:lang w:val="fr-FR"/>
        </w:rPr>
        <w:t xml:space="preserve">163. </w:t>
      </w:r>
      <w:r w:rsidRPr="00A34343">
        <w:rPr>
          <w:rFonts w:ascii="Calibri" w:hAnsi="Calibri" w:cs="Calibri"/>
          <w:noProof/>
          <w:sz w:val="22"/>
          <w:lang w:val="fr-FR"/>
        </w:rPr>
        <w:tab/>
        <w:t xml:space="preserve">Domínguez-Gil B, Danovitch G, Martin DE, López-Fraga M, Van Assche K, Morris ML, et al. </w:t>
      </w:r>
      <w:r w:rsidRPr="00EB088B">
        <w:rPr>
          <w:rFonts w:ascii="Calibri" w:hAnsi="Calibri" w:cs="Calibri"/>
          <w:noProof/>
          <w:sz w:val="22"/>
          <w:lang w:val="en-GB"/>
        </w:rPr>
        <w:t xml:space="preserve">Management of Patients Who Receive an Organ Transplant Abroad and Return Home for Follow-up Care: Recommendations from the Declaration of Istanbul Custodian Group. Transplantation. 2018;102(1):e2–9. </w:t>
      </w:r>
    </w:p>
    <w:p w14:paraId="3A5A57F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164. </w:t>
      </w:r>
      <w:r w:rsidRPr="00EB088B">
        <w:rPr>
          <w:rFonts w:ascii="Calibri" w:hAnsi="Calibri" w:cs="Calibri"/>
          <w:noProof/>
          <w:sz w:val="22"/>
          <w:lang w:val="en-GB"/>
        </w:rPr>
        <w:tab/>
        <w:t xml:space="preserve">Gill J, Madhira BR, Gjertson D, Lipshutz G, Cecka JM, Pham PT, et al. Transplant tourism in the United States: A single-center experience. Clin J Am Soc Nephrol. 2008;3(6):1820–8. </w:t>
      </w:r>
    </w:p>
    <w:p w14:paraId="36EC7A1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165. </w:t>
      </w:r>
      <w:r w:rsidRPr="00EB088B">
        <w:rPr>
          <w:rFonts w:ascii="Calibri" w:hAnsi="Calibri" w:cs="Calibri"/>
          <w:noProof/>
          <w:sz w:val="22"/>
          <w:lang w:val="en-GB"/>
        </w:rPr>
        <w:tab/>
        <w:t xml:space="preserve">Robertson JA. The Dead Donor Rule. Hastings Cent Rep. 1999;29(6):6. </w:t>
      </w:r>
    </w:p>
    <w:p w14:paraId="291581E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166. </w:t>
      </w:r>
      <w:r w:rsidRPr="00EB088B">
        <w:rPr>
          <w:rFonts w:ascii="Calibri" w:hAnsi="Calibri" w:cs="Calibri"/>
          <w:noProof/>
          <w:sz w:val="22"/>
          <w:lang w:val="en-GB"/>
        </w:rPr>
        <w:tab/>
        <w:t xml:space="preserve">O’Leary MJ, Skowronski G, Critchley C, O’Reilly L, Forlini C, Sheahan L, et al. Death determination, organ donation and the importance of the Dead Donor Rule following withdrawal of life-sustaining treatment: a survey of community opinions. Intern Med J. 2022;52(2):238–48. </w:t>
      </w:r>
    </w:p>
    <w:p w14:paraId="39254CD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167. </w:t>
      </w:r>
      <w:r w:rsidRPr="00EB088B">
        <w:rPr>
          <w:rFonts w:ascii="Calibri" w:hAnsi="Calibri" w:cs="Calibri"/>
          <w:noProof/>
          <w:sz w:val="22"/>
          <w:lang w:val="en-GB"/>
        </w:rPr>
        <w:tab/>
        <w:t xml:space="preserve">Tuohy W. Angus wanted to donate his organs, but they all went to waste. His mother wants change. The Age. 2023 Apr 17; </w:t>
      </w:r>
    </w:p>
    <w:p w14:paraId="6700B5D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168. </w:t>
      </w:r>
      <w:r w:rsidRPr="00EB088B">
        <w:rPr>
          <w:rFonts w:ascii="Calibri" w:hAnsi="Calibri" w:cs="Calibri"/>
          <w:noProof/>
          <w:sz w:val="22"/>
          <w:lang w:val="en-GB"/>
        </w:rPr>
        <w:tab/>
        <w:t xml:space="preserve">Miller FG, Truog RD, Brock DW. The dead donor rule: Can it withstand critical scrutiny? J Med Philos. 2010;35(3):299–312. </w:t>
      </w:r>
    </w:p>
    <w:p w14:paraId="214D7AC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169. </w:t>
      </w:r>
      <w:r w:rsidRPr="00EB088B">
        <w:rPr>
          <w:rFonts w:ascii="Calibri" w:hAnsi="Calibri" w:cs="Calibri"/>
          <w:noProof/>
          <w:sz w:val="22"/>
          <w:lang w:val="en-GB"/>
        </w:rPr>
        <w:tab/>
        <w:t xml:space="preserve">Shemie SD, Hornby L, Baker A, Teitelbaum J, Torrance S, Young K, et al. International guideline development for the determination of death. Intensive Care Med. 2014;40(6):788–97. </w:t>
      </w:r>
    </w:p>
    <w:p w14:paraId="346C3DE6"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170. </w:t>
      </w:r>
      <w:r w:rsidRPr="00EB088B">
        <w:rPr>
          <w:rFonts w:ascii="Calibri" w:hAnsi="Calibri" w:cs="Calibri"/>
          <w:noProof/>
          <w:sz w:val="22"/>
          <w:lang w:val="en-GB"/>
        </w:rPr>
        <w:tab/>
        <w:t xml:space="preserve">van Haren FMP, Carter A, Cavazzoni E, Chapman M, D’Costa RL, Jones SL, et al. Conflicts of interest in the context of end of life care for potential organ donors in Australia. J Crit Care. 2020;59:166–71. </w:t>
      </w:r>
    </w:p>
    <w:p w14:paraId="378F61F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171. </w:t>
      </w:r>
      <w:r w:rsidRPr="00EB088B">
        <w:rPr>
          <w:rFonts w:ascii="Calibri" w:hAnsi="Calibri" w:cs="Calibri"/>
          <w:noProof/>
          <w:sz w:val="22"/>
          <w:lang w:val="en-GB"/>
        </w:rPr>
        <w:tab/>
        <w:t>Victoria S of. Human Tissue Act1982 - Amendments [Internet]. 2021. Available from: https://www2.health.vic.gov.au/hospitals-and-health-services/patient-care/speciality-diagnostics-therapeutics/organ-tissue-donation</w:t>
      </w:r>
    </w:p>
    <w:p w14:paraId="12AE308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172. </w:t>
      </w:r>
      <w:r w:rsidRPr="00EB088B">
        <w:rPr>
          <w:rFonts w:ascii="Calibri" w:hAnsi="Calibri" w:cs="Calibri"/>
          <w:noProof/>
          <w:sz w:val="22"/>
          <w:lang w:val="en-GB"/>
        </w:rPr>
        <w:tab/>
        <w:t xml:space="preserve">Then S, Martin DE, Mcgee A, Gardiner D, Moslemani N El. Decision-making About Premortem Interventions for Donation : Navigating Legal and Ethical Complexities. 2023;00(00):1–9. </w:t>
      </w:r>
    </w:p>
    <w:p w14:paraId="3F885ED2"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173. </w:t>
      </w:r>
      <w:r w:rsidRPr="00EB088B">
        <w:rPr>
          <w:rFonts w:ascii="Calibri" w:hAnsi="Calibri" w:cs="Calibri"/>
          <w:noProof/>
          <w:sz w:val="22"/>
          <w:lang w:val="en-GB"/>
        </w:rPr>
        <w:tab/>
        <w:t>Voluntary Assisted Dying Act (Vic) [Internet]. 2017. Available from: https://www.legislation.vic.gov.au/in-force/acts/voluntary-assisted-dying-act-2017/003;</w:t>
      </w:r>
    </w:p>
    <w:p w14:paraId="6DAA657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lastRenderedPageBreak/>
        <w:t xml:space="preserve">174. </w:t>
      </w:r>
      <w:r w:rsidRPr="00EB088B">
        <w:rPr>
          <w:rFonts w:ascii="Calibri" w:hAnsi="Calibri" w:cs="Calibri"/>
          <w:noProof/>
          <w:sz w:val="22"/>
          <w:lang w:val="en-GB"/>
        </w:rPr>
        <w:tab/>
        <w:t>Voluntary Assisted Dying Act (WA) [Internet]. 2019. Available from: https://www.legislation.wa.gov.au/legislation/statutes.nsf/law_a147242.html</w:t>
      </w:r>
    </w:p>
    <w:p w14:paraId="3D039BD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175. </w:t>
      </w:r>
      <w:r w:rsidRPr="00EB088B">
        <w:rPr>
          <w:rFonts w:ascii="Calibri" w:hAnsi="Calibri" w:cs="Calibri"/>
          <w:noProof/>
          <w:sz w:val="22"/>
          <w:lang w:val="en-GB"/>
        </w:rPr>
        <w:tab/>
        <w:t xml:space="preserve">Ray R, Martin D. Missed opportunities : saving lives through organ donation following voluntary assisted dying. 2023;1–5. </w:t>
      </w:r>
    </w:p>
    <w:p w14:paraId="4E7F3D1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176. </w:t>
      </w:r>
      <w:r w:rsidRPr="00EB088B">
        <w:rPr>
          <w:rFonts w:ascii="Calibri" w:hAnsi="Calibri" w:cs="Calibri"/>
          <w:noProof/>
          <w:sz w:val="22"/>
          <w:lang w:val="en-GB"/>
        </w:rPr>
        <w:tab/>
        <w:t xml:space="preserve">Downar J, Shemie SD, Gillrie C, Fortin M-C, Appleby A, Buchman DZ, et al. Deceased organ and tissue donation after medical assistance in dying and other conscious and competent donors: guidance for policy. Can Med Assoc J. 2019;191:e604-13. </w:t>
      </w:r>
    </w:p>
    <w:p w14:paraId="025739A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177. </w:t>
      </w:r>
      <w:r w:rsidRPr="00EB088B">
        <w:rPr>
          <w:rFonts w:ascii="Calibri" w:hAnsi="Calibri" w:cs="Calibri"/>
          <w:noProof/>
          <w:sz w:val="22"/>
          <w:lang w:val="en-GB"/>
        </w:rPr>
        <w:tab/>
        <w:t xml:space="preserve">Ball IM, Healey A, Keenan S, Priestap F, Basmaji J, Honarmand K, et al. Organ Donation after Medical Assistance in Dying — Canada’s First Cases. N Engl J Med. 2020;382(6):576–7. </w:t>
      </w:r>
    </w:p>
    <w:p w14:paraId="674A97A6"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178. </w:t>
      </w:r>
      <w:r w:rsidRPr="00EB088B">
        <w:rPr>
          <w:rFonts w:ascii="Calibri" w:hAnsi="Calibri" w:cs="Calibri"/>
          <w:noProof/>
          <w:sz w:val="22"/>
          <w:lang w:val="en-GB"/>
        </w:rPr>
        <w:tab/>
        <w:t xml:space="preserve">Healey A, Cypel M, Pyle H, Mills C, Heffren J, Katz D, et al. Lung donation after medical assistance in dying at home. Am J Transplant. 2021;21(1):415–8. </w:t>
      </w:r>
    </w:p>
    <w:p w14:paraId="33A8A40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179. </w:t>
      </w:r>
      <w:r w:rsidRPr="00EB088B">
        <w:rPr>
          <w:rFonts w:ascii="Calibri" w:hAnsi="Calibri" w:cs="Calibri"/>
          <w:noProof/>
          <w:sz w:val="22"/>
          <w:lang w:val="en-GB"/>
        </w:rPr>
        <w:tab/>
        <w:t xml:space="preserve">Gilbo N, Jochmans I, Jacobs-Tulleneers-Thevissen D, Wolthuis A, Sainz-Barriga M, Pirenne J, et al. Survival of PatientsWith Liver Transplants Donated After Euthanasia, Circulatory Death, or Brain Death at a Single Center in Belgium. J Am Med Assoc. 2019;322(1):78–80. </w:t>
      </w:r>
    </w:p>
    <w:p w14:paraId="67AA9B6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180. </w:t>
      </w:r>
      <w:r w:rsidRPr="00EB088B">
        <w:rPr>
          <w:rFonts w:ascii="Calibri" w:hAnsi="Calibri" w:cs="Calibri"/>
          <w:noProof/>
          <w:sz w:val="22"/>
          <w:lang w:val="en-GB"/>
        </w:rPr>
        <w:tab/>
        <w:t xml:space="preserve">Bollen J, Hoopen R ten, Ysebaert D, van Mook W, van Heurn E. Legal and ethical aspects of organ donation after euthanasia in Belgium and the Netherlands. J Med Ethics. 2016;42(8):486–9. </w:t>
      </w:r>
    </w:p>
    <w:p w14:paraId="1717C07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181. </w:t>
      </w:r>
      <w:r w:rsidRPr="00EB088B">
        <w:rPr>
          <w:rFonts w:ascii="Calibri" w:hAnsi="Calibri" w:cs="Calibri"/>
          <w:noProof/>
          <w:sz w:val="22"/>
          <w:lang w:val="en-GB"/>
        </w:rPr>
        <w:tab/>
        <w:t>Casey GM, Kekewich M, Naik VN, Hartwick M, Healey A. A request for directed organ donation in medical assistance in dying (MAID). Can J Anesth [Internet]. 2020;67(7):806–9. Available from: https://doi.org/10.1007/s12630-020-01632-5</w:t>
      </w:r>
    </w:p>
    <w:p w14:paraId="053F621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182. </w:t>
      </w:r>
      <w:r w:rsidRPr="00EB088B">
        <w:rPr>
          <w:rFonts w:ascii="Calibri" w:hAnsi="Calibri" w:cs="Calibri"/>
          <w:noProof/>
          <w:sz w:val="22"/>
          <w:lang w:val="en-GB"/>
        </w:rPr>
        <w:tab/>
        <w:t xml:space="preserve">Rubeis G, Steger F. Saving whom? The ethical challenges of harvesting tissue from savior siblings. Eur J Haematol. 2019;103(5):478–82. </w:t>
      </w:r>
    </w:p>
    <w:p w14:paraId="6BA38D9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183. </w:t>
      </w:r>
      <w:r w:rsidRPr="00EB088B">
        <w:rPr>
          <w:rFonts w:ascii="Calibri" w:hAnsi="Calibri" w:cs="Calibri"/>
          <w:noProof/>
          <w:sz w:val="22"/>
          <w:lang w:val="en-GB"/>
        </w:rPr>
        <w:tab/>
        <w:t xml:space="preserve">Sheldon S, Wilkinson S. Should selecting saviour siblings be banned? J Med Ethics. 2004;30(6):533–7. </w:t>
      </w:r>
    </w:p>
    <w:p w14:paraId="7C7B7CEB"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184. </w:t>
      </w:r>
      <w:r w:rsidRPr="00EB088B">
        <w:rPr>
          <w:rFonts w:ascii="Calibri" w:hAnsi="Calibri" w:cs="Calibri"/>
          <w:noProof/>
          <w:sz w:val="22"/>
          <w:lang w:val="en-GB"/>
        </w:rPr>
        <w:tab/>
        <w:t xml:space="preserve">Canadian Paediatric Society. Use of anencephalic newborns as organ donors (Position statement B2005-01). Paediatr Child Health (Oxford). 2005;10(6):335–41. </w:t>
      </w:r>
    </w:p>
    <w:p w14:paraId="287443E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185. </w:t>
      </w:r>
      <w:r w:rsidRPr="00EB088B">
        <w:rPr>
          <w:rFonts w:ascii="Calibri" w:hAnsi="Calibri" w:cs="Calibri"/>
          <w:noProof/>
          <w:sz w:val="22"/>
          <w:lang w:val="en-GB"/>
        </w:rPr>
        <w:tab/>
        <w:t xml:space="preserve">Jivraj A, Scales A, Brierley J. Elective ventilation to facilitate organ donation in infants with anencephaly: Perinatal professionals’ views and an ethical analysis. Acta Paediatr Int J Paediatr. 2016;105(5):494–8. </w:t>
      </w:r>
    </w:p>
    <w:p w14:paraId="0F5CAFA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186. </w:t>
      </w:r>
      <w:r w:rsidRPr="00EB088B">
        <w:rPr>
          <w:rFonts w:ascii="Calibri" w:hAnsi="Calibri" w:cs="Calibri"/>
          <w:noProof/>
          <w:sz w:val="22"/>
          <w:lang w:val="en-GB"/>
        </w:rPr>
        <w:tab/>
        <w:t>Bollen JAM, Shaw D, de Wert G, ten Hoopen R, Ysebaert D, van Heurn E, et al. Euthanasia through living organ donation: Ethical, legal, and medical challenges. J Hear Lung Transplant [Internet]. 2019;38(2):111–3. Available from: https://doi.org/10.1016/j.healun.2018.07.014</w:t>
      </w:r>
    </w:p>
    <w:p w14:paraId="71CAA9B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187. </w:t>
      </w:r>
      <w:r w:rsidRPr="00EB088B">
        <w:rPr>
          <w:rFonts w:ascii="Calibri" w:hAnsi="Calibri" w:cs="Calibri"/>
          <w:noProof/>
          <w:sz w:val="22"/>
          <w:lang w:val="en-GB"/>
        </w:rPr>
        <w:tab/>
        <w:t xml:space="preserve">Moorlock G. Directed altruistic living donation: What is wrong with the beauty contest? J Med Ethics. 2015;41(11):875–9. </w:t>
      </w:r>
    </w:p>
    <w:p w14:paraId="06DE102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188. </w:t>
      </w:r>
      <w:r w:rsidRPr="00EB088B">
        <w:rPr>
          <w:rFonts w:ascii="Calibri" w:hAnsi="Calibri" w:cs="Calibri"/>
          <w:noProof/>
          <w:sz w:val="22"/>
          <w:lang w:val="en-GB"/>
        </w:rPr>
        <w:tab/>
        <w:t xml:space="preserve">Neidich EM, Neidich AB, Cooper JT, Bramstedt KA. The ethical complexities of online organ solicitation via donor-patient websites: Avoiding the “beauty contest.” Am J Transplant. 2012;12(1):43–7. </w:t>
      </w:r>
    </w:p>
    <w:p w14:paraId="101F4C7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189. </w:t>
      </w:r>
      <w:r w:rsidRPr="00EB088B">
        <w:rPr>
          <w:rFonts w:ascii="Calibri" w:hAnsi="Calibri" w:cs="Calibri"/>
          <w:noProof/>
          <w:sz w:val="22"/>
          <w:lang w:val="en-GB"/>
        </w:rPr>
        <w:tab/>
        <w:t xml:space="preserve">Veale JL, Capron AM, Nassiri N, Danovitch G, Gritsch HA, Waterman A, et al. Vouchers for future kidney transplants to overcome “chronological incompatibility” between living donors and recipients. Transplantation. 2017;101(9):2115–9. </w:t>
      </w:r>
    </w:p>
    <w:p w14:paraId="1BC53AF6"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190. </w:t>
      </w:r>
      <w:r w:rsidRPr="00EB088B">
        <w:rPr>
          <w:rFonts w:ascii="Calibri" w:hAnsi="Calibri" w:cs="Calibri"/>
          <w:noProof/>
          <w:sz w:val="22"/>
          <w:lang w:val="en-GB"/>
        </w:rPr>
        <w:tab/>
        <w:t xml:space="preserve">Cooper M, Leeser DB, Flechner SM, Beaumont JL, Waterman AD, Shannon PW, et al. Ensuring the need is met: A 50-year simulation study of the National Kidney Registry’s family voucher program. Am J Transplant. 2021;21(3):1128–37. </w:t>
      </w:r>
    </w:p>
    <w:p w14:paraId="7873BF03"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191. </w:t>
      </w:r>
      <w:r w:rsidRPr="00EB088B">
        <w:rPr>
          <w:rFonts w:ascii="Calibri" w:hAnsi="Calibri" w:cs="Calibri"/>
          <w:noProof/>
          <w:sz w:val="22"/>
          <w:lang w:val="en-GB"/>
        </w:rPr>
        <w:tab/>
        <w:t xml:space="preserve">Stewart CL, Aparicio LC, Kerridge IH. Ethical and legal issues raised by cord blood banking - </w:t>
      </w:r>
      <w:r w:rsidRPr="00EB088B">
        <w:rPr>
          <w:rFonts w:ascii="Calibri" w:hAnsi="Calibri" w:cs="Calibri"/>
          <w:noProof/>
          <w:sz w:val="22"/>
          <w:lang w:val="en-GB"/>
        </w:rPr>
        <w:lastRenderedPageBreak/>
        <w:t xml:space="preserve">The challenges of the new bioeconomy. Med J Aust. 2013;199(4):290–2. </w:t>
      </w:r>
    </w:p>
    <w:p w14:paraId="0B73D985"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192. </w:t>
      </w:r>
      <w:r w:rsidRPr="00EB088B">
        <w:rPr>
          <w:rFonts w:ascii="Calibri" w:hAnsi="Calibri" w:cs="Calibri"/>
          <w:noProof/>
          <w:sz w:val="22"/>
          <w:lang w:val="en-GB"/>
        </w:rPr>
        <w:tab/>
        <w:t>AusCord. About AusCord and Public Cord Blood Banking [Internet]. 2018. Available from: https://www.schn.health.nsw.gov.au/files/attachments/auscord-iq-003_v001_about_auscord_booklet.pdf</w:t>
      </w:r>
    </w:p>
    <w:p w14:paraId="766C678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193. </w:t>
      </w:r>
      <w:r w:rsidRPr="00EB088B">
        <w:rPr>
          <w:rFonts w:ascii="Calibri" w:hAnsi="Calibri" w:cs="Calibri"/>
          <w:noProof/>
          <w:sz w:val="22"/>
          <w:lang w:val="en-GB"/>
        </w:rPr>
        <w:tab/>
        <w:t xml:space="preserve">Shearer WT, Lubin BH, Cairo MS, Notarangelo LD. Cord Blood Banking for Potential Future Transplantation. Obstet Gynecol Surv. 2018;73(3):135–6. </w:t>
      </w:r>
    </w:p>
    <w:p w14:paraId="37CBB5C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194. </w:t>
      </w:r>
      <w:r w:rsidRPr="00EB088B">
        <w:rPr>
          <w:rFonts w:ascii="Calibri" w:hAnsi="Calibri" w:cs="Calibri"/>
          <w:noProof/>
          <w:sz w:val="22"/>
          <w:lang w:val="en-GB"/>
        </w:rPr>
        <w:tab/>
        <w:t xml:space="preserve">Murdoch B, Marcon AR, Caulfield T. The law and problematic marketing by private umbilical cord blood banks. BMC Med Ethics. 2020;21(1):4–9. </w:t>
      </w:r>
    </w:p>
    <w:p w14:paraId="1D0A4FB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195. </w:t>
      </w:r>
      <w:r w:rsidRPr="00EB088B">
        <w:rPr>
          <w:rFonts w:ascii="Calibri" w:hAnsi="Calibri" w:cs="Calibri"/>
          <w:noProof/>
          <w:sz w:val="22"/>
          <w:lang w:val="en-GB"/>
        </w:rPr>
        <w:tab/>
        <w:t>National Health and Medical Research Council (NHMRC). Organ and Tissue Donation by Living Donors: Guidelines for Ethical Practice for Health Professionals [Internet]. 2007. Available from: https://www.nhmrc.gov.au/about-us/publications/organ-and-tissue-donation-living-donors</w:t>
      </w:r>
    </w:p>
    <w:p w14:paraId="2FA0FBF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196. </w:t>
      </w:r>
      <w:r w:rsidRPr="00EB088B">
        <w:rPr>
          <w:rFonts w:ascii="Calibri" w:hAnsi="Calibri" w:cs="Calibri"/>
          <w:noProof/>
          <w:sz w:val="22"/>
          <w:lang w:val="en-GB"/>
        </w:rPr>
        <w:tab/>
        <w:t>National Health and Medical Research Council (NHMRC). Ethical guidelines on the use of assisted technology in clinical practice and research [Internet]. 2017. Available from: https://www.nhmrc.gov.au/file/3776/download?token=QsZvWpw_</w:t>
      </w:r>
    </w:p>
    <w:p w14:paraId="4DEE2BE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197. </w:t>
      </w:r>
      <w:r w:rsidRPr="00EB088B">
        <w:rPr>
          <w:rFonts w:ascii="Calibri" w:hAnsi="Calibri" w:cs="Calibri"/>
          <w:noProof/>
          <w:sz w:val="22"/>
          <w:lang w:val="en-GB"/>
        </w:rPr>
        <w:tab/>
        <w:t>UK Donation Ethics Committee. Organ donation from infants with anencephaly-guidance from the UK Donation Ethics Committee [Internet]. 2016. Available from: http://www.aomrc.org.uk/wp-content/uploads/2016/06/Organ_Donation_-infants_anencephaly_020316-2.pdf</w:t>
      </w:r>
    </w:p>
    <w:p w14:paraId="4518526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198. </w:t>
      </w:r>
      <w:r w:rsidRPr="00EB088B">
        <w:rPr>
          <w:rFonts w:ascii="Calibri" w:hAnsi="Calibri" w:cs="Calibri"/>
          <w:noProof/>
          <w:sz w:val="22"/>
          <w:lang w:val="en-GB"/>
        </w:rPr>
        <w:tab/>
        <w:t xml:space="preserve">Ngaage LM, Ike S, Elegbede A, Vercler CJ, Gebran S, Liang F, et al. The changing paradigm of ethics in uterus transplantation: a systematic review. Transpl Int. 2020;33(3):260–9. </w:t>
      </w:r>
    </w:p>
    <w:p w14:paraId="511F214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199. </w:t>
      </w:r>
      <w:r w:rsidRPr="00EB088B">
        <w:rPr>
          <w:rFonts w:ascii="Calibri" w:hAnsi="Calibri" w:cs="Calibri"/>
          <w:noProof/>
          <w:sz w:val="22"/>
          <w:lang w:val="en-GB"/>
        </w:rPr>
        <w:tab/>
        <w:t xml:space="preserve">Georgevsky D, Li Y, Pather S, Tejada-Berges T, Robinson D, Laurence J, et al. Uterus transplantation and pregnancy induction: Approved protocol at the Royal Prince Alfred Hospital. Aust New Zeal J Obstet Gynaecol. 2021; </w:t>
      </w:r>
    </w:p>
    <w:p w14:paraId="324D4A8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200. </w:t>
      </w:r>
      <w:r w:rsidRPr="00EB088B">
        <w:rPr>
          <w:rFonts w:ascii="Calibri" w:hAnsi="Calibri" w:cs="Calibri"/>
          <w:noProof/>
          <w:sz w:val="22"/>
          <w:lang w:val="en-GB"/>
        </w:rPr>
        <w:tab/>
        <w:t xml:space="preserve">Jones BP, Saso S, Bracewell-Milnes T, Thum MY, Nicopoullos J, Diaz-Garcia C, et al. Human uterine transplantation: a review of outcomes from the first 45 cases. BJOG An Int J Obstet Gynaecol. 2019;126(11):1310–9. </w:t>
      </w:r>
    </w:p>
    <w:p w14:paraId="5A3223A5" w14:textId="77777777" w:rsidR="00EB088B" w:rsidRPr="00A34343" w:rsidRDefault="00EB088B" w:rsidP="00EB088B">
      <w:pPr>
        <w:widowControl w:val="0"/>
        <w:autoSpaceDE w:val="0"/>
        <w:autoSpaceDN w:val="0"/>
        <w:adjustRightInd w:val="0"/>
        <w:spacing w:after="120"/>
        <w:ind w:left="640" w:hanging="640"/>
        <w:rPr>
          <w:rFonts w:ascii="Calibri" w:hAnsi="Calibri" w:cs="Calibri"/>
          <w:noProof/>
          <w:sz w:val="22"/>
          <w:lang w:val="fr-FR"/>
        </w:rPr>
      </w:pPr>
      <w:r w:rsidRPr="00EB088B">
        <w:rPr>
          <w:rFonts w:ascii="Calibri" w:hAnsi="Calibri" w:cs="Calibri"/>
          <w:noProof/>
          <w:sz w:val="22"/>
          <w:lang w:val="en-GB"/>
        </w:rPr>
        <w:t xml:space="preserve">201. </w:t>
      </w:r>
      <w:r w:rsidRPr="00EB088B">
        <w:rPr>
          <w:rFonts w:ascii="Calibri" w:hAnsi="Calibri" w:cs="Calibri"/>
          <w:noProof/>
          <w:sz w:val="22"/>
          <w:lang w:val="en-GB"/>
        </w:rPr>
        <w:tab/>
        <w:t xml:space="preserve">Johannesson L, Testa G, Putman JM, McKenna GJ, Koon EC, York JR, et al. Twelve Live Births After Uterus Transplantation in the Dallas UtErus Transplant Study. </w:t>
      </w:r>
      <w:r w:rsidRPr="00A34343">
        <w:rPr>
          <w:rFonts w:ascii="Calibri" w:hAnsi="Calibri" w:cs="Calibri"/>
          <w:noProof/>
          <w:sz w:val="22"/>
          <w:lang w:val="fr-FR"/>
        </w:rPr>
        <w:t xml:space="preserve">Obstet Gynecol. 2021;137(2):241–9. </w:t>
      </w:r>
    </w:p>
    <w:p w14:paraId="508E46A9"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A34343">
        <w:rPr>
          <w:rFonts w:ascii="Calibri" w:hAnsi="Calibri" w:cs="Calibri"/>
          <w:noProof/>
          <w:sz w:val="22"/>
          <w:lang w:val="fr-FR"/>
        </w:rPr>
        <w:t xml:space="preserve">202. </w:t>
      </w:r>
      <w:r w:rsidRPr="00A34343">
        <w:rPr>
          <w:rFonts w:ascii="Calibri" w:hAnsi="Calibri" w:cs="Calibri"/>
          <w:noProof/>
          <w:sz w:val="22"/>
          <w:lang w:val="fr-FR"/>
        </w:rPr>
        <w:tab/>
        <w:t xml:space="preserve">Flyckt R, Falcone T, Quintini C, Perni U, Eghtesad B, Richards EG, et al. </w:t>
      </w:r>
      <w:r w:rsidRPr="00EB088B">
        <w:rPr>
          <w:rFonts w:ascii="Calibri" w:hAnsi="Calibri" w:cs="Calibri"/>
          <w:noProof/>
          <w:sz w:val="22"/>
          <w:lang w:val="en-GB"/>
        </w:rPr>
        <w:t xml:space="preserve">First birth from a deceased donor uterus in the United States: from severe graft rejection to successful cesarean delivery. Am J Obstet Gynecol. 2020;223(2):143–51. </w:t>
      </w:r>
    </w:p>
    <w:p w14:paraId="7D399370"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203. </w:t>
      </w:r>
      <w:r w:rsidRPr="00EB088B">
        <w:rPr>
          <w:rFonts w:ascii="Calibri" w:hAnsi="Calibri" w:cs="Calibri"/>
          <w:noProof/>
          <w:sz w:val="22"/>
          <w:lang w:val="en-GB"/>
        </w:rPr>
        <w:tab/>
        <w:t xml:space="preserve">Deans R, Pittman J, Gerstl B, Haghighi K, Pleass H, KÄhler PD, et al. The first Australian uterus transplantation procedure: A result of a long-term Australian-Swedish research collaboration. Aust New Zeal J Obstet Gynaecol. 2023; </w:t>
      </w:r>
    </w:p>
    <w:p w14:paraId="24DA2BEC"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204. </w:t>
      </w:r>
      <w:r w:rsidRPr="00EB088B">
        <w:rPr>
          <w:rFonts w:ascii="Calibri" w:hAnsi="Calibri" w:cs="Calibri"/>
          <w:noProof/>
          <w:sz w:val="22"/>
          <w:lang w:val="en-GB"/>
        </w:rPr>
        <w:tab/>
        <w:t xml:space="preserve">Kristek J, Johannesson L, Testa G, Chmel R, Olausson M, Kvarnström N, et al. Limited Availability of Deceased Uterus Donors: A Transatlantic Perspective. Transplantation. 2019;103(12):2449–52. </w:t>
      </w:r>
    </w:p>
    <w:p w14:paraId="60D3B681"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205. </w:t>
      </w:r>
      <w:r w:rsidRPr="00EB088B">
        <w:rPr>
          <w:rFonts w:ascii="Calibri" w:hAnsi="Calibri" w:cs="Calibri"/>
          <w:noProof/>
          <w:sz w:val="22"/>
          <w:lang w:val="en-GB"/>
        </w:rPr>
        <w:tab/>
        <w:t xml:space="preserve">Jones BP, Rajamanoharan A, Vali S, Williams NJ, Saso S, Thum MY, et al. Perceptions and Motivations for Uterus Transplant in Transgender Women. JAMA Netw Open. 2021;4(1):1–11. </w:t>
      </w:r>
    </w:p>
    <w:p w14:paraId="350D4E6D"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206. </w:t>
      </w:r>
      <w:r w:rsidRPr="00EB088B">
        <w:rPr>
          <w:rFonts w:ascii="Calibri" w:hAnsi="Calibri" w:cs="Calibri"/>
          <w:noProof/>
          <w:sz w:val="22"/>
          <w:lang w:val="en-GB"/>
        </w:rPr>
        <w:tab/>
        <w:t xml:space="preserve">Testa G, Koon EC, Johannesson L. Living Donor Uterus Transplant and Surrogacy: Ethical Analysis According to the Principle of Equipoise. Am J Transplant. 2017;17(4):912–6. </w:t>
      </w:r>
    </w:p>
    <w:p w14:paraId="5A868416"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lastRenderedPageBreak/>
        <w:t xml:space="preserve">207. </w:t>
      </w:r>
      <w:r w:rsidRPr="00EB088B">
        <w:rPr>
          <w:rFonts w:ascii="Calibri" w:hAnsi="Calibri" w:cs="Calibri"/>
          <w:noProof/>
          <w:sz w:val="22"/>
          <w:lang w:val="en-GB"/>
        </w:rPr>
        <w:tab/>
        <w:t xml:space="preserve">Bruno B, Arora KS. Uterus Transplantation: The Ethics of Using Deceased vs. Living Donors. Am J Bioeth. 2018;18(7):6–15. </w:t>
      </w:r>
    </w:p>
    <w:p w14:paraId="75862DAF"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208. </w:t>
      </w:r>
      <w:r w:rsidRPr="00EB088B">
        <w:rPr>
          <w:rFonts w:ascii="Calibri" w:hAnsi="Calibri" w:cs="Calibri"/>
          <w:noProof/>
          <w:sz w:val="22"/>
          <w:lang w:val="en-GB"/>
        </w:rPr>
        <w:tab/>
        <w:t xml:space="preserve">Johannesson L, Wall A, Warren AM, Gregg AR, Testa G. Decisions on second pregnancy after uterus transplantation and timing for removal of the uterus—DUETS (Dallas UtErus Transplant Study). BJOG An Int J Obstet Gynaecol. 2021;(Table 1):1–5. </w:t>
      </w:r>
    </w:p>
    <w:p w14:paraId="37938FC8"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209. </w:t>
      </w:r>
      <w:r w:rsidRPr="00EB088B">
        <w:rPr>
          <w:rFonts w:ascii="Calibri" w:hAnsi="Calibri" w:cs="Calibri"/>
          <w:noProof/>
          <w:sz w:val="22"/>
          <w:lang w:val="en-GB"/>
        </w:rPr>
        <w:tab/>
        <w:t>Earl J. Innovative Practice, Clinical Research, and the Ethical Advancement of Medicine. Am J Bioeth [Internet]. 2019;19(6):7–18. Available from: https://doi.org/10.1080/15265161.2019.1602175</w:t>
      </w:r>
    </w:p>
    <w:p w14:paraId="32FFB337"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lang w:val="en-GB"/>
        </w:rPr>
      </w:pPr>
      <w:r w:rsidRPr="00EB088B">
        <w:rPr>
          <w:rFonts w:ascii="Calibri" w:hAnsi="Calibri" w:cs="Calibri"/>
          <w:noProof/>
          <w:sz w:val="22"/>
          <w:lang w:val="en-GB"/>
        </w:rPr>
        <w:t xml:space="preserve">210. </w:t>
      </w:r>
      <w:r w:rsidRPr="00EB088B">
        <w:rPr>
          <w:rFonts w:ascii="Calibri" w:hAnsi="Calibri" w:cs="Calibri"/>
          <w:noProof/>
          <w:sz w:val="22"/>
          <w:lang w:val="en-GB"/>
        </w:rPr>
        <w:tab/>
        <w:t>NHMRC. Ethical guidelines for organ transplantation from deceased donors [Internet]. 2016. Available from: https://www.nhmrc.gov.au/sites/default/files/documents/attachments/NHMRC-ethical-guidelines-organ-transplant.pdf</w:t>
      </w:r>
    </w:p>
    <w:p w14:paraId="168B0A5E" w14:textId="77777777" w:rsidR="00EB088B" w:rsidRPr="00EB088B" w:rsidRDefault="00EB088B" w:rsidP="00EB088B">
      <w:pPr>
        <w:widowControl w:val="0"/>
        <w:autoSpaceDE w:val="0"/>
        <w:autoSpaceDN w:val="0"/>
        <w:adjustRightInd w:val="0"/>
        <w:spacing w:after="120"/>
        <w:ind w:left="640" w:hanging="640"/>
        <w:rPr>
          <w:rFonts w:ascii="Calibri" w:hAnsi="Calibri" w:cs="Calibri"/>
          <w:noProof/>
          <w:sz w:val="22"/>
        </w:rPr>
      </w:pPr>
      <w:r w:rsidRPr="00EB088B">
        <w:rPr>
          <w:rFonts w:ascii="Calibri" w:hAnsi="Calibri" w:cs="Calibri"/>
          <w:noProof/>
          <w:sz w:val="22"/>
          <w:lang w:val="en-GB"/>
        </w:rPr>
        <w:t xml:space="preserve">211. </w:t>
      </w:r>
      <w:r w:rsidRPr="00EB088B">
        <w:rPr>
          <w:rFonts w:ascii="Calibri" w:hAnsi="Calibri" w:cs="Calibri"/>
          <w:noProof/>
          <w:sz w:val="22"/>
          <w:lang w:val="en-GB"/>
        </w:rPr>
        <w:tab/>
        <w:t>Institute NC. NCI Dictionary of Cancer Terms [Internet]. 2021. Available from: https://www.cancer.gov/publications/dictionaries/cancer-terms/</w:t>
      </w:r>
    </w:p>
    <w:p w14:paraId="02CF53AF" w14:textId="6F197344" w:rsidR="006C6EBA" w:rsidRPr="006720E4" w:rsidRDefault="00F03887" w:rsidP="00EB088B">
      <w:pPr>
        <w:widowControl w:val="0"/>
        <w:autoSpaceDE w:val="0"/>
        <w:autoSpaceDN w:val="0"/>
        <w:adjustRightInd w:val="0"/>
        <w:spacing w:after="120"/>
        <w:ind w:left="640" w:hanging="640"/>
        <w:rPr>
          <w:rFonts w:ascii="Calibri" w:hAnsi="Calibri" w:cs="Calibri"/>
          <w:sz w:val="22"/>
          <w:szCs w:val="22"/>
        </w:rPr>
      </w:pPr>
      <w:r w:rsidRPr="006720E4">
        <w:rPr>
          <w:rFonts w:ascii="Calibri" w:hAnsi="Calibri" w:cs="Calibri"/>
          <w:sz w:val="22"/>
          <w:szCs w:val="22"/>
        </w:rPr>
        <w:fldChar w:fldCharType="end"/>
      </w:r>
    </w:p>
    <w:p w14:paraId="66CA1B9E" w14:textId="77777777" w:rsidR="00D13047" w:rsidRPr="006720E4" w:rsidRDefault="00D13047" w:rsidP="00EA22AE">
      <w:pPr>
        <w:spacing w:after="120"/>
        <w:rPr>
          <w:rFonts w:ascii="Calibri" w:hAnsi="Calibri" w:cs="Calibri"/>
        </w:rPr>
      </w:pPr>
    </w:p>
    <w:sectPr w:rsidR="00D13047" w:rsidRPr="006720E4">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0B28" w14:textId="77777777" w:rsidR="0048311B" w:rsidRDefault="0048311B" w:rsidP="006C6EBA">
      <w:r>
        <w:separator/>
      </w:r>
    </w:p>
  </w:endnote>
  <w:endnote w:type="continuationSeparator" w:id="0">
    <w:p w14:paraId="1527264A" w14:textId="77777777" w:rsidR="0048311B" w:rsidRDefault="0048311B" w:rsidP="006C6EBA">
      <w:r>
        <w:continuationSeparator/>
      </w:r>
    </w:p>
  </w:endnote>
  <w:endnote w:type="continuationNotice" w:id="1">
    <w:p w14:paraId="58E7632F" w14:textId="77777777" w:rsidR="0048311B" w:rsidRDefault="0048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UI"/>
    <w:charset w:val="80"/>
    <w:family w:val="roman"/>
    <w:pitch w:val="fixed"/>
    <w:sig w:usb0="00000001" w:usb1="08070000" w:usb2="00000010" w:usb3="00000000" w:csb0="00020000" w:csb1="00000000"/>
  </w:font>
  <w:font w:name="Open Sans Light">
    <w:charset w:val="00"/>
    <w:family w:val="swiss"/>
    <w:pitch w:val="variable"/>
    <w:sig w:usb0="E00002EF" w:usb1="4000205B" w:usb2="00000028" w:usb3="00000000" w:csb0="0000019F" w:csb1="00000000"/>
  </w:font>
  <w:font w:name="Helvetica 45 Light">
    <w:altName w:val="Arial"/>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Helvetica 55 Roman">
    <w:altName w:val="Sitka Small"/>
    <w:panose1 w:val="00000000000000000000"/>
    <w:charset w:val="00"/>
    <w:family w:val="swiss"/>
    <w:notTrueType/>
    <w:pitch w:val="default"/>
    <w:sig w:usb0="00000003" w:usb1="00000000" w:usb2="00000000" w:usb3="00000000" w:csb0="00000001" w:csb1="00000000"/>
  </w:font>
  <w:font w:name="Gotham Book">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7563251"/>
      <w:docPartObj>
        <w:docPartGallery w:val="Page Numbers (Bottom of Page)"/>
        <w:docPartUnique/>
      </w:docPartObj>
    </w:sdtPr>
    <w:sdtContent>
      <w:p w14:paraId="59909DA9" w14:textId="77777777" w:rsidR="006C6EBA" w:rsidRDefault="006C6E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FD41DA" w14:textId="77777777" w:rsidR="006C6EBA" w:rsidRDefault="006C6E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Calibri"/>
      </w:rPr>
      <w:id w:val="535316016"/>
      <w:docPartObj>
        <w:docPartGallery w:val="Page Numbers (Bottom of Page)"/>
        <w:docPartUnique/>
      </w:docPartObj>
    </w:sdtPr>
    <w:sdtContent>
      <w:p w14:paraId="28148B0A" w14:textId="77777777" w:rsidR="006C6EBA" w:rsidRPr="003C1A3F" w:rsidRDefault="006C6EBA">
        <w:pPr>
          <w:pStyle w:val="Footer"/>
          <w:framePr w:wrap="none" w:vAnchor="text" w:hAnchor="margin" w:xAlign="right" w:y="1"/>
          <w:rPr>
            <w:rStyle w:val="PageNumber"/>
            <w:rFonts w:cs="Calibri"/>
          </w:rPr>
        </w:pPr>
        <w:r w:rsidRPr="003C1A3F">
          <w:rPr>
            <w:rStyle w:val="PageNumber"/>
            <w:rFonts w:cs="Calibri"/>
          </w:rPr>
          <w:fldChar w:fldCharType="begin"/>
        </w:r>
        <w:r w:rsidRPr="003C1A3F">
          <w:rPr>
            <w:rStyle w:val="PageNumber"/>
            <w:rFonts w:cs="Calibri"/>
          </w:rPr>
          <w:instrText xml:space="preserve"> PAGE </w:instrText>
        </w:r>
        <w:r w:rsidRPr="003C1A3F">
          <w:rPr>
            <w:rStyle w:val="PageNumber"/>
            <w:rFonts w:cs="Calibri"/>
          </w:rPr>
          <w:fldChar w:fldCharType="separate"/>
        </w:r>
        <w:r w:rsidRPr="003C1A3F">
          <w:rPr>
            <w:rStyle w:val="PageNumber"/>
            <w:rFonts w:cs="Calibri"/>
            <w:noProof/>
          </w:rPr>
          <w:t>30</w:t>
        </w:r>
        <w:r w:rsidRPr="003C1A3F">
          <w:rPr>
            <w:rStyle w:val="PageNumber"/>
            <w:rFonts w:cs="Calibri"/>
          </w:rPr>
          <w:fldChar w:fldCharType="end"/>
        </w:r>
      </w:p>
    </w:sdtContent>
  </w:sdt>
  <w:p w14:paraId="3726BA34" w14:textId="77777777" w:rsidR="006C6EBA" w:rsidRPr="003C1A3F" w:rsidRDefault="006C6EBA">
    <w:pPr>
      <w:pStyle w:val="Footer"/>
      <w:ind w:right="360"/>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D768" w14:textId="77777777" w:rsidR="006C6EBA" w:rsidRDefault="006C6EBA">
    <w:pPr>
      <w:pStyle w:val="Footer"/>
    </w:pPr>
    <w:r>
      <w:rPr>
        <w:noProof/>
      </w:rPr>
      <mc:AlternateContent>
        <mc:Choice Requires="wps">
          <w:drawing>
            <wp:anchor distT="0" distB="0" distL="114300" distR="114300" simplePos="0" relativeHeight="251657728" behindDoc="0" locked="0" layoutInCell="1" allowOverlap="1" wp14:anchorId="647D238C" wp14:editId="2FC99C8F">
              <wp:simplePos x="0" y="0"/>
              <wp:positionH relativeFrom="column">
                <wp:posOffset>-1865580</wp:posOffset>
              </wp:positionH>
              <wp:positionV relativeFrom="paragraph">
                <wp:posOffset>-3848850</wp:posOffset>
              </wp:positionV>
              <wp:extent cx="5842660" cy="5771408"/>
              <wp:effectExtent l="0" t="0" r="5715" b="1270"/>
              <wp:wrapNone/>
              <wp:docPr id="10" name="Oval 10"/>
              <wp:cNvGraphicFramePr/>
              <a:graphic xmlns:a="http://schemas.openxmlformats.org/drawingml/2006/main">
                <a:graphicData uri="http://schemas.microsoft.com/office/word/2010/wordprocessingShape">
                  <wps:wsp>
                    <wps:cNvSpPr/>
                    <wps:spPr>
                      <a:xfrm>
                        <a:off x="0" y="0"/>
                        <a:ext cx="5842660" cy="5771408"/>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557447" id="Oval 10" o:spid="_x0000_s1026" style="position:absolute;margin-left:-146.9pt;margin-top:-303.05pt;width:460.05pt;height:454.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" fillcolor="#d9e2f3 [660]"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0CF1" w14:textId="77777777" w:rsidR="0048311B" w:rsidRDefault="0048311B" w:rsidP="006C6EBA">
      <w:r>
        <w:separator/>
      </w:r>
    </w:p>
  </w:footnote>
  <w:footnote w:type="continuationSeparator" w:id="0">
    <w:p w14:paraId="375F0BB5" w14:textId="77777777" w:rsidR="0048311B" w:rsidRDefault="0048311B" w:rsidP="006C6EBA">
      <w:r>
        <w:continuationSeparator/>
      </w:r>
    </w:p>
  </w:footnote>
  <w:footnote w:type="continuationNotice" w:id="1">
    <w:p w14:paraId="3E1376C9" w14:textId="77777777" w:rsidR="0048311B" w:rsidRDefault="00483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882F" w14:textId="560EB7BA" w:rsidR="006C6EBA" w:rsidRPr="00B70028" w:rsidRDefault="00000000">
    <w:pPr>
      <w:pStyle w:val="Header"/>
      <w:jc w:val="center"/>
      <w:rPr>
        <w:i/>
        <w:iCs/>
      </w:rPr>
    </w:pPr>
    <w:sdt>
      <w:sdtPr>
        <w:rPr>
          <w:i/>
          <w:iCs/>
        </w:rPr>
        <w:id w:val="-408702458"/>
        <w:docPartObj>
          <w:docPartGallery w:val="Watermarks"/>
          <w:docPartUnique/>
        </w:docPartObj>
      </w:sdtPr>
      <w:sdtContent>
        <w:r>
          <w:rPr>
            <w:i/>
            <w:iCs/>
            <w:noProof/>
          </w:rPr>
          <w:pict w14:anchorId="7720C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C2EF0">
      <w:rPr>
        <w:i/>
        <w:iCs/>
      </w:rPr>
      <w:t>Draft</w:t>
    </w:r>
    <w:r w:rsidR="007F2040">
      <w:rPr>
        <w:i/>
        <w:iCs/>
      </w:rPr>
      <w:t xml:space="preserve"> for </w:t>
    </w:r>
    <w:r w:rsidR="0067433B">
      <w:rPr>
        <w:i/>
        <w:iCs/>
      </w:rPr>
      <w:t>public</w:t>
    </w:r>
    <w:r w:rsidR="007F2040">
      <w:rPr>
        <w:i/>
        <w:iCs/>
      </w:rPr>
      <w:t xml:space="preserve"> consultation</w:t>
    </w:r>
    <w:r w:rsidR="00654FE7">
      <w:rPr>
        <w:i/>
        <w:iCs/>
      </w:rPr>
      <w:t xml:space="preserve"> – </w:t>
    </w:r>
    <w:r w:rsidR="00350D88">
      <w:rPr>
        <w:i/>
        <w:iCs/>
      </w:rPr>
      <w:t>Decembe</w:t>
    </w:r>
    <w:r w:rsidR="00B63F7B">
      <w:rPr>
        <w:i/>
        <w:iCs/>
      </w:rPr>
      <w:t>r</w:t>
    </w:r>
    <w:r w:rsidR="00350D88">
      <w:rPr>
        <w:i/>
        <w:iCs/>
      </w:rPr>
      <w:t xml:space="preserve"> </w:t>
    </w:r>
    <w:r w:rsidR="006C6EBA" w:rsidRPr="00B70028">
      <w:rPr>
        <w:i/>
        <w:iCs/>
      </w:rPr>
      <w:t>202</w:t>
    </w:r>
    <w:r w:rsidR="006C6EBA">
      <w:rPr>
        <w:i/>
        <w:iCs/>
      </w:rPr>
      <w:t>3</w:t>
    </w:r>
    <w:r w:rsidR="00064D0B">
      <w:rPr>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BD0D" w14:textId="01C82ADB" w:rsidR="006C6EBA" w:rsidRDefault="006C6EBA">
    <w:pPr>
      <w:pStyle w:val="Header"/>
    </w:pPr>
    <w:r>
      <w:rPr>
        <w:noProof/>
      </w:rPr>
      <mc:AlternateContent>
        <mc:Choice Requires="wps">
          <w:drawing>
            <wp:anchor distT="0" distB="0" distL="114300" distR="114300" simplePos="0" relativeHeight="251656704" behindDoc="0" locked="0" layoutInCell="1" allowOverlap="1" wp14:anchorId="0DD3C2CE" wp14:editId="0FE52305">
              <wp:simplePos x="0" y="0"/>
              <wp:positionH relativeFrom="column">
                <wp:posOffset>2018055</wp:posOffset>
              </wp:positionH>
              <wp:positionV relativeFrom="paragraph">
                <wp:posOffset>-1743372</wp:posOffset>
              </wp:positionV>
              <wp:extent cx="5842660" cy="5771408"/>
              <wp:effectExtent l="0" t="0" r="5715" b="1270"/>
              <wp:wrapNone/>
              <wp:docPr id="9" name="Oval 9"/>
              <wp:cNvGraphicFramePr/>
              <a:graphic xmlns:a="http://schemas.openxmlformats.org/drawingml/2006/main">
                <a:graphicData uri="http://schemas.microsoft.com/office/word/2010/wordprocessingShape">
                  <wps:wsp>
                    <wps:cNvSpPr/>
                    <wps:spPr>
                      <a:xfrm>
                        <a:off x="0" y="0"/>
                        <a:ext cx="5842660" cy="5771408"/>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1427FE" id="Oval 9" o:spid="_x0000_s1026" style="position:absolute;margin-left:158.9pt;margin-top:-137.25pt;width:460.05pt;height:454.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" fillcolor="#d9e2f3 [660]" stroked="f"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AD0D0F"/>
    <w:multiLevelType w:val="hybridMultilevel"/>
    <w:tmpl w:val="E0FC8F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3C4D94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55CFC9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B0CB22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488F50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CCCFCF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9B2A08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744438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3A619E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8048F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99A2E5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322F3C"/>
    <w:multiLevelType w:val="multilevel"/>
    <w:tmpl w:val="302EC11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5193DA0"/>
    <w:multiLevelType w:val="hybridMultilevel"/>
    <w:tmpl w:val="4EF81A82"/>
    <w:lvl w:ilvl="0" w:tplc="6056407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5EC71AA"/>
    <w:multiLevelType w:val="hybridMultilevel"/>
    <w:tmpl w:val="1B2A5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9E1DC2"/>
    <w:multiLevelType w:val="hybridMultilevel"/>
    <w:tmpl w:val="8806E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16770C"/>
    <w:multiLevelType w:val="multilevel"/>
    <w:tmpl w:val="3C0C065E"/>
    <w:styleLink w:val="CurrentList17"/>
    <w:lvl w:ilvl="0">
      <w:start w:val="1"/>
      <w:numFmt w:val="decimal"/>
      <w:lvlText w:val="%1."/>
      <w:lvlJc w:val="left"/>
      <w:pPr>
        <w:ind w:left="360" w:hanging="360"/>
      </w:pPr>
      <w:rPr>
        <w:rFonts w:hint="default"/>
        <w:sz w:val="32"/>
        <w:szCs w:val="32"/>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71C7A06"/>
    <w:multiLevelType w:val="hybridMultilevel"/>
    <w:tmpl w:val="382E8A08"/>
    <w:lvl w:ilvl="0" w:tplc="C120A400">
      <w:start w:val="1"/>
      <w:numFmt w:val="decimal"/>
      <w:pStyle w:val="Casestudy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C65CD2"/>
    <w:multiLevelType w:val="multilevel"/>
    <w:tmpl w:val="13C826C8"/>
    <w:lvl w:ilvl="0">
      <w:start w:val="1"/>
      <w:numFmt w:val="decimal"/>
      <w:pStyle w:val="Heading1"/>
      <w:lvlText w:val="%1."/>
      <w:lvlJc w:val="left"/>
      <w:pPr>
        <w:ind w:left="360" w:hanging="360"/>
      </w:pPr>
      <w:rPr>
        <w:rFonts w:hint="default"/>
        <w:sz w:val="32"/>
        <w:szCs w:val="32"/>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09257D83"/>
    <w:multiLevelType w:val="multilevel"/>
    <w:tmpl w:val="1CD802E8"/>
    <w:styleLink w:val="CurrentList4"/>
    <w:lvl w:ilvl="0">
      <w:start w:val="1"/>
      <w:numFmt w:val="decimal"/>
      <w:lvlText w:val="%1."/>
      <w:lvlJc w:val="left"/>
      <w:pPr>
        <w:ind w:left="720" w:hanging="360"/>
      </w:pPr>
      <w:rPr>
        <w:rFonts w:asciiTheme="minorHAnsi" w:hAnsiTheme="minorHAnsi"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AB4352"/>
    <w:multiLevelType w:val="multilevel"/>
    <w:tmpl w:val="5FF23530"/>
    <w:styleLink w:val="CurrentList13"/>
    <w:lvl w:ilvl="0">
      <w:start w:val="1"/>
      <w:numFmt w:val="decimal"/>
      <w:lvlText w:val="E%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BDD5B35"/>
    <w:multiLevelType w:val="hybridMultilevel"/>
    <w:tmpl w:val="8CF412C4"/>
    <w:lvl w:ilvl="0" w:tplc="0C090017">
      <w:start w:val="1"/>
      <w:numFmt w:val="lowerLetter"/>
      <w:lvlText w:val="%1)"/>
      <w:lvlJc w:val="left"/>
      <w:pPr>
        <w:ind w:left="770" w:hanging="360"/>
      </w:pPr>
      <w:rPr>
        <w:rFont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0CB821DC"/>
    <w:multiLevelType w:val="hybridMultilevel"/>
    <w:tmpl w:val="76A0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1605C6"/>
    <w:multiLevelType w:val="hybridMultilevel"/>
    <w:tmpl w:val="5268D1B6"/>
    <w:lvl w:ilvl="0" w:tplc="3FCE1500">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D984302">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E9E7DA0"/>
    <w:multiLevelType w:val="hybridMultilevel"/>
    <w:tmpl w:val="88360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10023B"/>
    <w:multiLevelType w:val="hybridMultilevel"/>
    <w:tmpl w:val="803A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974C4D"/>
    <w:multiLevelType w:val="hybridMultilevel"/>
    <w:tmpl w:val="B6C67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170808"/>
    <w:multiLevelType w:val="hybridMultilevel"/>
    <w:tmpl w:val="B140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3335FD"/>
    <w:multiLevelType w:val="hybridMultilevel"/>
    <w:tmpl w:val="C04A878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15:restartNumberingAfterBreak="0">
    <w:nsid w:val="1039104C"/>
    <w:multiLevelType w:val="hybridMultilevel"/>
    <w:tmpl w:val="E2F8E8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34246D"/>
    <w:multiLevelType w:val="multilevel"/>
    <w:tmpl w:val="DF8CB6F0"/>
    <w:lvl w:ilvl="0">
      <w:start w:val="1"/>
      <w:numFmt w:val="bullet"/>
      <w:pStyle w:val="Casestudyanalysis"/>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11F756F3"/>
    <w:multiLevelType w:val="hybridMultilevel"/>
    <w:tmpl w:val="ECCA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F158B9"/>
    <w:multiLevelType w:val="multilevel"/>
    <w:tmpl w:val="FD1A6F40"/>
    <w:styleLink w:val="CurrentList8"/>
    <w:lvl w:ilvl="0">
      <w:start w:val="1"/>
      <w:numFmt w:val="decimal"/>
      <w:lvlText w:val="B%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6D6B32"/>
    <w:multiLevelType w:val="hybridMultilevel"/>
    <w:tmpl w:val="CE60F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4AF20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180D6493"/>
    <w:multiLevelType w:val="hybridMultilevel"/>
    <w:tmpl w:val="4D66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96E3C31"/>
    <w:multiLevelType w:val="hybridMultilevel"/>
    <w:tmpl w:val="79D8C02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9D11D17"/>
    <w:multiLevelType w:val="hybridMultilevel"/>
    <w:tmpl w:val="5686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1F4469"/>
    <w:multiLevelType w:val="hybridMultilevel"/>
    <w:tmpl w:val="6600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AD34C4F"/>
    <w:multiLevelType w:val="hybridMultilevel"/>
    <w:tmpl w:val="524CA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AD63F69"/>
    <w:multiLevelType w:val="hybridMultilevel"/>
    <w:tmpl w:val="E452D3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ADF2427"/>
    <w:multiLevelType w:val="hybridMultilevel"/>
    <w:tmpl w:val="585A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571AA3"/>
    <w:multiLevelType w:val="hybridMultilevel"/>
    <w:tmpl w:val="B8A890E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1E5148DF"/>
    <w:multiLevelType w:val="multilevel"/>
    <w:tmpl w:val="3C0C065E"/>
    <w:styleLink w:val="CurrentList1"/>
    <w:lvl w:ilvl="0">
      <w:start w:val="1"/>
      <w:numFmt w:val="decimal"/>
      <w:lvlText w:val="%1."/>
      <w:lvlJc w:val="left"/>
      <w:pPr>
        <w:ind w:left="360" w:hanging="360"/>
      </w:pPr>
      <w:rPr>
        <w:rFonts w:hint="default"/>
        <w:sz w:val="32"/>
        <w:szCs w:val="32"/>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21283F4E"/>
    <w:multiLevelType w:val="hybridMultilevel"/>
    <w:tmpl w:val="9686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6D0894"/>
    <w:multiLevelType w:val="hybridMultilevel"/>
    <w:tmpl w:val="780E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21130AA"/>
    <w:multiLevelType w:val="hybridMultilevel"/>
    <w:tmpl w:val="467E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3070E5C"/>
    <w:multiLevelType w:val="hybridMultilevel"/>
    <w:tmpl w:val="33F238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3B05CFE"/>
    <w:multiLevelType w:val="hybridMultilevel"/>
    <w:tmpl w:val="7ED8A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43F2B71"/>
    <w:multiLevelType w:val="hybridMultilevel"/>
    <w:tmpl w:val="A962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644C32"/>
    <w:multiLevelType w:val="hybridMultilevel"/>
    <w:tmpl w:val="883C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47B4E80"/>
    <w:multiLevelType w:val="hybridMultilevel"/>
    <w:tmpl w:val="3A8C9C88"/>
    <w:lvl w:ilvl="0" w:tplc="208AC970">
      <w:start w:val="1"/>
      <w:numFmt w:val="bullet"/>
      <w:pStyle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249936AD"/>
    <w:multiLevelType w:val="hybridMultilevel"/>
    <w:tmpl w:val="98080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D6354A"/>
    <w:multiLevelType w:val="hybridMultilevel"/>
    <w:tmpl w:val="36A60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61C26D8"/>
    <w:multiLevelType w:val="hybridMultilevel"/>
    <w:tmpl w:val="150497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76B5E1D"/>
    <w:multiLevelType w:val="hybridMultilevel"/>
    <w:tmpl w:val="7AC2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C2065B"/>
    <w:multiLevelType w:val="hybridMultilevel"/>
    <w:tmpl w:val="0BBEBD9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6" w15:restartNumberingAfterBreak="0">
    <w:nsid w:val="29154302"/>
    <w:multiLevelType w:val="hybridMultilevel"/>
    <w:tmpl w:val="5264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91A79C7"/>
    <w:multiLevelType w:val="hybridMultilevel"/>
    <w:tmpl w:val="A816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C1613B1"/>
    <w:multiLevelType w:val="hybridMultilevel"/>
    <w:tmpl w:val="2EBE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E256BC4"/>
    <w:multiLevelType w:val="hybridMultilevel"/>
    <w:tmpl w:val="719CFD16"/>
    <w:lvl w:ilvl="0" w:tplc="08090001">
      <w:start w:val="1"/>
      <w:numFmt w:val="bullet"/>
      <w:lvlText w:val=""/>
      <w:lvlJc w:val="left"/>
      <w:pPr>
        <w:ind w:left="720" w:hanging="360"/>
      </w:pPr>
      <w:rPr>
        <w:rFonts w:ascii="Symbol" w:hAnsi="Symbol"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EAE76A5"/>
    <w:multiLevelType w:val="hybridMultilevel"/>
    <w:tmpl w:val="EB8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F704E0"/>
    <w:multiLevelType w:val="hybridMultilevel"/>
    <w:tmpl w:val="BFD25C6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2" w15:restartNumberingAfterBreak="0">
    <w:nsid w:val="31694E96"/>
    <w:multiLevelType w:val="multilevel"/>
    <w:tmpl w:val="CF0447CE"/>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sz w:val="22"/>
        <w:szCs w:val="22"/>
      </w:rPr>
    </w:lvl>
    <w:lvl w:ilvl="2">
      <w:start w:val="1"/>
      <w:numFmt w:val="decimal"/>
      <w:lvlText w:val="%1.%2.%3"/>
      <w:lvlJc w:val="left"/>
      <w:pPr>
        <w:ind w:left="720" w:hanging="720"/>
      </w:pPr>
      <w:rPr>
        <w:b w:val="0"/>
        <w:bCs w:val="0"/>
        <w:sz w:val="22"/>
        <w:szCs w:val="22"/>
      </w:rPr>
    </w:lvl>
    <w:lvl w:ilvl="3">
      <w:start w:val="1"/>
      <w:numFmt w:val="bullet"/>
      <w:lvlText w:val=""/>
      <w:lvlJc w:val="left"/>
      <w:pPr>
        <w:ind w:left="360" w:hanging="360"/>
      </w:pPr>
      <w:rPr>
        <w:rFonts w:ascii="Symbol" w:hAnsi="Symbol" w:hint="default"/>
        <w:b w:val="0"/>
        <w:bCs w:val="0"/>
        <w:sz w:val="21"/>
        <w:szCs w:val="21"/>
      </w:rPr>
    </w:lvl>
    <w:lvl w:ilvl="4">
      <w:start w:val="1"/>
      <w:numFmt w:val="bullet"/>
      <w:lvlText w:val=""/>
      <w:lvlJc w:val="left"/>
      <w:pPr>
        <w:ind w:left="360" w:hanging="360"/>
      </w:pPr>
      <w:rPr>
        <w:rFonts w:ascii="Symbol" w:hAnsi="Symbol" w:hint="default"/>
        <w:b w:val="0"/>
        <w:bCs w:val="0"/>
      </w:rPr>
    </w:lvl>
    <w:lvl w:ilvl="5">
      <w:start w:val="1"/>
      <w:numFmt w:val="decimal"/>
      <w:lvlText w:val="%1.%2.%3.%4.%5.%6"/>
      <w:lvlJc w:val="left"/>
      <w:pPr>
        <w:ind w:left="1152" w:hanging="1152"/>
      </w:p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31622D8"/>
    <w:multiLevelType w:val="hybridMultilevel"/>
    <w:tmpl w:val="C9FE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3AD2330"/>
    <w:multiLevelType w:val="hybridMultilevel"/>
    <w:tmpl w:val="7850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181EA0"/>
    <w:multiLevelType w:val="hybridMultilevel"/>
    <w:tmpl w:val="B35E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5327657"/>
    <w:multiLevelType w:val="hybridMultilevel"/>
    <w:tmpl w:val="878A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5E12E19"/>
    <w:multiLevelType w:val="multilevel"/>
    <w:tmpl w:val="5FF23530"/>
    <w:styleLink w:val="CurrentList12"/>
    <w:lvl w:ilvl="0">
      <w:start w:val="1"/>
      <w:numFmt w:val="decimal"/>
      <w:lvlText w:val="E%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5E66A4B"/>
    <w:multiLevelType w:val="hybridMultilevel"/>
    <w:tmpl w:val="3C6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6CF5416"/>
    <w:multiLevelType w:val="hybridMultilevel"/>
    <w:tmpl w:val="2786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6D3687B"/>
    <w:multiLevelType w:val="hybridMultilevel"/>
    <w:tmpl w:val="EE44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6F644D3"/>
    <w:multiLevelType w:val="hybridMultilevel"/>
    <w:tmpl w:val="2000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75206CD"/>
    <w:multiLevelType w:val="hybridMultilevel"/>
    <w:tmpl w:val="F06C045C"/>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88" w:hanging="360"/>
      </w:pPr>
      <w:rPr>
        <w:rFonts w:ascii="Symbol" w:hAnsi="Symbol" w:hint="default"/>
      </w:r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73" w15:restartNumberingAfterBreak="0">
    <w:nsid w:val="37E763A7"/>
    <w:multiLevelType w:val="hybridMultilevel"/>
    <w:tmpl w:val="9AA639FC"/>
    <w:lvl w:ilvl="0" w:tplc="0C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310" w:hanging="360"/>
      </w:pPr>
      <w:rPr>
        <w:rFonts w:ascii="Courier New" w:hAnsi="Courier New" w:cs="Courier New" w:hint="default"/>
      </w:rPr>
    </w:lvl>
    <w:lvl w:ilvl="2" w:tplc="08090005">
      <w:start w:val="1"/>
      <w:numFmt w:val="bullet"/>
      <w:lvlText w:val=""/>
      <w:lvlJc w:val="left"/>
      <w:pPr>
        <w:ind w:left="1030" w:hanging="360"/>
      </w:pPr>
      <w:rPr>
        <w:rFonts w:ascii="Wingdings" w:hAnsi="Wingdings" w:hint="default"/>
      </w:rPr>
    </w:lvl>
    <w:lvl w:ilvl="3" w:tplc="08090001" w:tentative="1">
      <w:start w:val="1"/>
      <w:numFmt w:val="bullet"/>
      <w:lvlText w:val=""/>
      <w:lvlJc w:val="left"/>
      <w:pPr>
        <w:ind w:left="1750" w:hanging="360"/>
      </w:pPr>
      <w:rPr>
        <w:rFonts w:ascii="Symbol" w:hAnsi="Symbol" w:hint="default"/>
      </w:rPr>
    </w:lvl>
    <w:lvl w:ilvl="4" w:tplc="08090003" w:tentative="1">
      <w:start w:val="1"/>
      <w:numFmt w:val="bullet"/>
      <w:lvlText w:val="o"/>
      <w:lvlJc w:val="left"/>
      <w:pPr>
        <w:ind w:left="2470" w:hanging="360"/>
      </w:pPr>
      <w:rPr>
        <w:rFonts w:ascii="Courier New" w:hAnsi="Courier New" w:cs="Courier New" w:hint="default"/>
      </w:rPr>
    </w:lvl>
    <w:lvl w:ilvl="5" w:tplc="08090005" w:tentative="1">
      <w:start w:val="1"/>
      <w:numFmt w:val="bullet"/>
      <w:lvlText w:val=""/>
      <w:lvlJc w:val="left"/>
      <w:pPr>
        <w:ind w:left="3190" w:hanging="360"/>
      </w:pPr>
      <w:rPr>
        <w:rFonts w:ascii="Wingdings" w:hAnsi="Wingdings" w:hint="default"/>
      </w:rPr>
    </w:lvl>
    <w:lvl w:ilvl="6" w:tplc="08090001" w:tentative="1">
      <w:start w:val="1"/>
      <w:numFmt w:val="bullet"/>
      <w:lvlText w:val=""/>
      <w:lvlJc w:val="left"/>
      <w:pPr>
        <w:ind w:left="3910" w:hanging="360"/>
      </w:pPr>
      <w:rPr>
        <w:rFonts w:ascii="Symbol" w:hAnsi="Symbol" w:hint="default"/>
      </w:rPr>
    </w:lvl>
    <w:lvl w:ilvl="7" w:tplc="08090003" w:tentative="1">
      <w:start w:val="1"/>
      <w:numFmt w:val="bullet"/>
      <w:lvlText w:val="o"/>
      <w:lvlJc w:val="left"/>
      <w:pPr>
        <w:ind w:left="4630" w:hanging="360"/>
      </w:pPr>
      <w:rPr>
        <w:rFonts w:ascii="Courier New" w:hAnsi="Courier New" w:cs="Courier New" w:hint="default"/>
      </w:rPr>
    </w:lvl>
    <w:lvl w:ilvl="8" w:tplc="08090005" w:tentative="1">
      <w:start w:val="1"/>
      <w:numFmt w:val="bullet"/>
      <w:lvlText w:val=""/>
      <w:lvlJc w:val="left"/>
      <w:pPr>
        <w:ind w:left="5350" w:hanging="360"/>
      </w:pPr>
      <w:rPr>
        <w:rFonts w:ascii="Wingdings" w:hAnsi="Wingdings" w:hint="default"/>
      </w:rPr>
    </w:lvl>
  </w:abstractNum>
  <w:abstractNum w:abstractNumId="74" w15:restartNumberingAfterBreak="0">
    <w:nsid w:val="380849B2"/>
    <w:multiLevelType w:val="hybridMultilevel"/>
    <w:tmpl w:val="FD3E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8317C61"/>
    <w:multiLevelType w:val="hybridMultilevel"/>
    <w:tmpl w:val="B1409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90B2185"/>
    <w:multiLevelType w:val="multilevel"/>
    <w:tmpl w:val="E58E3BE8"/>
    <w:styleLink w:val="CurrentList14"/>
    <w:lvl w:ilvl="0">
      <w:start w:val="1"/>
      <w:numFmt w:val="decimal"/>
      <w:lvlText w:val="%1."/>
      <w:lvlJc w:val="left"/>
      <w:pPr>
        <w:ind w:left="360" w:hanging="360"/>
      </w:pPr>
      <w:rPr>
        <w:rFonts w:hint="default"/>
        <w:sz w:val="32"/>
        <w:szCs w:val="32"/>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39B21887"/>
    <w:multiLevelType w:val="hybridMultilevel"/>
    <w:tmpl w:val="4D645530"/>
    <w:lvl w:ilvl="0" w:tplc="0C090017">
      <w:start w:val="1"/>
      <w:numFmt w:val="lowerLetter"/>
      <w:lvlText w:val="%1)"/>
      <w:lvlJc w:val="left"/>
      <w:pPr>
        <w:ind w:left="770" w:hanging="360"/>
      </w:pPr>
      <w:rPr>
        <w:rFont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8" w15:restartNumberingAfterBreak="0">
    <w:nsid w:val="39CA4A63"/>
    <w:multiLevelType w:val="multilevel"/>
    <w:tmpl w:val="E58E3BE8"/>
    <w:styleLink w:val="CurrentList15"/>
    <w:lvl w:ilvl="0">
      <w:start w:val="1"/>
      <w:numFmt w:val="decimal"/>
      <w:lvlText w:val="%1."/>
      <w:lvlJc w:val="left"/>
      <w:pPr>
        <w:ind w:left="360" w:hanging="360"/>
      </w:pPr>
      <w:rPr>
        <w:rFonts w:hint="default"/>
        <w:sz w:val="32"/>
        <w:szCs w:val="32"/>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3A614914"/>
    <w:multiLevelType w:val="hybridMultilevel"/>
    <w:tmpl w:val="9080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B0D2A6E"/>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BB13177"/>
    <w:multiLevelType w:val="hybridMultilevel"/>
    <w:tmpl w:val="D58A9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17015A6"/>
    <w:multiLevelType w:val="hybridMultilevel"/>
    <w:tmpl w:val="0CFC9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822CBA"/>
    <w:multiLevelType w:val="hybridMultilevel"/>
    <w:tmpl w:val="406C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3710F63"/>
    <w:multiLevelType w:val="multilevel"/>
    <w:tmpl w:val="FD1A6F40"/>
    <w:styleLink w:val="CurrentList10"/>
    <w:lvl w:ilvl="0">
      <w:start w:val="1"/>
      <w:numFmt w:val="decimal"/>
      <w:lvlText w:val="B%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4176876"/>
    <w:multiLevelType w:val="hybridMultilevel"/>
    <w:tmpl w:val="69BA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9D0636"/>
    <w:multiLevelType w:val="hybridMultilevel"/>
    <w:tmpl w:val="E546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CB6009"/>
    <w:multiLevelType w:val="hybridMultilevel"/>
    <w:tmpl w:val="240C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B5643F"/>
    <w:multiLevelType w:val="hybridMultilevel"/>
    <w:tmpl w:val="73D8A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64E697F"/>
    <w:multiLevelType w:val="hybridMultilevel"/>
    <w:tmpl w:val="0330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6852EFD"/>
    <w:multiLevelType w:val="hybridMultilevel"/>
    <w:tmpl w:val="9CA8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6A60ADF"/>
    <w:multiLevelType w:val="multilevel"/>
    <w:tmpl w:val="3C0C065E"/>
    <w:styleLink w:val="CurrentList16"/>
    <w:lvl w:ilvl="0">
      <w:start w:val="1"/>
      <w:numFmt w:val="decimal"/>
      <w:lvlText w:val="%1."/>
      <w:lvlJc w:val="left"/>
      <w:pPr>
        <w:ind w:left="360" w:hanging="360"/>
      </w:pPr>
      <w:rPr>
        <w:rFonts w:hint="default"/>
        <w:sz w:val="32"/>
        <w:szCs w:val="32"/>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2" w15:restartNumberingAfterBreak="0">
    <w:nsid w:val="47525155"/>
    <w:multiLevelType w:val="hybridMultilevel"/>
    <w:tmpl w:val="D41E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F652F1"/>
    <w:multiLevelType w:val="multilevel"/>
    <w:tmpl w:val="6BAC23CC"/>
    <w:styleLink w:val="CurrentList7"/>
    <w:lvl w:ilvl="0">
      <w:start w:val="1"/>
      <w:numFmt w:val="decimal"/>
      <w:lvlText w:val="A%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93830D3"/>
    <w:multiLevelType w:val="hybridMultilevel"/>
    <w:tmpl w:val="9E1E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99A576C"/>
    <w:multiLevelType w:val="hybridMultilevel"/>
    <w:tmpl w:val="0A9EA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9A57E4A"/>
    <w:multiLevelType w:val="hybridMultilevel"/>
    <w:tmpl w:val="57B4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9CD7A57"/>
    <w:multiLevelType w:val="hybridMultilevel"/>
    <w:tmpl w:val="79A659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8" w15:restartNumberingAfterBreak="0">
    <w:nsid w:val="4A026B46"/>
    <w:multiLevelType w:val="hybridMultilevel"/>
    <w:tmpl w:val="72F8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A5E418A"/>
    <w:multiLevelType w:val="hybridMultilevel"/>
    <w:tmpl w:val="2572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B040D1A"/>
    <w:multiLevelType w:val="hybridMultilevel"/>
    <w:tmpl w:val="C46C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D0A4045"/>
    <w:multiLevelType w:val="hybridMultilevel"/>
    <w:tmpl w:val="BA3E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3765F3"/>
    <w:multiLevelType w:val="hybridMultilevel"/>
    <w:tmpl w:val="EC18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EB3016E"/>
    <w:multiLevelType w:val="multilevel"/>
    <w:tmpl w:val="BDB8EACA"/>
    <w:styleLink w:val="CurrentList3"/>
    <w:lvl w:ilvl="0">
      <w:start w:val="1"/>
      <w:numFmt w:val="decimal"/>
      <w:lvlText w:val="B%1"/>
      <w:lvlJc w:val="left"/>
      <w:pPr>
        <w:ind w:left="360" w:hanging="360"/>
      </w:pPr>
      <w:rPr>
        <w:rFonts w:hint="default"/>
      </w:rPr>
    </w:lvl>
    <w:lvl w:ilvl="1">
      <w:start w:val="1"/>
      <w:numFmt w:val="decimal"/>
      <w:lvlText w:val="B%1.%2"/>
      <w:lvlJc w:val="left"/>
      <w:pPr>
        <w:ind w:left="360" w:hanging="360"/>
      </w:pPr>
      <w:rPr>
        <w:rFonts w:hint="default"/>
      </w:rPr>
    </w:lvl>
    <w:lvl w:ilvl="2">
      <w:start w:val="1"/>
      <w:numFmt w:val="decimal"/>
      <w:lvlText w:val="B%1.%2.%3"/>
      <w:lvlJc w:val="left"/>
      <w:pPr>
        <w:ind w:left="720" w:hanging="720"/>
      </w:pPr>
      <w:rPr>
        <w:rFonts w:hint="default"/>
        <w:sz w:val="21"/>
        <w:szCs w:val="21"/>
      </w:rPr>
    </w:lvl>
    <w:lvl w:ilvl="3">
      <w:start w:val="1"/>
      <w:numFmt w:val="decimal"/>
      <w:lvlText w:val="B%1.%2.%3.%4"/>
      <w:lvlJc w:val="left"/>
      <w:pPr>
        <w:ind w:left="720" w:hanging="720"/>
      </w:pPr>
      <w:rPr>
        <w:rFonts w:hint="default"/>
      </w:rPr>
    </w:lvl>
    <w:lvl w:ilvl="4">
      <w:start w:val="1"/>
      <w:numFmt w:val="decimal"/>
      <w:lvlText w:val="B%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FD558D7"/>
    <w:multiLevelType w:val="hybridMultilevel"/>
    <w:tmpl w:val="094CF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07B4217"/>
    <w:multiLevelType w:val="hybridMultilevel"/>
    <w:tmpl w:val="546ABC68"/>
    <w:lvl w:ilvl="0" w:tplc="0C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10" w:hanging="360"/>
      </w:pPr>
      <w:rPr>
        <w:rFonts w:ascii="Courier New" w:hAnsi="Courier New" w:cs="Courier New" w:hint="default"/>
      </w:rPr>
    </w:lvl>
    <w:lvl w:ilvl="2" w:tplc="08090005" w:tentative="1">
      <w:start w:val="1"/>
      <w:numFmt w:val="bullet"/>
      <w:lvlText w:val=""/>
      <w:lvlJc w:val="left"/>
      <w:pPr>
        <w:ind w:left="1030" w:hanging="360"/>
      </w:pPr>
      <w:rPr>
        <w:rFonts w:ascii="Wingdings" w:hAnsi="Wingdings" w:hint="default"/>
      </w:rPr>
    </w:lvl>
    <w:lvl w:ilvl="3" w:tplc="08090001" w:tentative="1">
      <w:start w:val="1"/>
      <w:numFmt w:val="bullet"/>
      <w:lvlText w:val=""/>
      <w:lvlJc w:val="left"/>
      <w:pPr>
        <w:ind w:left="1750" w:hanging="360"/>
      </w:pPr>
      <w:rPr>
        <w:rFonts w:ascii="Symbol" w:hAnsi="Symbol" w:hint="default"/>
      </w:rPr>
    </w:lvl>
    <w:lvl w:ilvl="4" w:tplc="08090003" w:tentative="1">
      <w:start w:val="1"/>
      <w:numFmt w:val="bullet"/>
      <w:lvlText w:val="o"/>
      <w:lvlJc w:val="left"/>
      <w:pPr>
        <w:ind w:left="2470" w:hanging="360"/>
      </w:pPr>
      <w:rPr>
        <w:rFonts w:ascii="Courier New" w:hAnsi="Courier New" w:cs="Courier New" w:hint="default"/>
      </w:rPr>
    </w:lvl>
    <w:lvl w:ilvl="5" w:tplc="08090005" w:tentative="1">
      <w:start w:val="1"/>
      <w:numFmt w:val="bullet"/>
      <w:lvlText w:val=""/>
      <w:lvlJc w:val="left"/>
      <w:pPr>
        <w:ind w:left="3190" w:hanging="360"/>
      </w:pPr>
      <w:rPr>
        <w:rFonts w:ascii="Wingdings" w:hAnsi="Wingdings" w:hint="default"/>
      </w:rPr>
    </w:lvl>
    <w:lvl w:ilvl="6" w:tplc="08090001" w:tentative="1">
      <w:start w:val="1"/>
      <w:numFmt w:val="bullet"/>
      <w:lvlText w:val=""/>
      <w:lvlJc w:val="left"/>
      <w:pPr>
        <w:ind w:left="3910" w:hanging="360"/>
      </w:pPr>
      <w:rPr>
        <w:rFonts w:ascii="Symbol" w:hAnsi="Symbol" w:hint="default"/>
      </w:rPr>
    </w:lvl>
    <w:lvl w:ilvl="7" w:tplc="08090003" w:tentative="1">
      <w:start w:val="1"/>
      <w:numFmt w:val="bullet"/>
      <w:lvlText w:val="o"/>
      <w:lvlJc w:val="left"/>
      <w:pPr>
        <w:ind w:left="4630" w:hanging="360"/>
      </w:pPr>
      <w:rPr>
        <w:rFonts w:ascii="Courier New" w:hAnsi="Courier New" w:cs="Courier New" w:hint="default"/>
      </w:rPr>
    </w:lvl>
    <w:lvl w:ilvl="8" w:tplc="08090005" w:tentative="1">
      <w:start w:val="1"/>
      <w:numFmt w:val="bullet"/>
      <w:lvlText w:val=""/>
      <w:lvlJc w:val="left"/>
      <w:pPr>
        <w:ind w:left="5350" w:hanging="360"/>
      </w:pPr>
      <w:rPr>
        <w:rFonts w:ascii="Wingdings" w:hAnsi="Wingdings" w:hint="default"/>
      </w:rPr>
    </w:lvl>
  </w:abstractNum>
  <w:abstractNum w:abstractNumId="106" w15:restartNumberingAfterBreak="0">
    <w:nsid w:val="516A24D2"/>
    <w:multiLevelType w:val="hybridMultilevel"/>
    <w:tmpl w:val="78B4F364"/>
    <w:lvl w:ilvl="0" w:tplc="0C090017">
      <w:start w:val="1"/>
      <w:numFmt w:val="lowerLetter"/>
      <w:lvlText w:val="%1)"/>
      <w:lvlJc w:val="left"/>
      <w:pPr>
        <w:ind w:left="770" w:hanging="360"/>
      </w:pPr>
      <w:rPr>
        <w:rFont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7" w15:restartNumberingAfterBreak="0">
    <w:nsid w:val="51EC084C"/>
    <w:multiLevelType w:val="hybridMultilevel"/>
    <w:tmpl w:val="F294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31043B6"/>
    <w:multiLevelType w:val="hybridMultilevel"/>
    <w:tmpl w:val="A2E0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63B6E84"/>
    <w:multiLevelType w:val="hybridMultilevel"/>
    <w:tmpl w:val="213C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6857555"/>
    <w:multiLevelType w:val="hybridMultilevel"/>
    <w:tmpl w:val="13C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B69180A"/>
    <w:multiLevelType w:val="hybridMultilevel"/>
    <w:tmpl w:val="CEE8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C4E6E29"/>
    <w:multiLevelType w:val="hybridMultilevel"/>
    <w:tmpl w:val="B058AF90"/>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13" w15:restartNumberingAfterBreak="0">
    <w:nsid w:val="5DB36B3B"/>
    <w:multiLevelType w:val="multilevel"/>
    <w:tmpl w:val="14B4A888"/>
    <w:styleLink w:val="CurrentList11"/>
    <w:lvl w:ilvl="0">
      <w:start w:val="1"/>
      <w:numFmt w:val="decimal"/>
      <w:lvlText w:val="B%1"/>
      <w:lvlJc w:val="left"/>
      <w:pPr>
        <w:ind w:left="360" w:hanging="360"/>
      </w:pPr>
      <w:rPr>
        <w:rFonts w:hint="default"/>
      </w:rPr>
    </w:lvl>
    <w:lvl w:ilvl="1">
      <w:start w:val="1"/>
      <w:numFmt w:val="decimal"/>
      <w:lvlText w:val="B%1.%2"/>
      <w:lvlJc w:val="left"/>
      <w:pPr>
        <w:ind w:left="360" w:hanging="360"/>
      </w:pPr>
      <w:rPr>
        <w:rFonts w:hint="default"/>
      </w:rPr>
    </w:lvl>
    <w:lvl w:ilvl="2">
      <w:start w:val="1"/>
      <w:numFmt w:val="decimal"/>
      <w:lvlText w:val="B%1.%2.%3"/>
      <w:lvlJc w:val="left"/>
      <w:pPr>
        <w:ind w:left="720" w:hanging="720"/>
      </w:pPr>
      <w:rPr>
        <w:rFonts w:hint="default"/>
        <w:sz w:val="21"/>
        <w:szCs w:val="21"/>
      </w:rPr>
    </w:lvl>
    <w:lvl w:ilvl="3">
      <w:start w:val="1"/>
      <w:numFmt w:val="decimal"/>
      <w:lvlText w:val="B%1.%2.%3.%4"/>
      <w:lvlJc w:val="left"/>
      <w:pPr>
        <w:ind w:left="720" w:hanging="720"/>
      </w:pPr>
      <w:rPr>
        <w:rFonts w:hint="default"/>
      </w:rPr>
    </w:lvl>
    <w:lvl w:ilvl="4">
      <w:start w:val="1"/>
      <w:numFmt w:val="decimal"/>
      <w:lvlText w:val="B%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EBB7A9B"/>
    <w:multiLevelType w:val="multilevel"/>
    <w:tmpl w:val="FD1A6F40"/>
    <w:styleLink w:val="CurrentList9"/>
    <w:lvl w:ilvl="0">
      <w:start w:val="1"/>
      <w:numFmt w:val="decimal"/>
      <w:lvlText w:val="B%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144139"/>
    <w:multiLevelType w:val="hybridMultilevel"/>
    <w:tmpl w:val="190437D4"/>
    <w:lvl w:ilvl="0" w:tplc="E1B2157E">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0AC5ED5"/>
    <w:multiLevelType w:val="hybridMultilevel"/>
    <w:tmpl w:val="726E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0EF034F"/>
    <w:multiLevelType w:val="hybridMultilevel"/>
    <w:tmpl w:val="705E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3876F0F"/>
    <w:multiLevelType w:val="hybridMultilevel"/>
    <w:tmpl w:val="A448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4A09F1"/>
    <w:multiLevelType w:val="hybridMultilevel"/>
    <w:tmpl w:val="262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57E6AB3"/>
    <w:multiLevelType w:val="hybridMultilevel"/>
    <w:tmpl w:val="47FC2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5925E06"/>
    <w:multiLevelType w:val="hybridMultilevel"/>
    <w:tmpl w:val="A4D2BF3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65D3CD6"/>
    <w:multiLevelType w:val="hybridMultilevel"/>
    <w:tmpl w:val="19B0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68546A3"/>
    <w:multiLevelType w:val="hybridMultilevel"/>
    <w:tmpl w:val="5E22A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6E94873"/>
    <w:multiLevelType w:val="hybridMultilevel"/>
    <w:tmpl w:val="2AE63E8A"/>
    <w:lvl w:ilvl="0" w:tplc="0C090017">
      <w:start w:val="1"/>
      <w:numFmt w:val="lowerLetter"/>
      <w:lvlText w:val="%1)"/>
      <w:lvlJc w:val="left"/>
      <w:pPr>
        <w:ind w:left="770" w:hanging="360"/>
      </w:pPr>
      <w:rPr>
        <w:rFont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5" w15:restartNumberingAfterBreak="0">
    <w:nsid w:val="67417ACD"/>
    <w:multiLevelType w:val="hybridMultilevel"/>
    <w:tmpl w:val="BB180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8DC1392"/>
    <w:multiLevelType w:val="hybridMultilevel"/>
    <w:tmpl w:val="9262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0B6B5C"/>
    <w:multiLevelType w:val="hybridMultilevel"/>
    <w:tmpl w:val="FCF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AAE546D"/>
    <w:multiLevelType w:val="hybridMultilevel"/>
    <w:tmpl w:val="19926372"/>
    <w:lvl w:ilvl="0" w:tplc="08090001">
      <w:start w:val="1"/>
      <w:numFmt w:val="bullet"/>
      <w:lvlText w:val=""/>
      <w:lvlJc w:val="left"/>
      <w:pPr>
        <w:ind w:left="362" w:hanging="360"/>
      </w:pPr>
      <w:rPr>
        <w:rFonts w:ascii="Symbol" w:hAnsi="Symbol" w:hint="default"/>
      </w:rPr>
    </w:lvl>
    <w:lvl w:ilvl="1" w:tplc="08090003">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129" w15:restartNumberingAfterBreak="0">
    <w:nsid w:val="6AFF73E6"/>
    <w:multiLevelType w:val="hybridMultilevel"/>
    <w:tmpl w:val="3C2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B1A0E3D"/>
    <w:multiLevelType w:val="hybridMultilevel"/>
    <w:tmpl w:val="9B7E95FC"/>
    <w:lvl w:ilvl="0" w:tplc="8962DEF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BB542F0"/>
    <w:multiLevelType w:val="hybridMultilevel"/>
    <w:tmpl w:val="7788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DEE1261"/>
    <w:multiLevelType w:val="hybridMultilevel"/>
    <w:tmpl w:val="924C101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F2E03CD"/>
    <w:multiLevelType w:val="hybridMultilevel"/>
    <w:tmpl w:val="E7567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F6557A5"/>
    <w:multiLevelType w:val="multilevel"/>
    <w:tmpl w:val="F6A23670"/>
    <w:styleLink w:val="CurrentList6"/>
    <w:lvl w:ilvl="0">
      <w:start w:val="1"/>
      <w:numFmt w:val="decimal"/>
      <w:lvlText w:val="C%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1B7942"/>
    <w:multiLevelType w:val="hybridMultilevel"/>
    <w:tmpl w:val="3BE6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14F4125"/>
    <w:multiLevelType w:val="hybridMultilevel"/>
    <w:tmpl w:val="C7C6A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19073D2"/>
    <w:multiLevelType w:val="hybridMultilevel"/>
    <w:tmpl w:val="FE4C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38B69A7"/>
    <w:multiLevelType w:val="hybridMultilevel"/>
    <w:tmpl w:val="FABC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414741E"/>
    <w:multiLevelType w:val="hybridMultilevel"/>
    <w:tmpl w:val="081EC92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54F25F5"/>
    <w:multiLevelType w:val="hybridMultilevel"/>
    <w:tmpl w:val="2C729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5DC54BE"/>
    <w:multiLevelType w:val="hybridMultilevel"/>
    <w:tmpl w:val="6992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5F17163"/>
    <w:multiLevelType w:val="hybridMultilevel"/>
    <w:tmpl w:val="74DEE810"/>
    <w:lvl w:ilvl="0" w:tplc="75DE231A">
      <w:start w:val="1"/>
      <w:numFmt w:val="decimal"/>
      <w:pStyle w:val="Appendix3"/>
      <w:lvlText w:val="A3.%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6974211"/>
    <w:multiLevelType w:val="hybridMultilevel"/>
    <w:tmpl w:val="2D5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10" w:hanging="360"/>
      </w:pPr>
      <w:rPr>
        <w:rFonts w:ascii="Courier New" w:hAnsi="Courier New" w:cs="Courier New" w:hint="default"/>
      </w:rPr>
    </w:lvl>
    <w:lvl w:ilvl="2" w:tplc="08090005" w:tentative="1">
      <w:start w:val="1"/>
      <w:numFmt w:val="bullet"/>
      <w:lvlText w:val=""/>
      <w:lvlJc w:val="left"/>
      <w:pPr>
        <w:ind w:left="1030" w:hanging="360"/>
      </w:pPr>
      <w:rPr>
        <w:rFonts w:ascii="Wingdings" w:hAnsi="Wingdings" w:hint="default"/>
      </w:rPr>
    </w:lvl>
    <w:lvl w:ilvl="3" w:tplc="08090001" w:tentative="1">
      <w:start w:val="1"/>
      <w:numFmt w:val="bullet"/>
      <w:lvlText w:val=""/>
      <w:lvlJc w:val="left"/>
      <w:pPr>
        <w:ind w:left="1750" w:hanging="360"/>
      </w:pPr>
      <w:rPr>
        <w:rFonts w:ascii="Symbol" w:hAnsi="Symbol" w:hint="default"/>
      </w:rPr>
    </w:lvl>
    <w:lvl w:ilvl="4" w:tplc="08090003" w:tentative="1">
      <w:start w:val="1"/>
      <w:numFmt w:val="bullet"/>
      <w:lvlText w:val="o"/>
      <w:lvlJc w:val="left"/>
      <w:pPr>
        <w:ind w:left="2470" w:hanging="360"/>
      </w:pPr>
      <w:rPr>
        <w:rFonts w:ascii="Courier New" w:hAnsi="Courier New" w:cs="Courier New" w:hint="default"/>
      </w:rPr>
    </w:lvl>
    <w:lvl w:ilvl="5" w:tplc="08090005" w:tentative="1">
      <w:start w:val="1"/>
      <w:numFmt w:val="bullet"/>
      <w:lvlText w:val=""/>
      <w:lvlJc w:val="left"/>
      <w:pPr>
        <w:ind w:left="3190" w:hanging="360"/>
      </w:pPr>
      <w:rPr>
        <w:rFonts w:ascii="Wingdings" w:hAnsi="Wingdings" w:hint="default"/>
      </w:rPr>
    </w:lvl>
    <w:lvl w:ilvl="6" w:tplc="08090001" w:tentative="1">
      <w:start w:val="1"/>
      <w:numFmt w:val="bullet"/>
      <w:lvlText w:val=""/>
      <w:lvlJc w:val="left"/>
      <w:pPr>
        <w:ind w:left="3910" w:hanging="360"/>
      </w:pPr>
      <w:rPr>
        <w:rFonts w:ascii="Symbol" w:hAnsi="Symbol" w:hint="default"/>
      </w:rPr>
    </w:lvl>
    <w:lvl w:ilvl="7" w:tplc="08090003" w:tentative="1">
      <w:start w:val="1"/>
      <w:numFmt w:val="bullet"/>
      <w:lvlText w:val="o"/>
      <w:lvlJc w:val="left"/>
      <w:pPr>
        <w:ind w:left="4630" w:hanging="360"/>
      </w:pPr>
      <w:rPr>
        <w:rFonts w:ascii="Courier New" w:hAnsi="Courier New" w:cs="Courier New" w:hint="default"/>
      </w:rPr>
    </w:lvl>
    <w:lvl w:ilvl="8" w:tplc="08090005" w:tentative="1">
      <w:start w:val="1"/>
      <w:numFmt w:val="bullet"/>
      <w:lvlText w:val=""/>
      <w:lvlJc w:val="left"/>
      <w:pPr>
        <w:ind w:left="5350" w:hanging="360"/>
      </w:pPr>
      <w:rPr>
        <w:rFonts w:ascii="Wingdings" w:hAnsi="Wingdings" w:hint="default"/>
      </w:rPr>
    </w:lvl>
  </w:abstractNum>
  <w:abstractNum w:abstractNumId="144" w15:restartNumberingAfterBreak="0">
    <w:nsid w:val="78BD2F59"/>
    <w:multiLevelType w:val="hybridMultilevel"/>
    <w:tmpl w:val="3AEAAE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7AB37576"/>
    <w:multiLevelType w:val="hybridMultilevel"/>
    <w:tmpl w:val="EA346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AEC7C0B"/>
    <w:multiLevelType w:val="hybridMultilevel"/>
    <w:tmpl w:val="AA0E4F1A"/>
    <w:lvl w:ilvl="0" w:tplc="0C090001">
      <w:start w:val="1"/>
      <w:numFmt w:val="bullet"/>
      <w:lvlText w:val=""/>
      <w:lvlJc w:val="left"/>
      <w:pPr>
        <w:ind w:left="720" w:hanging="360"/>
      </w:pPr>
      <w:rPr>
        <w:rFonts w:ascii="Symbol" w:hAnsi="Symbol" w:hint="default"/>
      </w:rPr>
    </w:lvl>
    <w:lvl w:ilvl="1" w:tplc="02D29282">
      <w:numFmt w:val="bullet"/>
      <w:lvlText w:val="•"/>
      <w:lvlJc w:val="left"/>
      <w:pPr>
        <w:ind w:left="1845" w:hanging="765"/>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B5826C9"/>
    <w:multiLevelType w:val="hybridMultilevel"/>
    <w:tmpl w:val="560A1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C0B7542"/>
    <w:multiLevelType w:val="hybridMultilevel"/>
    <w:tmpl w:val="69AE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CBB6BDA"/>
    <w:multiLevelType w:val="hybridMultilevel"/>
    <w:tmpl w:val="9A8A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D2838C3"/>
    <w:multiLevelType w:val="multilevel"/>
    <w:tmpl w:val="302EC11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1" w15:restartNumberingAfterBreak="0">
    <w:nsid w:val="7D767D61"/>
    <w:multiLevelType w:val="hybridMultilevel"/>
    <w:tmpl w:val="1B200CF6"/>
    <w:lvl w:ilvl="0" w:tplc="9E8617E6">
      <w:start w:val="1"/>
      <w:numFmt w:val="lowerRoman"/>
      <w:lvlText w:val="(%1)"/>
      <w:lvlJc w:val="left"/>
      <w:pPr>
        <w:ind w:left="1296" w:hanging="72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2" w15:restartNumberingAfterBreak="0">
    <w:nsid w:val="7E3221DB"/>
    <w:multiLevelType w:val="multilevel"/>
    <w:tmpl w:val="812AB7A0"/>
    <w:lvl w:ilvl="0">
      <w:start w:val="1"/>
      <w:numFmt w:val="decimal"/>
      <w:lvlText w:val="%1."/>
      <w:lvlJc w:val="left"/>
      <w:pPr>
        <w:ind w:left="720" w:hanging="360"/>
      </w:pPr>
    </w:lvl>
    <w:lvl w:ilvl="1">
      <w:start w:val="5"/>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E3E54D4"/>
    <w:multiLevelType w:val="hybridMultilevel"/>
    <w:tmpl w:val="28A24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15:restartNumberingAfterBreak="0">
    <w:nsid w:val="7E58522D"/>
    <w:multiLevelType w:val="hybridMultilevel"/>
    <w:tmpl w:val="80C6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488214">
    <w:abstractNumId w:val="50"/>
  </w:num>
  <w:num w:numId="2" w16cid:durableId="1497186016">
    <w:abstractNumId w:val="22"/>
  </w:num>
  <w:num w:numId="3" w16cid:durableId="2010213365">
    <w:abstractNumId w:val="55"/>
  </w:num>
  <w:num w:numId="4" w16cid:durableId="906838191">
    <w:abstractNumId w:val="14"/>
  </w:num>
  <w:num w:numId="5" w16cid:durableId="546719294">
    <w:abstractNumId w:val="104"/>
  </w:num>
  <w:num w:numId="6" w16cid:durableId="462818339">
    <w:abstractNumId w:val="71"/>
  </w:num>
  <w:num w:numId="7" w16cid:durableId="271940452">
    <w:abstractNumId w:val="145"/>
  </w:num>
  <w:num w:numId="8" w16cid:durableId="1894652375">
    <w:abstractNumId w:val="146"/>
  </w:num>
  <w:num w:numId="9" w16cid:durableId="1270042262">
    <w:abstractNumId w:val="139"/>
  </w:num>
  <w:num w:numId="10" w16cid:durableId="1194072298">
    <w:abstractNumId w:val="92"/>
  </w:num>
  <w:num w:numId="11" w16cid:durableId="2100910010">
    <w:abstractNumId w:val="88"/>
  </w:num>
  <w:num w:numId="12" w16cid:durableId="2052881132">
    <w:abstractNumId w:val="53"/>
  </w:num>
  <w:num w:numId="13" w16cid:durableId="1155414890">
    <w:abstractNumId w:val="56"/>
  </w:num>
  <w:num w:numId="14" w16cid:durableId="1799958211">
    <w:abstractNumId w:val="124"/>
  </w:num>
  <w:num w:numId="15" w16cid:durableId="1348291867">
    <w:abstractNumId w:val="20"/>
  </w:num>
  <w:num w:numId="16" w16cid:durableId="280067323">
    <w:abstractNumId w:val="77"/>
  </w:num>
  <w:num w:numId="17" w16cid:durableId="119107495">
    <w:abstractNumId w:val="106"/>
  </w:num>
  <w:num w:numId="18" w16cid:durableId="568882310">
    <w:abstractNumId w:val="28"/>
  </w:num>
  <w:num w:numId="19" w16cid:durableId="1219324579">
    <w:abstractNumId w:val="152"/>
  </w:num>
  <w:num w:numId="20" w16cid:durableId="1620575178">
    <w:abstractNumId w:val="94"/>
  </w:num>
  <w:num w:numId="21" w16cid:durableId="1280070970">
    <w:abstractNumId w:val="83"/>
  </w:num>
  <w:num w:numId="22" w16cid:durableId="51736337">
    <w:abstractNumId w:val="138"/>
  </w:num>
  <w:num w:numId="23" w16cid:durableId="437257755">
    <w:abstractNumId w:val="123"/>
  </w:num>
  <w:num w:numId="24" w16cid:durableId="1427919857">
    <w:abstractNumId w:val="115"/>
  </w:num>
  <w:num w:numId="25" w16cid:durableId="61370677">
    <w:abstractNumId w:val="121"/>
  </w:num>
  <w:num w:numId="26" w16cid:durableId="753355947">
    <w:abstractNumId w:val="98"/>
  </w:num>
  <w:num w:numId="27" w16cid:durableId="465857593">
    <w:abstractNumId w:val="16"/>
  </w:num>
  <w:num w:numId="28" w16cid:durableId="34156388">
    <w:abstractNumId w:val="130"/>
  </w:num>
  <w:num w:numId="29" w16cid:durableId="1574122393">
    <w:abstractNumId w:val="101"/>
  </w:num>
  <w:num w:numId="30" w16cid:durableId="1674915746">
    <w:abstractNumId w:val="131"/>
  </w:num>
  <w:num w:numId="31" w16cid:durableId="219754486">
    <w:abstractNumId w:val="79"/>
  </w:num>
  <w:num w:numId="32" w16cid:durableId="1492796646">
    <w:abstractNumId w:val="128"/>
  </w:num>
  <w:num w:numId="33" w16cid:durableId="177548422">
    <w:abstractNumId w:val="38"/>
  </w:num>
  <w:num w:numId="34" w16cid:durableId="122581799">
    <w:abstractNumId w:val="82"/>
  </w:num>
  <w:num w:numId="35" w16cid:durableId="604506376">
    <w:abstractNumId w:val="87"/>
  </w:num>
  <w:num w:numId="36" w16cid:durableId="322398731">
    <w:abstractNumId w:val="136"/>
  </w:num>
  <w:num w:numId="37" w16cid:durableId="58133381">
    <w:abstractNumId w:val="40"/>
  </w:num>
  <w:num w:numId="38" w16cid:durableId="1495100799">
    <w:abstractNumId w:val="96"/>
  </w:num>
  <w:num w:numId="39" w16cid:durableId="1806002604">
    <w:abstractNumId w:val="32"/>
  </w:num>
  <w:num w:numId="40" w16cid:durableId="270013477">
    <w:abstractNumId w:val="100"/>
  </w:num>
  <w:num w:numId="41" w16cid:durableId="1047535975">
    <w:abstractNumId w:val="112"/>
  </w:num>
  <w:num w:numId="42" w16cid:durableId="1506553242">
    <w:abstractNumId w:val="42"/>
  </w:num>
  <w:num w:numId="43" w16cid:durableId="1536892713">
    <w:abstractNumId w:val="80"/>
  </w:num>
  <w:num w:numId="44" w16cid:durableId="234097963">
    <w:abstractNumId w:val="142"/>
  </w:num>
  <w:num w:numId="45" w16cid:durableId="940841782">
    <w:abstractNumId w:val="68"/>
  </w:num>
  <w:num w:numId="46" w16cid:durableId="1860510120">
    <w:abstractNumId w:val="58"/>
  </w:num>
  <w:num w:numId="47" w16cid:durableId="437525628">
    <w:abstractNumId w:val="129"/>
  </w:num>
  <w:num w:numId="48" w16cid:durableId="799616740">
    <w:abstractNumId w:val="64"/>
  </w:num>
  <w:num w:numId="49" w16cid:durableId="1213662570">
    <w:abstractNumId w:val="33"/>
  </w:num>
  <w:num w:numId="50" w16cid:durableId="552011993">
    <w:abstractNumId w:val="11"/>
  </w:num>
  <w:num w:numId="51" w16cid:durableId="120266974">
    <w:abstractNumId w:val="150"/>
  </w:num>
  <w:num w:numId="52" w16cid:durableId="1070539193">
    <w:abstractNumId w:val="29"/>
  </w:num>
  <w:num w:numId="53" w16cid:durableId="1315455131">
    <w:abstractNumId w:val="117"/>
  </w:num>
  <w:num w:numId="54" w16cid:durableId="15346823">
    <w:abstractNumId w:val="103"/>
  </w:num>
  <w:num w:numId="55" w16cid:durableId="675040438">
    <w:abstractNumId w:val="17"/>
  </w:num>
  <w:num w:numId="56" w16cid:durableId="1471288708">
    <w:abstractNumId w:val="151"/>
  </w:num>
  <w:num w:numId="57" w16cid:durableId="908421236">
    <w:abstractNumId w:val="135"/>
  </w:num>
  <w:num w:numId="58" w16cid:durableId="2101217528">
    <w:abstractNumId w:val="45"/>
  </w:num>
  <w:num w:numId="59" w16cid:durableId="675152404">
    <w:abstractNumId w:val="65"/>
  </w:num>
  <w:num w:numId="60" w16cid:durableId="1200388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81350356">
    <w:abstractNumId w:val="18"/>
  </w:num>
  <w:num w:numId="62" w16cid:durableId="1449812721">
    <w:abstractNumId w:val="62"/>
  </w:num>
  <w:num w:numId="63" w16cid:durableId="1180007881">
    <w:abstractNumId w:val="134"/>
  </w:num>
  <w:num w:numId="64" w16cid:durableId="1818718393">
    <w:abstractNumId w:val="93"/>
  </w:num>
  <w:num w:numId="65" w16cid:durableId="648440704">
    <w:abstractNumId w:val="31"/>
  </w:num>
  <w:num w:numId="66" w16cid:durableId="1319964052">
    <w:abstractNumId w:val="114"/>
  </w:num>
  <w:num w:numId="67" w16cid:durableId="2027752243">
    <w:abstractNumId w:val="84"/>
  </w:num>
  <w:num w:numId="68" w16cid:durableId="1342202845">
    <w:abstractNumId w:val="113"/>
  </w:num>
  <w:num w:numId="69" w16cid:durableId="783883784">
    <w:abstractNumId w:val="67"/>
  </w:num>
  <w:num w:numId="70" w16cid:durableId="40787771">
    <w:abstractNumId w:val="19"/>
  </w:num>
  <w:num w:numId="71" w16cid:durableId="1344169821">
    <w:abstractNumId w:val="116"/>
  </w:num>
  <w:num w:numId="72" w16cid:durableId="1231967591">
    <w:abstractNumId w:val="154"/>
  </w:num>
  <w:num w:numId="73" w16cid:durableId="1500385266">
    <w:abstractNumId w:val="57"/>
  </w:num>
  <w:num w:numId="74" w16cid:durableId="368534005">
    <w:abstractNumId w:val="26"/>
  </w:num>
  <w:num w:numId="75" w16cid:durableId="243690876">
    <w:abstractNumId w:val="102"/>
  </w:num>
  <w:num w:numId="76" w16cid:durableId="428740135">
    <w:abstractNumId w:val="63"/>
  </w:num>
  <w:num w:numId="77" w16cid:durableId="1887451586">
    <w:abstractNumId w:val="148"/>
  </w:num>
  <w:num w:numId="78" w16cid:durableId="2010130628">
    <w:abstractNumId w:val="108"/>
  </w:num>
  <w:num w:numId="79" w16cid:durableId="114297580">
    <w:abstractNumId w:val="118"/>
  </w:num>
  <w:num w:numId="80" w16cid:durableId="774523094">
    <w:abstractNumId w:val="85"/>
  </w:num>
  <w:num w:numId="81" w16cid:durableId="123039443">
    <w:abstractNumId w:val="137"/>
  </w:num>
  <w:num w:numId="82" w16cid:durableId="992490285">
    <w:abstractNumId w:val="141"/>
  </w:num>
  <w:num w:numId="83" w16cid:durableId="482426022">
    <w:abstractNumId w:val="99"/>
  </w:num>
  <w:num w:numId="84" w16cid:durableId="661473306">
    <w:abstractNumId w:val="109"/>
  </w:num>
  <w:num w:numId="85" w16cid:durableId="814421052">
    <w:abstractNumId w:val="44"/>
  </w:num>
  <w:num w:numId="86" w16cid:durableId="559176025">
    <w:abstractNumId w:val="48"/>
  </w:num>
  <w:num w:numId="87" w16cid:durableId="970553251">
    <w:abstractNumId w:val="69"/>
  </w:num>
  <w:num w:numId="88" w16cid:durableId="996497783">
    <w:abstractNumId w:val="127"/>
  </w:num>
  <w:num w:numId="89" w16cid:durableId="428240957">
    <w:abstractNumId w:val="86"/>
  </w:num>
  <w:num w:numId="90" w16cid:durableId="767694574">
    <w:abstractNumId w:val="107"/>
  </w:num>
  <w:num w:numId="91" w16cid:durableId="1373455916">
    <w:abstractNumId w:val="66"/>
  </w:num>
  <w:num w:numId="92" w16cid:durableId="1071542193">
    <w:abstractNumId w:val="89"/>
  </w:num>
  <w:num w:numId="93" w16cid:durableId="256327995">
    <w:abstractNumId w:val="70"/>
  </w:num>
  <w:num w:numId="94" w16cid:durableId="258177180">
    <w:abstractNumId w:val="54"/>
  </w:num>
  <w:num w:numId="95" w16cid:durableId="619532303">
    <w:abstractNumId w:val="90"/>
  </w:num>
  <w:num w:numId="96" w16cid:durableId="1828007732">
    <w:abstractNumId w:val="21"/>
  </w:num>
  <w:num w:numId="97" w16cid:durableId="300576314">
    <w:abstractNumId w:val="30"/>
  </w:num>
  <w:num w:numId="98" w16cid:durableId="179783982">
    <w:abstractNumId w:val="111"/>
  </w:num>
  <w:num w:numId="99" w16cid:durableId="1435174052">
    <w:abstractNumId w:val="110"/>
  </w:num>
  <w:num w:numId="100" w16cid:durableId="1358002937">
    <w:abstractNumId w:val="76"/>
  </w:num>
  <w:num w:numId="101" w16cid:durableId="2008291017">
    <w:abstractNumId w:val="78"/>
  </w:num>
  <w:num w:numId="102" w16cid:durableId="1353653154">
    <w:abstractNumId w:val="91"/>
  </w:num>
  <w:num w:numId="103" w16cid:durableId="1929925935">
    <w:abstractNumId w:val="15"/>
  </w:num>
  <w:num w:numId="104" w16cid:durableId="1543202985">
    <w:abstractNumId w:val="49"/>
  </w:num>
  <w:num w:numId="105" w16cid:durableId="1759862048">
    <w:abstractNumId w:val="34"/>
  </w:num>
  <w:num w:numId="106" w16cid:durableId="394281487">
    <w:abstractNumId w:val="24"/>
  </w:num>
  <w:num w:numId="107" w16cid:durableId="1933052011">
    <w:abstractNumId w:val="73"/>
  </w:num>
  <w:num w:numId="108" w16cid:durableId="493841987">
    <w:abstractNumId w:val="105"/>
  </w:num>
  <w:num w:numId="109" w16cid:durableId="1480418757">
    <w:abstractNumId w:val="143"/>
  </w:num>
  <w:num w:numId="110" w16cid:durableId="1204755252">
    <w:abstractNumId w:val="36"/>
  </w:num>
  <w:num w:numId="111" w16cid:durableId="591160260">
    <w:abstractNumId w:val="25"/>
  </w:num>
  <w:num w:numId="112" w16cid:durableId="1439988387">
    <w:abstractNumId w:val="59"/>
  </w:num>
  <w:num w:numId="113" w16cid:durableId="211042512">
    <w:abstractNumId w:val="27"/>
  </w:num>
  <w:num w:numId="114" w16cid:durableId="612131859">
    <w:abstractNumId w:val="147"/>
  </w:num>
  <w:num w:numId="115" w16cid:durableId="362905240">
    <w:abstractNumId w:val="41"/>
  </w:num>
  <w:num w:numId="116" w16cid:durableId="28116041">
    <w:abstractNumId w:val="97"/>
  </w:num>
  <w:num w:numId="117" w16cid:durableId="972516487">
    <w:abstractNumId w:val="60"/>
  </w:num>
  <w:num w:numId="118" w16cid:durableId="1819495712">
    <w:abstractNumId w:val="12"/>
  </w:num>
  <w:num w:numId="119" w16cid:durableId="191920736">
    <w:abstractNumId w:val="153"/>
  </w:num>
  <w:num w:numId="120" w16cid:durableId="741828915">
    <w:abstractNumId w:val="0"/>
  </w:num>
  <w:num w:numId="121" w16cid:durableId="1744839987">
    <w:abstractNumId w:val="52"/>
  </w:num>
  <w:num w:numId="122" w16cid:durableId="1567566583">
    <w:abstractNumId w:val="46"/>
  </w:num>
  <w:num w:numId="123" w16cid:durableId="473253394">
    <w:abstractNumId w:val="13"/>
  </w:num>
  <w:num w:numId="124" w16cid:durableId="3751301">
    <w:abstractNumId w:val="120"/>
  </w:num>
  <w:num w:numId="125" w16cid:durableId="749304013">
    <w:abstractNumId w:val="140"/>
  </w:num>
  <w:num w:numId="126" w16cid:durableId="1275752265">
    <w:abstractNumId w:val="122"/>
  </w:num>
  <w:num w:numId="127" w16cid:durableId="426468056">
    <w:abstractNumId w:val="144"/>
  </w:num>
  <w:num w:numId="128" w16cid:durableId="1579092467">
    <w:abstractNumId w:val="35"/>
  </w:num>
  <w:num w:numId="129" w16cid:durableId="1003698980">
    <w:abstractNumId w:val="132"/>
  </w:num>
  <w:num w:numId="130" w16cid:durableId="150758536">
    <w:abstractNumId w:val="126"/>
  </w:num>
  <w:num w:numId="131" w16cid:durableId="767431926">
    <w:abstractNumId w:val="39"/>
  </w:num>
  <w:num w:numId="132" w16cid:durableId="1096290689">
    <w:abstractNumId w:val="47"/>
  </w:num>
  <w:num w:numId="133" w16cid:durableId="1084843330">
    <w:abstractNumId w:val="133"/>
  </w:num>
  <w:num w:numId="134" w16cid:durableId="246623647">
    <w:abstractNumId w:val="51"/>
  </w:num>
  <w:num w:numId="135" w16cid:durableId="2112435903">
    <w:abstractNumId w:val="43"/>
  </w:num>
  <w:num w:numId="136" w16cid:durableId="2108186377">
    <w:abstractNumId w:val="149"/>
  </w:num>
  <w:num w:numId="137" w16cid:durableId="780220250">
    <w:abstractNumId w:val="37"/>
  </w:num>
  <w:num w:numId="138" w16cid:durableId="290552207">
    <w:abstractNumId w:val="72"/>
  </w:num>
  <w:num w:numId="139" w16cid:durableId="1871911597">
    <w:abstractNumId w:val="23"/>
  </w:num>
  <w:num w:numId="140" w16cid:durableId="157698231">
    <w:abstractNumId w:val="95"/>
  </w:num>
  <w:num w:numId="141" w16cid:durableId="1301611568">
    <w:abstractNumId w:val="125"/>
  </w:num>
  <w:num w:numId="142" w16cid:durableId="1911454813">
    <w:abstractNumId w:val="75"/>
  </w:num>
  <w:num w:numId="143" w16cid:durableId="17902006">
    <w:abstractNumId w:val="81"/>
  </w:num>
  <w:num w:numId="144" w16cid:durableId="1297296332">
    <w:abstractNumId w:val="61"/>
  </w:num>
  <w:num w:numId="145" w16cid:durableId="929005110">
    <w:abstractNumId w:val="74"/>
  </w:num>
  <w:num w:numId="146" w16cid:durableId="1301492739">
    <w:abstractNumId w:val="119"/>
  </w:num>
  <w:num w:numId="147" w16cid:durableId="1029333264">
    <w:abstractNumId w:val="10"/>
  </w:num>
  <w:num w:numId="148" w16cid:durableId="1820341306">
    <w:abstractNumId w:val="8"/>
  </w:num>
  <w:num w:numId="149" w16cid:durableId="572400743">
    <w:abstractNumId w:val="7"/>
  </w:num>
  <w:num w:numId="150" w16cid:durableId="337315760">
    <w:abstractNumId w:val="6"/>
  </w:num>
  <w:num w:numId="151" w16cid:durableId="1066076224">
    <w:abstractNumId w:val="5"/>
  </w:num>
  <w:num w:numId="152" w16cid:durableId="1455631862">
    <w:abstractNumId w:val="9"/>
  </w:num>
  <w:num w:numId="153" w16cid:durableId="1194996758">
    <w:abstractNumId w:val="4"/>
  </w:num>
  <w:num w:numId="154" w16cid:durableId="105849693">
    <w:abstractNumId w:val="3"/>
  </w:num>
  <w:num w:numId="155" w16cid:durableId="554317833">
    <w:abstractNumId w:val="2"/>
  </w:num>
  <w:num w:numId="156" w16cid:durableId="677924645">
    <w:abstractNumId w:val="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BA"/>
    <w:rsid w:val="00014DBB"/>
    <w:rsid w:val="00016D36"/>
    <w:rsid w:val="000208BF"/>
    <w:rsid w:val="00026A83"/>
    <w:rsid w:val="00032CCE"/>
    <w:rsid w:val="00035CF7"/>
    <w:rsid w:val="00040851"/>
    <w:rsid w:val="00041914"/>
    <w:rsid w:val="00041D69"/>
    <w:rsid w:val="0004484E"/>
    <w:rsid w:val="00055771"/>
    <w:rsid w:val="000564C9"/>
    <w:rsid w:val="00061583"/>
    <w:rsid w:val="00063C6D"/>
    <w:rsid w:val="00064D0B"/>
    <w:rsid w:val="00065A72"/>
    <w:rsid w:val="00065EBF"/>
    <w:rsid w:val="00066541"/>
    <w:rsid w:val="0006699D"/>
    <w:rsid w:val="00067302"/>
    <w:rsid w:val="00070E0E"/>
    <w:rsid w:val="000770FF"/>
    <w:rsid w:val="00080A0A"/>
    <w:rsid w:val="00083CC3"/>
    <w:rsid w:val="0009060B"/>
    <w:rsid w:val="00096A48"/>
    <w:rsid w:val="000A224F"/>
    <w:rsid w:val="000A471B"/>
    <w:rsid w:val="000A4F63"/>
    <w:rsid w:val="000B1196"/>
    <w:rsid w:val="000B298E"/>
    <w:rsid w:val="000B4C0B"/>
    <w:rsid w:val="000B7242"/>
    <w:rsid w:val="000C15D6"/>
    <w:rsid w:val="000C52F2"/>
    <w:rsid w:val="000D0BF8"/>
    <w:rsid w:val="000D1A37"/>
    <w:rsid w:val="000E3990"/>
    <w:rsid w:val="000E6063"/>
    <w:rsid w:val="000E6095"/>
    <w:rsid w:val="000F37EC"/>
    <w:rsid w:val="00104CCC"/>
    <w:rsid w:val="00104F68"/>
    <w:rsid w:val="0011183A"/>
    <w:rsid w:val="00115936"/>
    <w:rsid w:val="0013552D"/>
    <w:rsid w:val="00143DB5"/>
    <w:rsid w:val="0014540C"/>
    <w:rsid w:val="001466E0"/>
    <w:rsid w:val="00155F59"/>
    <w:rsid w:val="00165C67"/>
    <w:rsid w:val="00166004"/>
    <w:rsid w:val="00174C70"/>
    <w:rsid w:val="00175357"/>
    <w:rsid w:val="00176412"/>
    <w:rsid w:val="0018287A"/>
    <w:rsid w:val="00182DE8"/>
    <w:rsid w:val="00182E15"/>
    <w:rsid w:val="00187452"/>
    <w:rsid w:val="001B4CE3"/>
    <w:rsid w:val="001C01C6"/>
    <w:rsid w:val="001C292C"/>
    <w:rsid w:val="001C2CB0"/>
    <w:rsid w:val="001E2957"/>
    <w:rsid w:val="001F31BD"/>
    <w:rsid w:val="001F7E00"/>
    <w:rsid w:val="0020466F"/>
    <w:rsid w:val="0021027F"/>
    <w:rsid w:val="0021153D"/>
    <w:rsid w:val="002147CB"/>
    <w:rsid w:val="00223330"/>
    <w:rsid w:val="0022460B"/>
    <w:rsid w:val="002405A6"/>
    <w:rsid w:val="002438C2"/>
    <w:rsid w:val="00252C48"/>
    <w:rsid w:val="0025600E"/>
    <w:rsid w:val="00263F25"/>
    <w:rsid w:val="00265F83"/>
    <w:rsid w:val="00271073"/>
    <w:rsid w:val="002773C9"/>
    <w:rsid w:val="0028232A"/>
    <w:rsid w:val="0029778B"/>
    <w:rsid w:val="002A0795"/>
    <w:rsid w:val="002B0ADC"/>
    <w:rsid w:val="002B5DD4"/>
    <w:rsid w:val="002C2D22"/>
    <w:rsid w:val="002D2AE5"/>
    <w:rsid w:val="002D54C3"/>
    <w:rsid w:val="002E1686"/>
    <w:rsid w:val="002E55B2"/>
    <w:rsid w:val="002F14F9"/>
    <w:rsid w:val="002F7283"/>
    <w:rsid w:val="00300799"/>
    <w:rsid w:val="00300B74"/>
    <w:rsid w:val="003022ED"/>
    <w:rsid w:val="00307A30"/>
    <w:rsid w:val="003102CA"/>
    <w:rsid w:val="00310669"/>
    <w:rsid w:val="00314E06"/>
    <w:rsid w:val="003267AB"/>
    <w:rsid w:val="00331FC8"/>
    <w:rsid w:val="003358DC"/>
    <w:rsid w:val="003365E5"/>
    <w:rsid w:val="00337A58"/>
    <w:rsid w:val="00340EDB"/>
    <w:rsid w:val="003443CE"/>
    <w:rsid w:val="00350D88"/>
    <w:rsid w:val="0035413C"/>
    <w:rsid w:val="00356EA7"/>
    <w:rsid w:val="00357741"/>
    <w:rsid w:val="003645D7"/>
    <w:rsid w:val="00370420"/>
    <w:rsid w:val="00377379"/>
    <w:rsid w:val="00382A41"/>
    <w:rsid w:val="00382CEE"/>
    <w:rsid w:val="0038546A"/>
    <w:rsid w:val="0039080B"/>
    <w:rsid w:val="0039113C"/>
    <w:rsid w:val="00396452"/>
    <w:rsid w:val="003A43AE"/>
    <w:rsid w:val="003A6151"/>
    <w:rsid w:val="003B2D6F"/>
    <w:rsid w:val="003B3659"/>
    <w:rsid w:val="003B6DEC"/>
    <w:rsid w:val="003B769D"/>
    <w:rsid w:val="003C073A"/>
    <w:rsid w:val="003C386A"/>
    <w:rsid w:val="003D03F9"/>
    <w:rsid w:val="003D3592"/>
    <w:rsid w:val="003F20F2"/>
    <w:rsid w:val="003F7DBB"/>
    <w:rsid w:val="00402B46"/>
    <w:rsid w:val="00405F10"/>
    <w:rsid w:val="00412EFF"/>
    <w:rsid w:val="00443EAC"/>
    <w:rsid w:val="004476FF"/>
    <w:rsid w:val="004501A5"/>
    <w:rsid w:val="00453E30"/>
    <w:rsid w:val="00456907"/>
    <w:rsid w:val="0045712D"/>
    <w:rsid w:val="00457B32"/>
    <w:rsid w:val="0046446A"/>
    <w:rsid w:val="00464AAA"/>
    <w:rsid w:val="004660BE"/>
    <w:rsid w:val="0046685A"/>
    <w:rsid w:val="00471664"/>
    <w:rsid w:val="00473AD6"/>
    <w:rsid w:val="004770AA"/>
    <w:rsid w:val="0048311B"/>
    <w:rsid w:val="00485565"/>
    <w:rsid w:val="0049618B"/>
    <w:rsid w:val="004A07F5"/>
    <w:rsid w:val="004B4D9D"/>
    <w:rsid w:val="004B64BA"/>
    <w:rsid w:val="004B7B73"/>
    <w:rsid w:val="004B7E7F"/>
    <w:rsid w:val="004E0EB3"/>
    <w:rsid w:val="004E5710"/>
    <w:rsid w:val="004F318F"/>
    <w:rsid w:val="004F6490"/>
    <w:rsid w:val="004F79CF"/>
    <w:rsid w:val="00506E4C"/>
    <w:rsid w:val="00507314"/>
    <w:rsid w:val="005124AF"/>
    <w:rsid w:val="00513896"/>
    <w:rsid w:val="00520A86"/>
    <w:rsid w:val="005301D2"/>
    <w:rsid w:val="005359C1"/>
    <w:rsid w:val="00535A1B"/>
    <w:rsid w:val="005407B3"/>
    <w:rsid w:val="00543D24"/>
    <w:rsid w:val="00545986"/>
    <w:rsid w:val="005525CE"/>
    <w:rsid w:val="00566E25"/>
    <w:rsid w:val="00591409"/>
    <w:rsid w:val="00592BF6"/>
    <w:rsid w:val="0059604E"/>
    <w:rsid w:val="00596C68"/>
    <w:rsid w:val="005A6A79"/>
    <w:rsid w:val="005A6F56"/>
    <w:rsid w:val="005B3CF3"/>
    <w:rsid w:val="005B60A9"/>
    <w:rsid w:val="005C1F30"/>
    <w:rsid w:val="005C22A7"/>
    <w:rsid w:val="005C66C9"/>
    <w:rsid w:val="005D2F42"/>
    <w:rsid w:val="005D3090"/>
    <w:rsid w:val="005E037B"/>
    <w:rsid w:val="005E4E90"/>
    <w:rsid w:val="005E74F2"/>
    <w:rsid w:val="005E7D81"/>
    <w:rsid w:val="005F74B1"/>
    <w:rsid w:val="005F7698"/>
    <w:rsid w:val="00612097"/>
    <w:rsid w:val="00612AB9"/>
    <w:rsid w:val="0061545F"/>
    <w:rsid w:val="00630779"/>
    <w:rsid w:val="006329CB"/>
    <w:rsid w:val="00634D9F"/>
    <w:rsid w:val="00635142"/>
    <w:rsid w:val="00635C7D"/>
    <w:rsid w:val="006421B1"/>
    <w:rsid w:val="00654FE7"/>
    <w:rsid w:val="00655CF6"/>
    <w:rsid w:val="00655DE8"/>
    <w:rsid w:val="006720E4"/>
    <w:rsid w:val="0067400C"/>
    <w:rsid w:val="0067433B"/>
    <w:rsid w:val="006806F7"/>
    <w:rsid w:val="00681D24"/>
    <w:rsid w:val="006824A7"/>
    <w:rsid w:val="00692B2F"/>
    <w:rsid w:val="006A63AF"/>
    <w:rsid w:val="006C6EBA"/>
    <w:rsid w:val="006D04A8"/>
    <w:rsid w:val="006E7CDD"/>
    <w:rsid w:val="00704915"/>
    <w:rsid w:val="007075E2"/>
    <w:rsid w:val="0071134A"/>
    <w:rsid w:val="007162C3"/>
    <w:rsid w:val="00721BFD"/>
    <w:rsid w:val="0072335F"/>
    <w:rsid w:val="007267E6"/>
    <w:rsid w:val="007336D0"/>
    <w:rsid w:val="00736D4A"/>
    <w:rsid w:val="00740C16"/>
    <w:rsid w:val="0075105C"/>
    <w:rsid w:val="00751666"/>
    <w:rsid w:val="007538E7"/>
    <w:rsid w:val="00757378"/>
    <w:rsid w:val="00775425"/>
    <w:rsid w:val="00777001"/>
    <w:rsid w:val="007771B2"/>
    <w:rsid w:val="007835A6"/>
    <w:rsid w:val="0078520A"/>
    <w:rsid w:val="00787BDB"/>
    <w:rsid w:val="007A0000"/>
    <w:rsid w:val="007C37DB"/>
    <w:rsid w:val="007C5159"/>
    <w:rsid w:val="007C61D8"/>
    <w:rsid w:val="007D1AC8"/>
    <w:rsid w:val="007D4839"/>
    <w:rsid w:val="007E780A"/>
    <w:rsid w:val="007F2040"/>
    <w:rsid w:val="007F2AEA"/>
    <w:rsid w:val="007F50FE"/>
    <w:rsid w:val="008006E5"/>
    <w:rsid w:val="008014E5"/>
    <w:rsid w:val="0080466C"/>
    <w:rsid w:val="0081350D"/>
    <w:rsid w:val="00815B2C"/>
    <w:rsid w:val="00823A54"/>
    <w:rsid w:val="0082708A"/>
    <w:rsid w:val="00830737"/>
    <w:rsid w:val="0083113C"/>
    <w:rsid w:val="00837D83"/>
    <w:rsid w:val="008528BE"/>
    <w:rsid w:val="00853FC4"/>
    <w:rsid w:val="008636E7"/>
    <w:rsid w:val="00863834"/>
    <w:rsid w:val="008674C3"/>
    <w:rsid w:val="00876237"/>
    <w:rsid w:val="00877B9E"/>
    <w:rsid w:val="00887A80"/>
    <w:rsid w:val="008955F7"/>
    <w:rsid w:val="00896317"/>
    <w:rsid w:val="008A780B"/>
    <w:rsid w:val="008B53B2"/>
    <w:rsid w:val="008C34FF"/>
    <w:rsid w:val="008C5B03"/>
    <w:rsid w:val="008C7C66"/>
    <w:rsid w:val="008D6A39"/>
    <w:rsid w:val="008E68F6"/>
    <w:rsid w:val="008F091C"/>
    <w:rsid w:val="008F1413"/>
    <w:rsid w:val="00900A02"/>
    <w:rsid w:val="00907CC4"/>
    <w:rsid w:val="00912213"/>
    <w:rsid w:val="00923813"/>
    <w:rsid w:val="00926595"/>
    <w:rsid w:val="00931285"/>
    <w:rsid w:val="00931F2E"/>
    <w:rsid w:val="00941129"/>
    <w:rsid w:val="0094629F"/>
    <w:rsid w:val="00947FB9"/>
    <w:rsid w:val="0096764A"/>
    <w:rsid w:val="009727F1"/>
    <w:rsid w:val="009760C2"/>
    <w:rsid w:val="009875F7"/>
    <w:rsid w:val="009955D2"/>
    <w:rsid w:val="00996C87"/>
    <w:rsid w:val="009B2393"/>
    <w:rsid w:val="009B495F"/>
    <w:rsid w:val="009B6E1E"/>
    <w:rsid w:val="009C2EF0"/>
    <w:rsid w:val="009D06B8"/>
    <w:rsid w:val="009D78C6"/>
    <w:rsid w:val="009D7B81"/>
    <w:rsid w:val="009F6A61"/>
    <w:rsid w:val="00A00585"/>
    <w:rsid w:val="00A041ED"/>
    <w:rsid w:val="00A121EF"/>
    <w:rsid w:val="00A14384"/>
    <w:rsid w:val="00A14FBB"/>
    <w:rsid w:val="00A15F8A"/>
    <w:rsid w:val="00A16824"/>
    <w:rsid w:val="00A17809"/>
    <w:rsid w:val="00A20A23"/>
    <w:rsid w:val="00A34343"/>
    <w:rsid w:val="00A5062A"/>
    <w:rsid w:val="00A648AC"/>
    <w:rsid w:val="00A7559D"/>
    <w:rsid w:val="00A800B4"/>
    <w:rsid w:val="00A83E9D"/>
    <w:rsid w:val="00A8522F"/>
    <w:rsid w:val="00A87539"/>
    <w:rsid w:val="00A9174C"/>
    <w:rsid w:val="00A963CF"/>
    <w:rsid w:val="00AC0339"/>
    <w:rsid w:val="00AE024A"/>
    <w:rsid w:val="00AE2C16"/>
    <w:rsid w:val="00AE5FB1"/>
    <w:rsid w:val="00AF4CC3"/>
    <w:rsid w:val="00B1753F"/>
    <w:rsid w:val="00B17D3F"/>
    <w:rsid w:val="00B22196"/>
    <w:rsid w:val="00B275A5"/>
    <w:rsid w:val="00B278BF"/>
    <w:rsid w:val="00B327D8"/>
    <w:rsid w:val="00B343A8"/>
    <w:rsid w:val="00B36999"/>
    <w:rsid w:val="00B40543"/>
    <w:rsid w:val="00B4664F"/>
    <w:rsid w:val="00B46BCD"/>
    <w:rsid w:val="00B54540"/>
    <w:rsid w:val="00B63F7B"/>
    <w:rsid w:val="00B6722A"/>
    <w:rsid w:val="00B80BCE"/>
    <w:rsid w:val="00B81031"/>
    <w:rsid w:val="00B81EF1"/>
    <w:rsid w:val="00B92079"/>
    <w:rsid w:val="00B961B5"/>
    <w:rsid w:val="00B97E98"/>
    <w:rsid w:val="00BA02A2"/>
    <w:rsid w:val="00BA3D76"/>
    <w:rsid w:val="00BB3616"/>
    <w:rsid w:val="00BC2670"/>
    <w:rsid w:val="00BC3230"/>
    <w:rsid w:val="00BC449E"/>
    <w:rsid w:val="00BD639B"/>
    <w:rsid w:val="00BD74BE"/>
    <w:rsid w:val="00BE0E74"/>
    <w:rsid w:val="00BF3C95"/>
    <w:rsid w:val="00C07056"/>
    <w:rsid w:val="00C10FEF"/>
    <w:rsid w:val="00C12F71"/>
    <w:rsid w:val="00C152F8"/>
    <w:rsid w:val="00C34225"/>
    <w:rsid w:val="00C35FED"/>
    <w:rsid w:val="00C3783C"/>
    <w:rsid w:val="00C44FAA"/>
    <w:rsid w:val="00C564EF"/>
    <w:rsid w:val="00C676DE"/>
    <w:rsid w:val="00C714ED"/>
    <w:rsid w:val="00C7415C"/>
    <w:rsid w:val="00C816AE"/>
    <w:rsid w:val="00C86C0B"/>
    <w:rsid w:val="00CA7B13"/>
    <w:rsid w:val="00CA7E36"/>
    <w:rsid w:val="00CB38A6"/>
    <w:rsid w:val="00CB5556"/>
    <w:rsid w:val="00CB6A46"/>
    <w:rsid w:val="00CC1107"/>
    <w:rsid w:val="00CC1B27"/>
    <w:rsid w:val="00CC3B28"/>
    <w:rsid w:val="00CC606C"/>
    <w:rsid w:val="00CD249E"/>
    <w:rsid w:val="00CE2517"/>
    <w:rsid w:val="00CF027A"/>
    <w:rsid w:val="00CF0ED4"/>
    <w:rsid w:val="00CF420B"/>
    <w:rsid w:val="00D03456"/>
    <w:rsid w:val="00D11BFA"/>
    <w:rsid w:val="00D1290B"/>
    <w:rsid w:val="00D13047"/>
    <w:rsid w:val="00D3167E"/>
    <w:rsid w:val="00D43C95"/>
    <w:rsid w:val="00D445BE"/>
    <w:rsid w:val="00D4464F"/>
    <w:rsid w:val="00D47A54"/>
    <w:rsid w:val="00D55DE3"/>
    <w:rsid w:val="00D6613B"/>
    <w:rsid w:val="00D6787C"/>
    <w:rsid w:val="00D81546"/>
    <w:rsid w:val="00D828B7"/>
    <w:rsid w:val="00D82BAD"/>
    <w:rsid w:val="00D84BE9"/>
    <w:rsid w:val="00DA7082"/>
    <w:rsid w:val="00DB7C0B"/>
    <w:rsid w:val="00DC0F44"/>
    <w:rsid w:val="00DC1EF4"/>
    <w:rsid w:val="00DC6F9A"/>
    <w:rsid w:val="00DC7D46"/>
    <w:rsid w:val="00DD1AC2"/>
    <w:rsid w:val="00DD6348"/>
    <w:rsid w:val="00DD767A"/>
    <w:rsid w:val="00DE1149"/>
    <w:rsid w:val="00DF3C6F"/>
    <w:rsid w:val="00E018FA"/>
    <w:rsid w:val="00E11737"/>
    <w:rsid w:val="00E11A01"/>
    <w:rsid w:val="00E12EC0"/>
    <w:rsid w:val="00E26DB4"/>
    <w:rsid w:val="00E31FF3"/>
    <w:rsid w:val="00E44487"/>
    <w:rsid w:val="00E47AA5"/>
    <w:rsid w:val="00E53A13"/>
    <w:rsid w:val="00E57922"/>
    <w:rsid w:val="00E62858"/>
    <w:rsid w:val="00E70D68"/>
    <w:rsid w:val="00E7541E"/>
    <w:rsid w:val="00E776F3"/>
    <w:rsid w:val="00E82E62"/>
    <w:rsid w:val="00E92485"/>
    <w:rsid w:val="00E93EFC"/>
    <w:rsid w:val="00EA11BB"/>
    <w:rsid w:val="00EA22AE"/>
    <w:rsid w:val="00EB088B"/>
    <w:rsid w:val="00EB7D20"/>
    <w:rsid w:val="00ED15FF"/>
    <w:rsid w:val="00ED1E3C"/>
    <w:rsid w:val="00ED644F"/>
    <w:rsid w:val="00ED784D"/>
    <w:rsid w:val="00EE04DB"/>
    <w:rsid w:val="00EE3BEB"/>
    <w:rsid w:val="00EF3F7C"/>
    <w:rsid w:val="00EF5816"/>
    <w:rsid w:val="00EF72F7"/>
    <w:rsid w:val="00F00353"/>
    <w:rsid w:val="00F00CEB"/>
    <w:rsid w:val="00F03887"/>
    <w:rsid w:val="00F10B91"/>
    <w:rsid w:val="00F21203"/>
    <w:rsid w:val="00F24D34"/>
    <w:rsid w:val="00F318AE"/>
    <w:rsid w:val="00F341C1"/>
    <w:rsid w:val="00F345EA"/>
    <w:rsid w:val="00F43544"/>
    <w:rsid w:val="00F47D19"/>
    <w:rsid w:val="00F77570"/>
    <w:rsid w:val="00F9014E"/>
    <w:rsid w:val="00F90A8E"/>
    <w:rsid w:val="00F94371"/>
    <w:rsid w:val="00F94A1D"/>
    <w:rsid w:val="00F94CE6"/>
    <w:rsid w:val="00F96320"/>
    <w:rsid w:val="00FA7E20"/>
    <w:rsid w:val="00FB0784"/>
    <w:rsid w:val="00FB2EF3"/>
    <w:rsid w:val="00FB520D"/>
    <w:rsid w:val="00FD095A"/>
    <w:rsid w:val="00FD182A"/>
    <w:rsid w:val="00FD4FF9"/>
    <w:rsid w:val="00FD7807"/>
    <w:rsid w:val="00FE5314"/>
    <w:rsid w:val="00FE7CF8"/>
    <w:rsid w:val="00FF24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0467"/>
  <w15:chartTrackingRefBased/>
  <w15:docId w15:val="{F70866FB-70DA-44CB-B636-CD4C58E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BA"/>
    <w:rPr>
      <w:rFonts w:ascii="Times New Roman" w:eastAsia="Times New Roman" w:hAnsi="Times New Roman" w:cs="Times New Roman"/>
      <w:kern w:val="0"/>
      <w:lang w:eastAsia="en-GB"/>
      <w14:ligatures w14:val="none"/>
    </w:rPr>
  </w:style>
  <w:style w:type="paragraph" w:styleId="Heading1">
    <w:name w:val="heading 1"/>
    <w:next w:val="Normal"/>
    <w:link w:val="Heading1Char"/>
    <w:uiPriority w:val="9"/>
    <w:qFormat/>
    <w:rsid w:val="006C6EBA"/>
    <w:pPr>
      <w:numPr>
        <w:numId w:val="55"/>
      </w:numPr>
      <w:spacing w:after="120"/>
      <w:ind w:left="357" w:hanging="357"/>
      <w:outlineLvl w:val="0"/>
    </w:pPr>
    <w:rPr>
      <w:rFonts w:ascii="Calibri" w:eastAsia="Times New Roman" w:hAnsi="Calibri" w:cs="Calibri"/>
      <w:b/>
      <w:bCs/>
      <w:color w:val="4472C4" w:themeColor="accent1"/>
      <w:kern w:val="0"/>
      <w:sz w:val="32"/>
      <w:szCs w:val="32"/>
      <w:u w:val="single"/>
      <w:lang w:eastAsia="en-GB"/>
      <w14:ligatures w14:val="none"/>
    </w:rPr>
  </w:style>
  <w:style w:type="paragraph" w:styleId="Heading2">
    <w:name w:val="heading 2"/>
    <w:basedOn w:val="Normal"/>
    <w:next w:val="Normal"/>
    <w:link w:val="Heading2Char"/>
    <w:uiPriority w:val="9"/>
    <w:unhideWhenUsed/>
    <w:qFormat/>
    <w:rsid w:val="006C6EBA"/>
    <w:pPr>
      <w:keepNext/>
      <w:keepLines/>
      <w:numPr>
        <w:ilvl w:val="1"/>
        <w:numId w:val="55"/>
      </w:numPr>
      <w:spacing w:before="360" w:after="80"/>
      <w:outlineLvl w:val="1"/>
    </w:pPr>
    <w:rPr>
      <w:rFonts w:ascii="Calibri" w:eastAsiaTheme="majorEastAsia" w:hAnsi="Calibri" w:cs="Calibri"/>
      <w:b/>
      <w:color w:val="2F5496" w:themeColor="accent1" w:themeShade="BF"/>
      <w:sz w:val="26"/>
      <w:szCs w:val="26"/>
    </w:rPr>
  </w:style>
  <w:style w:type="paragraph" w:styleId="Heading3">
    <w:name w:val="heading 3"/>
    <w:basedOn w:val="Normal"/>
    <w:next w:val="Normal"/>
    <w:link w:val="Heading3Char"/>
    <w:uiPriority w:val="9"/>
    <w:unhideWhenUsed/>
    <w:qFormat/>
    <w:rsid w:val="006C6EBA"/>
    <w:pPr>
      <w:keepNext/>
      <w:keepLines/>
      <w:numPr>
        <w:ilvl w:val="2"/>
        <w:numId w:val="55"/>
      </w:numPr>
      <w:spacing w:before="240" w:after="80"/>
      <w:outlineLvl w:val="2"/>
    </w:pPr>
    <w:rPr>
      <w:rFonts w:ascii="Calibri" w:eastAsiaTheme="majorEastAsia" w:hAnsi="Calibri" w:cs="Calibri"/>
      <w:b/>
      <w:color w:val="1F3763" w:themeColor="accent1" w:themeShade="7F"/>
      <w:sz w:val="23"/>
    </w:rPr>
  </w:style>
  <w:style w:type="paragraph" w:styleId="Heading4">
    <w:name w:val="heading 4"/>
    <w:basedOn w:val="Normal"/>
    <w:next w:val="Normal"/>
    <w:link w:val="Heading4Char"/>
    <w:uiPriority w:val="9"/>
    <w:unhideWhenUsed/>
    <w:qFormat/>
    <w:rsid w:val="006C6EBA"/>
    <w:pPr>
      <w:keepNext/>
      <w:keepLines/>
      <w:numPr>
        <w:ilvl w:val="3"/>
        <w:numId w:val="55"/>
      </w:numPr>
      <w:spacing w:before="120" w:after="80"/>
      <w:ind w:left="862" w:hanging="862"/>
      <w:outlineLvl w:val="3"/>
    </w:pPr>
    <w:rPr>
      <w:rFonts w:ascii="Calibri" w:eastAsiaTheme="majorEastAsia" w:hAnsi="Calibri" w:cs="Calibri"/>
      <w:i/>
      <w:iCs/>
      <w:color w:val="2F5496" w:themeColor="accent1" w:themeShade="BF"/>
      <w:sz w:val="22"/>
    </w:rPr>
  </w:style>
  <w:style w:type="paragraph" w:styleId="Heading5">
    <w:name w:val="heading 5"/>
    <w:aliases w:val="Heading 5 - case study"/>
    <w:basedOn w:val="Normal"/>
    <w:next w:val="Normal"/>
    <w:link w:val="Heading5Char"/>
    <w:uiPriority w:val="9"/>
    <w:unhideWhenUsed/>
    <w:qFormat/>
    <w:rsid w:val="006C6EBA"/>
    <w:pPr>
      <w:keepNext/>
      <w:keepLines/>
      <w:spacing w:before="40"/>
      <w:outlineLvl w:val="4"/>
      <w15:collapsed/>
    </w:pPr>
    <w:rPr>
      <w:rFonts w:asciiTheme="majorHAnsi" w:eastAsiaTheme="majorEastAsia" w:hAnsiTheme="maj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6C6EBA"/>
    <w:pPr>
      <w:keepNext/>
      <w:keepLines/>
      <w:numPr>
        <w:ilvl w:val="5"/>
        <w:numId w:val="55"/>
      </w:numPr>
      <w:spacing w:before="40"/>
      <w:outlineLvl w:val="5"/>
    </w:pPr>
    <w:rPr>
      <w:rFonts w:asciiTheme="majorHAnsi" w:eastAsiaTheme="majorEastAsia" w:hAnsiTheme="majorHAnsi" w:cstheme="majorBidi"/>
      <w:color w:val="1F3763" w:themeColor="accent1" w:themeShade="7F"/>
      <w:sz w:val="22"/>
    </w:rPr>
  </w:style>
  <w:style w:type="paragraph" w:styleId="Heading7">
    <w:name w:val="heading 7"/>
    <w:basedOn w:val="Normal"/>
    <w:next w:val="Normal"/>
    <w:link w:val="Heading7Char"/>
    <w:uiPriority w:val="9"/>
    <w:unhideWhenUsed/>
    <w:qFormat/>
    <w:rsid w:val="006C6EBA"/>
    <w:pPr>
      <w:keepNext/>
      <w:keepLines/>
      <w:numPr>
        <w:ilvl w:val="6"/>
        <w:numId w:val="55"/>
      </w:numPr>
      <w:spacing w:before="40"/>
      <w:outlineLvl w:val="6"/>
    </w:pPr>
    <w:rPr>
      <w:rFonts w:asciiTheme="majorHAnsi" w:eastAsiaTheme="majorEastAsia" w:hAnsiTheme="majorHAnsi" w:cstheme="majorBidi"/>
      <w:i/>
      <w:iCs/>
      <w:color w:val="1F3763" w:themeColor="accent1" w:themeShade="7F"/>
      <w:sz w:val="22"/>
    </w:rPr>
  </w:style>
  <w:style w:type="paragraph" w:styleId="Heading8">
    <w:name w:val="heading 8"/>
    <w:basedOn w:val="Normal"/>
    <w:next w:val="Normal"/>
    <w:link w:val="Heading8Char"/>
    <w:uiPriority w:val="9"/>
    <w:unhideWhenUsed/>
    <w:qFormat/>
    <w:rsid w:val="006C6EBA"/>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C6EBA"/>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EBA"/>
    <w:rPr>
      <w:rFonts w:ascii="Calibri" w:eastAsia="Times New Roman" w:hAnsi="Calibri" w:cs="Calibri"/>
      <w:b/>
      <w:bCs/>
      <w:color w:val="4472C4" w:themeColor="accent1"/>
      <w:kern w:val="0"/>
      <w:sz w:val="32"/>
      <w:szCs w:val="32"/>
      <w:u w:val="single"/>
      <w:lang w:eastAsia="en-GB"/>
      <w14:ligatures w14:val="none"/>
    </w:rPr>
  </w:style>
  <w:style w:type="character" w:customStyle="1" w:styleId="Heading2Char">
    <w:name w:val="Heading 2 Char"/>
    <w:basedOn w:val="DefaultParagraphFont"/>
    <w:link w:val="Heading2"/>
    <w:uiPriority w:val="9"/>
    <w:rsid w:val="006C6EBA"/>
    <w:rPr>
      <w:rFonts w:ascii="Calibri" w:eastAsiaTheme="majorEastAsia" w:hAnsi="Calibri" w:cs="Calibri"/>
      <w:b/>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C6EBA"/>
    <w:rPr>
      <w:rFonts w:ascii="Calibri" w:eastAsiaTheme="majorEastAsia" w:hAnsi="Calibri" w:cs="Calibri"/>
      <w:b/>
      <w:color w:val="1F3763" w:themeColor="accent1" w:themeShade="7F"/>
      <w:kern w:val="0"/>
      <w:sz w:val="23"/>
      <w:lang w:eastAsia="en-GB"/>
      <w14:ligatures w14:val="none"/>
    </w:rPr>
  </w:style>
  <w:style w:type="character" w:customStyle="1" w:styleId="Heading4Char">
    <w:name w:val="Heading 4 Char"/>
    <w:basedOn w:val="DefaultParagraphFont"/>
    <w:link w:val="Heading4"/>
    <w:uiPriority w:val="9"/>
    <w:rsid w:val="006C6EBA"/>
    <w:rPr>
      <w:rFonts w:ascii="Calibri" w:eastAsiaTheme="majorEastAsia" w:hAnsi="Calibri" w:cs="Calibri"/>
      <w:i/>
      <w:iCs/>
      <w:color w:val="2F5496" w:themeColor="accent1" w:themeShade="BF"/>
      <w:kern w:val="0"/>
      <w:sz w:val="22"/>
      <w:lang w:eastAsia="en-GB"/>
      <w14:ligatures w14:val="none"/>
    </w:rPr>
  </w:style>
  <w:style w:type="character" w:customStyle="1" w:styleId="Heading5Char">
    <w:name w:val="Heading 5 Char"/>
    <w:aliases w:val="Heading 5 - case study Char"/>
    <w:basedOn w:val="DefaultParagraphFont"/>
    <w:link w:val="Heading5"/>
    <w:uiPriority w:val="9"/>
    <w:rsid w:val="006C6EBA"/>
    <w:rPr>
      <w:rFonts w:asciiTheme="majorHAnsi" w:eastAsiaTheme="majorEastAsia" w:hAnsiTheme="majorHAnsi" w:cstheme="majorBidi"/>
      <w:color w:val="2F5496" w:themeColor="accent1" w:themeShade="BF"/>
      <w:kern w:val="0"/>
      <w:sz w:val="22"/>
      <w:lang w:eastAsia="en-GB"/>
      <w14:ligatures w14:val="none"/>
    </w:rPr>
  </w:style>
  <w:style w:type="character" w:customStyle="1" w:styleId="Heading6Char">
    <w:name w:val="Heading 6 Char"/>
    <w:basedOn w:val="DefaultParagraphFont"/>
    <w:link w:val="Heading6"/>
    <w:uiPriority w:val="9"/>
    <w:semiHidden/>
    <w:rsid w:val="006C6EBA"/>
    <w:rPr>
      <w:rFonts w:asciiTheme="majorHAnsi" w:eastAsiaTheme="majorEastAsia" w:hAnsiTheme="majorHAnsi" w:cstheme="majorBidi"/>
      <w:color w:val="1F3763" w:themeColor="accent1" w:themeShade="7F"/>
      <w:kern w:val="0"/>
      <w:sz w:val="22"/>
      <w:lang w:eastAsia="en-GB"/>
      <w14:ligatures w14:val="none"/>
    </w:rPr>
  </w:style>
  <w:style w:type="character" w:customStyle="1" w:styleId="Heading7Char">
    <w:name w:val="Heading 7 Char"/>
    <w:basedOn w:val="DefaultParagraphFont"/>
    <w:link w:val="Heading7"/>
    <w:uiPriority w:val="9"/>
    <w:rsid w:val="006C6EBA"/>
    <w:rPr>
      <w:rFonts w:asciiTheme="majorHAnsi" w:eastAsiaTheme="majorEastAsia" w:hAnsiTheme="majorHAnsi" w:cstheme="majorBidi"/>
      <w:i/>
      <w:iCs/>
      <w:color w:val="1F3763" w:themeColor="accent1" w:themeShade="7F"/>
      <w:kern w:val="0"/>
      <w:sz w:val="22"/>
      <w:lang w:eastAsia="en-GB"/>
      <w14:ligatures w14:val="none"/>
    </w:rPr>
  </w:style>
  <w:style w:type="character" w:customStyle="1" w:styleId="Heading8Char">
    <w:name w:val="Heading 8 Char"/>
    <w:basedOn w:val="DefaultParagraphFont"/>
    <w:link w:val="Heading8"/>
    <w:uiPriority w:val="9"/>
    <w:rsid w:val="006C6EBA"/>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Heading9Char">
    <w:name w:val="Heading 9 Char"/>
    <w:basedOn w:val="DefaultParagraphFont"/>
    <w:link w:val="Heading9"/>
    <w:uiPriority w:val="9"/>
    <w:rsid w:val="006C6EBA"/>
    <w:rPr>
      <w:rFonts w:asciiTheme="majorHAnsi" w:eastAsiaTheme="majorEastAsia" w:hAnsiTheme="majorHAnsi" w:cstheme="majorBidi"/>
      <w:i/>
      <w:iCs/>
      <w:color w:val="272727" w:themeColor="text1" w:themeTint="D8"/>
      <w:kern w:val="0"/>
      <w:sz w:val="21"/>
      <w:szCs w:val="21"/>
      <w:lang w:eastAsia="en-GB"/>
      <w14:ligatures w14:val="none"/>
    </w:rPr>
  </w:style>
  <w:style w:type="paragraph" w:styleId="Title">
    <w:name w:val="Title"/>
    <w:basedOn w:val="Normal"/>
    <w:next w:val="Normal"/>
    <w:link w:val="TitleChar"/>
    <w:uiPriority w:val="10"/>
    <w:qFormat/>
    <w:rsid w:val="006C6EBA"/>
    <w:rPr>
      <w:rFonts w:ascii="Cambria" w:hAnsi="Cambria"/>
      <w:b/>
      <w:bCs/>
      <w:color w:val="1F3864" w:themeColor="accent1" w:themeShade="80"/>
      <w:sz w:val="72"/>
      <w:szCs w:val="72"/>
    </w:rPr>
  </w:style>
  <w:style w:type="character" w:customStyle="1" w:styleId="TitleChar">
    <w:name w:val="Title Char"/>
    <w:basedOn w:val="DefaultParagraphFont"/>
    <w:link w:val="Title"/>
    <w:uiPriority w:val="10"/>
    <w:rsid w:val="006C6EBA"/>
    <w:rPr>
      <w:rFonts w:ascii="Cambria" w:eastAsia="Times New Roman" w:hAnsi="Cambria" w:cs="Times New Roman"/>
      <w:b/>
      <w:bCs/>
      <w:color w:val="1F3864" w:themeColor="accent1" w:themeShade="80"/>
      <w:kern w:val="0"/>
      <w:sz w:val="72"/>
      <w:szCs w:val="72"/>
      <w:lang w:eastAsia="en-GB"/>
      <w14:ligatures w14:val="none"/>
    </w:rPr>
  </w:style>
  <w:style w:type="character" w:styleId="IntenseReference">
    <w:name w:val="Intense Reference"/>
    <w:basedOn w:val="DefaultParagraphFont"/>
    <w:uiPriority w:val="32"/>
    <w:qFormat/>
    <w:rsid w:val="006C6EBA"/>
    <w:rPr>
      <w:b/>
      <w:bCs/>
      <w:smallCaps/>
      <w:color w:val="4472C4" w:themeColor="accent1"/>
      <w:spacing w:val="5"/>
    </w:rPr>
  </w:style>
  <w:style w:type="table" w:styleId="TableGrid">
    <w:name w:val="Table Grid"/>
    <w:basedOn w:val="TableNormal"/>
    <w:uiPriority w:val="39"/>
    <w:rsid w:val="006C6EB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rsid w:val="006C6EBA"/>
    <w:pPr>
      <w:numPr>
        <w:numId w:val="1"/>
      </w:numPr>
      <w:spacing w:after="240"/>
    </w:pPr>
    <w:rPr>
      <w:rFonts w:eastAsia="MS Minngs" w:cstheme="minorHAns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C6EBA"/>
    <w:pPr>
      <w:ind w:left="720"/>
      <w:contextualSpacing/>
    </w:pPr>
    <w:rPr>
      <w:rFonts w:ascii="Calibri" w:hAnsi="Calibri"/>
      <w:sz w:val="22"/>
    </w:rPr>
  </w:style>
  <w:style w:type="character" w:styleId="Hyperlink">
    <w:name w:val="Hyperlink"/>
    <w:basedOn w:val="DefaultParagraphFont"/>
    <w:uiPriority w:val="99"/>
    <w:unhideWhenUsed/>
    <w:rsid w:val="006C6EBA"/>
    <w:rPr>
      <w:color w:val="0563C1" w:themeColor="hyperlink"/>
      <w:u w:val="single"/>
    </w:rPr>
  </w:style>
  <w:style w:type="paragraph" w:styleId="NormalWeb">
    <w:name w:val="Normal (Web)"/>
    <w:basedOn w:val="Normal"/>
    <w:uiPriority w:val="99"/>
    <w:unhideWhenUsed/>
    <w:rsid w:val="006C6EBA"/>
    <w:pPr>
      <w:spacing w:before="100" w:beforeAutospacing="1" w:after="100" w:afterAutospacing="1"/>
    </w:pPr>
    <w:rPr>
      <w:rFonts w:ascii="Calibri" w:hAnsi="Calibri"/>
      <w:sz w:val="22"/>
    </w:rPr>
  </w:style>
  <w:style w:type="paragraph" w:styleId="FootnoteText">
    <w:name w:val="footnote text"/>
    <w:basedOn w:val="Normal"/>
    <w:link w:val="FootnoteTextChar"/>
    <w:uiPriority w:val="99"/>
    <w:unhideWhenUsed/>
    <w:rsid w:val="006C6EBA"/>
    <w:rPr>
      <w:rFonts w:ascii="Calibri" w:hAnsi="Calibri"/>
      <w:sz w:val="20"/>
      <w:szCs w:val="20"/>
    </w:rPr>
  </w:style>
  <w:style w:type="character" w:customStyle="1" w:styleId="FootnoteTextChar">
    <w:name w:val="Footnote Text Char"/>
    <w:basedOn w:val="DefaultParagraphFont"/>
    <w:link w:val="FootnoteText"/>
    <w:uiPriority w:val="99"/>
    <w:rsid w:val="006C6EBA"/>
    <w:rPr>
      <w:rFonts w:ascii="Calibri" w:eastAsia="Times New Roman" w:hAnsi="Calibri"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6C6EBA"/>
    <w:rPr>
      <w:vertAlign w:val="superscript"/>
    </w:rPr>
  </w:style>
  <w:style w:type="paragraph" w:customStyle="1" w:styleId="FootnoteText1">
    <w:name w:val="Footnote Text1"/>
    <w:basedOn w:val="FootnoteText"/>
    <w:qFormat/>
    <w:rsid w:val="006C6EBA"/>
    <w:pPr>
      <w:ind w:left="142" w:hanging="142"/>
    </w:pPr>
    <w:rPr>
      <w:sz w:val="16"/>
      <w:szCs w:val="16"/>
    </w:rPr>
  </w:style>
  <w:style w:type="paragraph" w:customStyle="1" w:styleId="BulletList">
    <w:name w:val="Bullet List"/>
    <w:basedOn w:val="ListParagraph"/>
    <w:link w:val="BulletListChar"/>
    <w:qFormat/>
    <w:rsid w:val="006C6EBA"/>
    <w:pPr>
      <w:numPr>
        <w:numId w:val="2"/>
      </w:numPr>
      <w:spacing w:after="240"/>
    </w:pPr>
  </w:style>
  <w:style w:type="character" w:customStyle="1" w:styleId="BulletListChar">
    <w:name w:val="Bullet List Char"/>
    <w:basedOn w:val="DefaultParagraphFont"/>
    <w:link w:val="BulletList"/>
    <w:rsid w:val="006C6EBA"/>
    <w:rPr>
      <w:rFonts w:ascii="Calibri" w:eastAsia="Times New Roman" w:hAnsi="Calibri" w:cs="Times New Roman"/>
      <w:kern w:val="0"/>
      <w:sz w:val="22"/>
      <w:lang w:eastAsia="en-GB"/>
      <w14:ligatures w14:val="none"/>
    </w:rPr>
  </w:style>
  <w:style w:type="paragraph" w:styleId="Footer">
    <w:name w:val="footer"/>
    <w:basedOn w:val="Normal"/>
    <w:link w:val="FooterChar"/>
    <w:uiPriority w:val="99"/>
    <w:unhideWhenUsed/>
    <w:rsid w:val="006C6EBA"/>
    <w:pPr>
      <w:tabs>
        <w:tab w:val="center" w:pos="4680"/>
        <w:tab w:val="right" w:pos="9360"/>
      </w:tabs>
    </w:pPr>
    <w:rPr>
      <w:rFonts w:ascii="Calibri" w:hAnsi="Calibri"/>
      <w:sz w:val="22"/>
    </w:rPr>
  </w:style>
  <w:style w:type="character" w:customStyle="1" w:styleId="FooterChar">
    <w:name w:val="Footer Char"/>
    <w:basedOn w:val="DefaultParagraphFont"/>
    <w:link w:val="Footer"/>
    <w:uiPriority w:val="99"/>
    <w:rsid w:val="006C6EBA"/>
    <w:rPr>
      <w:rFonts w:ascii="Calibri" w:eastAsia="Times New Roman" w:hAnsi="Calibri" w:cs="Times New Roman"/>
      <w:kern w:val="0"/>
      <w:sz w:val="22"/>
      <w:lang w:eastAsia="en-GB"/>
      <w14:ligatures w14:val="none"/>
    </w:rPr>
  </w:style>
  <w:style w:type="character" w:styleId="PageNumber">
    <w:name w:val="page number"/>
    <w:basedOn w:val="DefaultParagraphFont"/>
    <w:uiPriority w:val="99"/>
    <w:semiHidden/>
    <w:unhideWhenUsed/>
    <w:rsid w:val="006C6EBA"/>
  </w:style>
  <w:style w:type="character" w:styleId="CommentReference">
    <w:name w:val="annotation reference"/>
    <w:basedOn w:val="DefaultParagraphFont"/>
    <w:uiPriority w:val="99"/>
    <w:unhideWhenUsed/>
    <w:rsid w:val="006C6EBA"/>
    <w:rPr>
      <w:sz w:val="16"/>
      <w:szCs w:val="16"/>
    </w:rPr>
  </w:style>
  <w:style w:type="paragraph" w:styleId="CommentText">
    <w:name w:val="annotation text"/>
    <w:basedOn w:val="Normal"/>
    <w:link w:val="CommentTextChar"/>
    <w:uiPriority w:val="99"/>
    <w:unhideWhenUsed/>
    <w:rsid w:val="006C6EBA"/>
    <w:rPr>
      <w:rFonts w:ascii="Calibri" w:hAnsi="Calibri"/>
      <w:sz w:val="20"/>
      <w:szCs w:val="20"/>
    </w:rPr>
  </w:style>
  <w:style w:type="character" w:customStyle="1" w:styleId="CommentTextChar">
    <w:name w:val="Comment Text Char"/>
    <w:basedOn w:val="DefaultParagraphFont"/>
    <w:link w:val="CommentText"/>
    <w:uiPriority w:val="99"/>
    <w:rsid w:val="006C6EBA"/>
    <w:rPr>
      <w:rFonts w:ascii="Calibri" w:eastAsia="Times New Roman" w:hAnsi="Calibri" w:cs="Times New Roman"/>
      <w:kern w:val="0"/>
      <w:sz w:val="20"/>
      <w:szCs w:val="20"/>
      <w:lang w:eastAsia="en-GB"/>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6C6EBA"/>
    <w:rPr>
      <w:rFonts w:ascii="Calibri" w:eastAsia="Times New Roman" w:hAnsi="Calibri" w:cs="Times New Roman"/>
      <w:kern w:val="0"/>
      <w:sz w:val="22"/>
      <w:lang w:eastAsia="en-GB"/>
      <w14:ligatures w14:val="none"/>
    </w:rPr>
  </w:style>
  <w:style w:type="character" w:styleId="UnresolvedMention">
    <w:name w:val="Unresolved Mention"/>
    <w:basedOn w:val="DefaultParagraphFont"/>
    <w:uiPriority w:val="99"/>
    <w:semiHidden/>
    <w:unhideWhenUsed/>
    <w:rsid w:val="006C6EBA"/>
    <w:rPr>
      <w:color w:val="605E5C"/>
      <w:shd w:val="clear" w:color="auto" w:fill="E1DFDD"/>
    </w:rPr>
  </w:style>
  <w:style w:type="character" w:styleId="FollowedHyperlink">
    <w:name w:val="FollowedHyperlink"/>
    <w:basedOn w:val="DefaultParagraphFont"/>
    <w:uiPriority w:val="99"/>
    <w:semiHidden/>
    <w:unhideWhenUsed/>
    <w:rsid w:val="006C6EB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EBA"/>
    <w:rPr>
      <w:b/>
      <w:bCs/>
    </w:rPr>
  </w:style>
  <w:style w:type="character" w:customStyle="1" w:styleId="CommentSubjectChar">
    <w:name w:val="Comment Subject Char"/>
    <w:basedOn w:val="CommentTextChar"/>
    <w:link w:val="CommentSubject"/>
    <w:uiPriority w:val="99"/>
    <w:semiHidden/>
    <w:rsid w:val="006C6EBA"/>
    <w:rPr>
      <w:rFonts w:ascii="Calibri" w:eastAsia="Times New Roman" w:hAnsi="Calibri" w:cs="Times New Roman"/>
      <w:b/>
      <w:bCs/>
      <w:kern w:val="0"/>
      <w:sz w:val="20"/>
      <w:szCs w:val="20"/>
      <w:lang w:eastAsia="en-GB"/>
      <w14:ligatures w14:val="none"/>
    </w:rPr>
  </w:style>
  <w:style w:type="paragraph" w:styleId="Header">
    <w:name w:val="header"/>
    <w:basedOn w:val="Normal"/>
    <w:link w:val="HeaderChar"/>
    <w:uiPriority w:val="99"/>
    <w:unhideWhenUsed/>
    <w:rsid w:val="006C6EBA"/>
    <w:pPr>
      <w:tabs>
        <w:tab w:val="center" w:pos="4680"/>
        <w:tab w:val="right" w:pos="9360"/>
      </w:tabs>
    </w:pPr>
    <w:rPr>
      <w:rFonts w:ascii="Calibri" w:hAnsi="Calibri"/>
      <w:sz w:val="22"/>
    </w:rPr>
  </w:style>
  <w:style w:type="character" w:customStyle="1" w:styleId="HeaderChar">
    <w:name w:val="Header Char"/>
    <w:basedOn w:val="DefaultParagraphFont"/>
    <w:link w:val="Header"/>
    <w:uiPriority w:val="99"/>
    <w:rsid w:val="006C6EBA"/>
    <w:rPr>
      <w:rFonts w:ascii="Calibri" w:eastAsia="Times New Roman" w:hAnsi="Calibri" w:cs="Times New Roman"/>
      <w:kern w:val="0"/>
      <w:sz w:val="22"/>
      <w:lang w:eastAsia="en-GB"/>
      <w14:ligatures w14:val="none"/>
    </w:rPr>
  </w:style>
  <w:style w:type="character" w:styleId="Emphasis">
    <w:name w:val="Emphasis"/>
    <w:basedOn w:val="DefaultParagraphFont"/>
    <w:uiPriority w:val="20"/>
    <w:qFormat/>
    <w:rsid w:val="006C6EBA"/>
    <w:rPr>
      <w:i/>
      <w:iCs/>
    </w:rPr>
  </w:style>
  <w:style w:type="paragraph" w:customStyle="1" w:styleId="CaseStudyHeading0">
    <w:name w:val="Case Study Heading"/>
    <w:basedOn w:val="Normal"/>
    <w:link w:val="CaseStudyHeadingChar"/>
    <w:qFormat/>
    <w:rsid w:val="006C6EBA"/>
    <w:pPr>
      <w:spacing w:before="120"/>
      <w:outlineLvl w:val="4"/>
    </w:pPr>
    <w:rPr>
      <w:rFonts w:ascii="Calibri" w:hAnsi="Calibri"/>
      <w:b/>
      <w:bCs/>
      <w:sz w:val="22"/>
      <w:szCs w:val="21"/>
      <w:u w:val="single"/>
    </w:rPr>
  </w:style>
  <w:style w:type="paragraph" w:customStyle="1" w:styleId="CaseStudyText">
    <w:name w:val="Case Study Text"/>
    <w:basedOn w:val="Normal"/>
    <w:link w:val="CaseStudyTextChar"/>
    <w:qFormat/>
    <w:rsid w:val="006C6EBA"/>
    <w:rPr>
      <w:rFonts w:ascii="Calibri" w:hAnsi="Calibri"/>
      <w:sz w:val="21"/>
      <w:szCs w:val="21"/>
    </w:rPr>
  </w:style>
  <w:style w:type="character" w:customStyle="1" w:styleId="CaseStudyHeadingChar">
    <w:name w:val="Case Study Heading Char"/>
    <w:basedOn w:val="DefaultParagraphFont"/>
    <w:link w:val="CaseStudyHeading0"/>
    <w:rsid w:val="006C6EBA"/>
    <w:rPr>
      <w:rFonts w:ascii="Calibri" w:eastAsia="Times New Roman" w:hAnsi="Calibri" w:cs="Times New Roman"/>
      <w:b/>
      <w:bCs/>
      <w:kern w:val="0"/>
      <w:sz w:val="22"/>
      <w:szCs w:val="21"/>
      <w:u w:val="single"/>
      <w:lang w:eastAsia="en-GB"/>
      <w14:ligatures w14:val="none"/>
    </w:rPr>
  </w:style>
  <w:style w:type="paragraph" w:customStyle="1" w:styleId="CaseStudyQuestion">
    <w:name w:val="Case Study Question"/>
    <w:basedOn w:val="Normal"/>
    <w:link w:val="CaseStudyQuestionChar"/>
    <w:qFormat/>
    <w:rsid w:val="006C6EBA"/>
    <w:rPr>
      <w:rFonts w:ascii="Calibri" w:hAnsi="Calibri"/>
      <w:b/>
      <w:bCs/>
      <w:i/>
      <w:iCs/>
      <w:sz w:val="21"/>
      <w:szCs w:val="21"/>
    </w:rPr>
  </w:style>
  <w:style w:type="character" w:customStyle="1" w:styleId="CaseStudyTextChar">
    <w:name w:val="Case Study Text Char"/>
    <w:basedOn w:val="DefaultParagraphFont"/>
    <w:link w:val="CaseStudyText"/>
    <w:rsid w:val="006C6EBA"/>
    <w:rPr>
      <w:rFonts w:ascii="Calibri" w:eastAsia="Times New Roman" w:hAnsi="Calibri" w:cs="Times New Roman"/>
      <w:kern w:val="0"/>
      <w:sz w:val="21"/>
      <w:szCs w:val="21"/>
      <w:lang w:eastAsia="en-GB"/>
      <w14:ligatures w14:val="none"/>
    </w:rPr>
  </w:style>
  <w:style w:type="character" w:customStyle="1" w:styleId="CaseStudyQuestionChar">
    <w:name w:val="Case Study Question Char"/>
    <w:basedOn w:val="DefaultParagraphFont"/>
    <w:link w:val="CaseStudyQuestion"/>
    <w:rsid w:val="006C6EBA"/>
    <w:rPr>
      <w:rFonts w:ascii="Calibri" w:eastAsia="Times New Roman" w:hAnsi="Calibri" w:cs="Times New Roman"/>
      <w:b/>
      <w:bCs/>
      <w:i/>
      <w:iCs/>
      <w:kern w:val="0"/>
      <w:sz w:val="21"/>
      <w:szCs w:val="21"/>
      <w:lang w:eastAsia="en-GB"/>
      <w14:ligatures w14:val="none"/>
    </w:rPr>
  </w:style>
  <w:style w:type="character" w:customStyle="1" w:styleId="highlight">
    <w:name w:val="highlight"/>
    <w:basedOn w:val="DefaultParagraphFont"/>
    <w:rsid w:val="006C6EBA"/>
  </w:style>
  <w:style w:type="paragraph" w:styleId="TOC1">
    <w:name w:val="toc 1"/>
    <w:basedOn w:val="Normal"/>
    <w:next w:val="Normal"/>
    <w:autoRedefine/>
    <w:uiPriority w:val="39"/>
    <w:unhideWhenUsed/>
    <w:rsid w:val="007162C3"/>
    <w:pPr>
      <w:tabs>
        <w:tab w:val="left" w:pos="480"/>
        <w:tab w:val="right" w:leader="underscore" w:pos="9010"/>
      </w:tabs>
      <w:spacing w:before="120"/>
    </w:pPr>
    <w:rPr>
      <w:rFonts w:asciiTheme="minorHAnsi" w:hAnsiTheme="minorHAnsi" w:cstheme="minorHAnsi"/>
      <w:b/>
      <w:bCs/>
      <w:i/>
      <w:iCs/>
      <w:noProof/>
    </w:rPr>
  </w:style>
  <w:style w:type="paragraph" w:styleId="TOC2">
    <w:name w:val="toc 2"/>
    <w:basedOn w:val="Normal"/>
    <w:next w:val="Normal"/>
    <w:autoRedefine/>
    <w:uiPriority w:val="39"/>
    <w:unhideWhenUsed/>
    <w:rsid w:val="00396452"/>
    <w:pPr>
      <w:tabs>
        <w:tab w:val="left" w:pos="960"/>
        <w:tab w:val="right" w:leader="underscore" w:pos="901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6C6EBA"/>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6C6EBA"/>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C6EBA"/>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C6EBA"/>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C6EBA"/>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C6EBA"/>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C6EBA"/>
    <w:pPr>
      <w:ind w:left="1920"/>
    </w:pPr>
    <w:rPr>
      <w:rFonts w:asciiTheme="minorHAnsi" w:hAnsiTheme="minorHAnsi" w:cstheme="minorHAnsi"/>
      <w:sz w:val="20"/>
      <w:szCs w:val="20"/>
    </w:rPr>
  </w:style>
  <w:style w:type="paragraph" w:styleId="Revision">
    <w:name w:val="Revision"/>
    <w:hidden/>
    <w:uiPriority w:val="99"/>
    <w:semiHidden/>
    <w:rsid w:val="006C6EBA"/>
    <w:rPr>
      <w:rFonts w:ascii="Times New Roman" w:eastAsia="Times New Roman" w:hAnsi="Times New Roman" w:cs="Times New Roman"/>
      <w:kern w:val="0"/>
      <w:lang w:eastAsia="en-GB"/>
      <w14:ligatures w14:val="none"/>
    </w:rPr>
  </w:style>
  <w:style w:type="paragraph" w:customStyle="1" w:styleId="OTAguidelinesstyle">
    <w:name w:val="OTA guidelines style"/>
    <w:basedOn w:val="Heading4"/>
    <w:qFormat/>
    <w:rsid w:val="006C6EBA"/>
    <w:rPr>
      <w:szCs w:val="22"/>
    </w:rPr>
  </w:style>
  <w:style w:type="paragraph" w:customStyle="1" w:styleId="Casestudyheading">
    <w:name w:val="Case study heading"/>
    <w:basedOn w:val="CaseStudyHeading0"/>
    <w:link w:val="CasestudyheadingChar0"/>
    <w:qFormat/>
    <w:rsid w:val="006C6EBA"/>
    <w:pPr>
      <w:numPr>
        <w:numId w:val="27"/>
      </w:numPr>
    </w:pPr>
  </w:style>
  <w:style w:type="character" w:customStyle="1" w:styleId="hgkelc">
    <w:name w:val="hgkelc"/>
    <w:basedOn w:val="DefaultParagraphFont"/>
    <w:rsid w:val="006C6EBA"/>
  </w:style>
  <w:style w:type="character" w:customStyle="1" w:styleId="CasestudyheadingChar0">
    <w:name w:val="Case study heading Char"/>
    <w:basedOn w:val="CaseStudyHeadingChar"/>
    <w:link w:val="Casestudyheading"/>
    <w:rsid w:val="006C6EBA"/>
    <w:rPr>
      <w:rFonts w:ascii="Calibri" w:eastAsia="Times New Roman" w:hAnsi="Calibri" w:cs="Times New Roman"/>
      <w:b/>
      <w:bCs/>
      <w:kern w:val="0"/>
      <w:sz w:val="22"/>
      <w:szCs w:val="21"/>
      <w:u w:val="single"/>
      <w:lang w:eastAsia="en-GB"/>
      <w14:ligatures w14:val="none"/>
    </w:rPr>
  </w:style>
  <w:style w:type="character" w:customStyle="1" w:styleId="markedcontent">
    <w:name w:val="markedcontent"/>
    <w:basedOn w:val="DefaultParagraphFont"/>
    <w:rsid w:val="006C6EBA"/>
  </w:style>
  <w:style w:type="paragraph" w:customStyle="1" w:styleId="Pa1">
    <w:name w:val="Pa1"/>
    <w:basedOn w:val="Normal"/>
    <w:next w:val="Normal"/>
    <w:uiPriority w:val="99"/>
    <w:rsid w:val="006C6EBA"/>
    <w:pPr>
      <w:autoSpaceDE w:val="0"/>
      <w:autoSpaceDN w:val="0"/>
      <w:adjustRightInd w:val="0"/>
      <w:spacing w:line="181" w:lineRule="atLeast"/>
    </w:pPr>
    <w:rPr>
      <w:rFonts w:ascii="Open Sans Light" w:eastAsiaTheme="minorHAnsi" w:hAnsi="Open Sans Light"/>
      <w:lang w:eastAsia="en-US"/>
    </w:rPr>
  </w:style>
  <w:style w:type="paragraph" w:customStyle="1" w:styleId="Default">
    <w:name w:val="Default"/>
    <w:rsid w:val="006C6EBA"/>
    <w:pPr>
      <w:autoSpaceDE w:val="0"/>
      <w:autoSpaceDN w:val="0"/>
      <w:adjustRightInd w:val="0"/>
    </w:pPr>
    <w:rPr>
      <w:rFonts w:ascii="Helvetica 45 Light" w:hAnsi="Helvetica 45 Light" w:cs="Helvetica 45 Light"/>
      <w:color w:val="000000"/>
      <w:kern w:val="0"/>
      <w14:ligatures w14:val="none"/>
    </w:rPr>
  </w:style>
  <w:style w:type="paragraph" w:customStyle="1" w:styleId="Pa2">
    <w:name w:val="Pa2"/>
    <w:basedOn w:val="Default"/>
    <w:next w:val="Default"/>
    <w:uiPriority w:val="99"/>
    <w:rsid w:val="006C6EBA"/>
    <w:pPr>
      <w:spacing w:line="181" w:lineRule="atLeast"/>
    </w:pPr>
    <w:rPr>
      <w:rFonts w:cstheme="minorBidi"/>
      <w:color w:val="auto"/>
    </w:rPr>
  </w:style>
  <w:style w:type="character" w:customStyle="1" w:styleId="A6">
    <w:name w:val="A6"/>
    <w:uiPriority w:val="99"/>
    <w:rsid w:val="006C6EBA"/>
    <w:rPr>
      <w:rFonts w:cs="Helvetica 45 Light"/>
      <w:color w:val="211D1E"/>
      <w:sz w:val="11"/>
      <w:szCs w:val="11"/>
    </w:rPr>
  </w:style>
  <w:style w:type="paragraph" w:customStyle="1" w:styleId="Pa22">
    <w:name w:val="Pa22"/>
    <w:basedOn w:val="Default"/>
    <w:next w:val="Default"/>
    <w:uiPriority w:val="99"/>
    <w:rsid w:val="006C6EBA"/>
    <w:pPr>
      <w:spacing w:line="181" w:lineRule="atLeast"/>
    </w:pPr>
    <w:rPr>
      <w:rFonts w:cstheme="minorBidi"/>
      <w:color w:val="auto"/>
    </w:rPr>
  </w:style>
  <w:style w:type="character" w:customStyle="1" w:styleId="A7">
    <w:name w:val="A7"/>
    <w:uiPriority w:val="99"/>
    <w:rsid w:val="006C6EBA"/>
    <w:rPr>
      <w:rFonts w:ascii="Helvetica Neue" w:hAnsi="Helvetica Neue" w:cs="Helvetica Neue"/>
      <w:color w:val="211D1E"/>
      <w:sz w:val="10"/>
      <w:szCs w:val="10"/>
    </w:rPr>
  </w:style>
  <w:style w:type="character" w:customStyle="1" w:styleId="A2">
    <w:name w:val="A2"/>
    <w:uiPriority w:val="99"/>
    <w:rsid w:val="006C6EBA"/>
    <w:rPr>
      <w:rFonts w:cs="Helvetica 45 Light"/>
      <w:color w:val="211D1E"/>
      <w:sz w:val="18"/>
      <w:szCs w:val="18"/>
    </w:rPr>
  </w:style>
  <w:style w:type="paragraph" w:customStyle="1" w:styleId="Pa24">
    <w:name w:val="Pa24"/>
    <w:basedOn w:val="Default"/>
    <w:next w:val="Default"/>
    <w:uiPriority w:val="99"/>
    <w:rsid w:val="006C6EBA"/>
    <w:pPr>
      <w:spacing w:line="221" w:lineRule="atLeast"/>
    </w:pPr>
    <w:rPr>
      <w:rFonts w:cstheme="minorBidi"/>
      <w:color w:val="auto"/>
    </w:rPr>
  </w:style>
  <w:style w:type="paragraph" w:customStyle="1" w:styleId="Pa25">
    <w:name w:val="Pa25"/>
    <w:basedOn w:val="Default"/>
    <w:next w:val="Default"/>
    <w:uiPriority w:val="99"/>
    <w:rsid w:val="006C6EBA"/>
    <w:pPr>
      <w:spacing w:line="221" w:lineRule="atLeast"/>
    </w:pPr>
    <w:rPr>
      <w:rFonts w:ascii="Helvetica 55 Roman" w:hAnsi="Helvetica 55 Roman" w:cstheme="minorBidi"/>
      <w:color w:val="auto"/>
    </w:rPr>
  </w:style>
  <w:style w:type="paragraph" w:customStyle="1" w:styleId="Pa9">
    <w:name w:val="Pa9"/>
    <w:basedOn w:val="Default"/>
    <w:next w:val="Default"/>
    <w:uiPriority w:val="99"/>
    <w:rsid w:val="006C6EBA"/>
    <w:pPr>
      <w:spacing w:line="181" w:lineRule="atLeast"/>
    </w:pPr>
    <w:rPr>
      <w:rFonts w:ascii="Gotham Book" w:hAnsi="Gotham Book" w:cstheme="minorBidi"/>
      <w:color w:val="auto"/>
    </w:rPr>
  </w:style>
  <w:style w:type="paragraph" w:customStyle="1" w:styleId="Pa20">
    <w:name w:val="Pa20"/>
    <w:basedOn w:val="Default"/>
    <w:next w:val="Default"/>
    <w:uiPriority w:val="99"/>
    <w:rsid w:val="006C6EBA"/>
    <w:pPr>
      <w:spacing w:line="181" w:lineRule="atLeast"/>
    </w:pPr>
    <w:rPr>
      <w:rFonts w:ascii="Gotham Book" w:hAnsi="Gotham Book" w:cstheme="minorBidi"/>
      <w:color w:val="auto"/>
    </w:rPr>
  </w:style>
  <w:style w:type="paragraph" w:customStyle="1" w:styleId="Pa15">
    <w:name w:val="Pa15"/>
    <w:basedOn w:val="Default"/>
    <w:next w:val="Default"/>
    <w:uiPriority w:val="99"/>
    <w:rsid w:val="006C6EBA"/>
    <w:pPr>
      <w:spacing w:line="181" w:lineRule="atLeast"/>
    </w:pPr>
    <w:rPr>
      <w:rFonts w:ascii="Gotham Book" w:hAnsi="Gotham Book" w:cstheme="minorBidi"/>
      <w:color w:val="auto"/>
    </w:rPr>
  </w:style>
  <w:style w:type="paragraph" w:customStyle="1" w:styleId="Pa13">
    <w:name w:val="Pa13"/>
    <w:basedOn w:val="Default"/>
    <w:next w:val="Default"/>
    <w:uiPriority w:val="99"/>
    <w:rsid w:val="006C6EBA"/>
    <w:pPr>
      <w:spacing w:line="201" w:lineRule="atLeast"/>
    </w:pPr>
    <w:rPr>
      <w:rFonts w:ascii="Gotham Bold" w:hAnsi="Gotham Bold" w:cstheme="minorBidi"/>
      <w:color w:val="auto"/>
    </w:rPr>
  </w:style>
  <w:style w:type="paragraph" w:customStyle="1" w:styleId="Pa21">
    <w:name w:val="Pa21"/>
    <w:basedOn w:val="Default"/>
    <w:next w:val="Default"/>
    <w:uiPriority w:val="99"/>
    <w:rsid w:val="006C6EBA"/>
    <w:pPr>
      <w:spacing w:line="201" w:lineRule="atLeast"/>
    </w:pPr>
    <w:rPr>
      <w:rFonts w:ascii="Gotham Bold" w:hAnsi="Gotham Bold" w:cstheme="minorBidi"/>
      <w:color w:val="auto"/>
    </w:rPr>
  </w:style>
  <w:style w:type="paragraph" w:customStyle="1" w:styleId="Pa14">
    <w:name w:val="Pa14"/>
    <w:basedOn w:val="Default"/>
    <w:next w:val="Default"/>
    <w:uiPriority w:val="99"/>
    <w:rsid w:val="006C6EBA"/>
    <w:pPr>
      <w:spacing w:line="261" w:lineRule="atLeast"/>
    </w:pPr>
    <w:rPr>
      <w:rFonts w:ascii="Gotham Medium" w:hAnsi="Gotham Medium" w:cstheme="minorBidi"/>
      <w:color w:val="auto"/>
    </w:rPr>
  </w:style>
  <w:style w:type="character" w:customStyle="1" w:styleId="A8">
    <w:name w:val="A8"/>
    <w:uiPriority w:val="99"/>
    <w:rsid w:val="006C6EBA"/>
    <w:rPr>
      <w:rFonts w:ascii="Gotham Book" w:hAnsi="Gotham Book" w:cs="Gotham Book"/>
      <w:color w:val="000000"/>
      <w:sz w:val="10"/>
      <w:szCs w:val="10"/>
    </w:rPr>
  </w:style>
  <w:style w:type="paragraph" w:customStyle="1" w:styleId="Pa28">
    <w:name w:val="Pa28"/>
    <w:basedOn w:val="Default"/>
    <w:next w:val="Default"/>
    <w:uiPriority w:val="99"/>
    <w:rsid w:val="006C6EBA"/>
    <w:pPr>
      <w:spacing w:line="181" w:lineRule="atLeast"/>
    </w:pPr>
    <w:rPr>
      <w:rFonts w:ascii="Gotham Book" w:hAnsi="Gotham Book" w:cstheme="minorBidi"/>
      <w:color w:val="auto"/>
    </w:rPr>
  </w:style>
  <w:style w:type="character" w:styleId="Strong">
    <w:name w:val="Strong"/>
    <w:basedOn w:val="DefaultParagraphFont"/>
    <w:uiPriority w:val="22"/>
    <w:qFormat/>
    <w:rsid w:val="006C6EBA"/>
    <w:rPr>
      <w:b/>
      <w:bCs/>
    </w:rPr>
  </w:style>
  <w:style w:type="paragraph" w:styleId="BalloonText">
    <w:name w:val="Balloon Text"/>
    <w:basedOn w:val="Normal"/>
    <w:link w:val="BalloonTextChar"/>
    <w:uiPriority w:val="99"/>
    <w:semiHidden/>
    <w:unhideWhenUsed/>
    <w:rsid w:val="006C6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EBA"/>
    <w:rPr>
      <w:rFonts w:ascii="Segoe UI" w:eastAsia="Times New Roman" w:hAnsi="Segoe UI" w:cs="Segoe UI"/>
      <w:kern w:val="0"/>
      <w:sz w:val="18"/>
      <w:szCs w:val="18"/>
      <w:lang w:eastAsia="en-GB"/>
      <w14:ligatures w14:val="none"/>
    </w:rPr>
  </w:style>
  <w:style w:type="character" w:customStyle="1" w:styleId="A13">
    <w:name w:val="A13"/>
    <w:uiPriority w:val="99"/>
    <w:rsid w:val="006C6EBA"/>
    <w:rPr>
      <w:rFonts w:cs="Helvetica 45 Light"/>
      <w:color w:val="000000"/>
      <w:sz w:val="11"/>
      <w:szCs w:val="11"/>
    </w:rPr>
  </w:style>
  <w:style w:type="character" w:customStyle="1" w:styleId="A14">
    <w:name w:val="A14"/>
    <w:uiPriority w:val="99"/>
    <w:rsid w:val="006C6EBA"/>
    <w:rPr>
      <w:rFonts w:cs="Gotham Book"/>
      <w:i/>
      <w:iCs/>
      <w:color w:val="000000"/>
      <w:sz w:val="15"/>
      <w:szCs w:val="15"/>
    </w:rPr>
  </w:style>
  <w:style w:type="character" w:customStyle="1" w:styleId="A12">
    <w:name w:val="A12"/>
    <w:uiPriority w:val="99"/>
    <w:rsid w:val="006C6EBA"/>
    <w:rPr>
      <w:rFonts w:cs="Open Sans Light"/>
      <w:color w:val="000000"/>
      <w:sz w:val="18"/>
      <w:szCs w:val="18"/>
      <w:u w:val="single"/>
    </w:rPr>
  </w:style>
  <w:style w:type="paragraph" w:customStyle="1" w:styleId="DefaultText">
    <w:name w:val="Default Text"/>
    <w:basedOn w:val="Normal"/>
    <w:rsid w:val="006C6EBA"/>
    <w:rPr>
      <w:noProof/>
      <w:szCs w:val="20"/>
      <w:lang w:eastAsia="en-US"/>
    </w:rPr>
  </w:style>
  <w:style w:type="paragraph" w:customStyle="1" w:styleId="Pa33">
    <w:name w:val="Pa33"/>
    <w:basedOn w:val="Default"/>
    <w:next w:val="Default"/>
    <w:uiPriority w:val="99"/>
    <w:rsid w:val="006C6EBA"/>
    <w:pPr>
      <w:spacing w:line="181" w:lineRule="atLeast"/>
    </w:pPr>
    <w:rPr>
      <w:rFonts w:ascii="Gotham Book" w:hAnsi="Gotham Book" w:cstheme="minorBidi"/>
      <w:color w:val="auto"/>
    </w:rPr>
  </w:style>
  <w:style w:type="paragraph" w:customStyle="1" w:styleId="Pa8">
    <w:name w:val="Pa8"/>
    <w:basedOn w:val="Default"/>
    <w:next w:val="Default"/>
    <w:uiPriority w:val="99"/>
    <w:rsid w:val="006C6EBA"/>
    <w:pPr>
      <w:spacing w:line="221" w:lineRule="atLeast"/>
    </w:pPr>
    <w:rPr>
      <w:rFonts w:ascii="Helvetica Neue" w:hAnsi="Helvetica Neue" w:cstheme="minorBidi"/>
      <w:color w:val="auto"/>
    </w:rPr>
  </w:style>
  <w:style w:type="paragraph" w:customStyle="1" w:styleId="Pa4">
    <w:name w:val="Pa4"/>
    <w:basedOn w:val="Default"/>
    <w:next w:val="Default"/>
    <w:uiPriority w:val="99"/>
    <w:rsid w:val="006C6EBA"/>
    <w:pPr>
      <w:spacing w:line="181" w:lineRule="atLeast"/>
    </w:pPr>
    <w:rPr>
      <w:rFonts w:ascii="Helvetica Neue" w:hAnsi="Helvetica Neue" w:cstheme="minorBidi"/>
      <w:color w:val="auto"/>
    </w:rPr>
  </w:style>
  <w:style w:type="character" w:customStyle="1" w:styleId="A1">
    <w:name w:val="A1"/>
    <w:uiPriority w:val="99"/>
    <w:rsid w:val="006C6EBA"/>
    <w:rPr>
      <w:rFonts w:ascii="Helvetica 45 Light" w:hAnsi="Helvetica 45 Light" w:cs="Helvetica 45 Light"/>
      <w:color w:val="000000"/>
    </w:rPr>
  </w:style>
  <w:style w:type="paragraph" w:customStyle="1" w:styleId="xcasestudytext">
    <w:name w:val="x_casestudytext"/>
    <w:basedOn w:val="Normal"/>
    <w:rsid w:val="006C6EBA"/>
    <w:pPr>
      <w:spacing w:before="100" w:beforeAutospacing="1" w:after="100" w:afterAutospacing="1"/>
    </w:pPr>
    <w:rPr>
      <w:lang w:eastAsia="en-AU"/>
    </w:rPr>
  </w:style>
  <w:style w:type="numbering" w:customStyle="1" w:styleId="CurrentList1">
    <w:name w:val="Current List1"/>
    <w:uiPriority w:val="99"/>
    <w:rsid w:val="006C6EBA"/>
    <w:pPr>
      <w:numPr>
        <w:numId w:val="42"/>
      </w:numPr>
    </w:pPr>
  </w:style>
  <w:style w:type="character" w:customStyle="1" w:styleId="apple-converted-space">
    <w:name w:val="apple-converted-space"/>
    <w:basedOn w:val="DefaultParagraphFont"/>
    <w:rsid w:val="006C6EBA"/>
  </w:style>
  <w:style w:type="paragraph" w:customStyle="1" w:styleId="Appendix3">
    <w:name w:val="Appendix 3"/>
    <w:basedOn w:val="Heading2"/>
    <w:qFormat/>
    <w:rsid w:val="006C6EBA"/>
    <w:pPr>
      <w:numPr>
        <w:ilvl w:val="0"/>
        <w:numId w:val="44"/>
      </w:numPr>
    </w:pPr>
  </w:style>
  <w:style w:type="paragraph" w:customStyle="1" w:styleId="Pa16">
    <w:name w:val="Pa16"/>
    <w:basedOn w:val="Normal"/>
    <w:next w:val="Normal"/>
    <w:uiPriority w:val="99"/>
    <w:rsid w:val="006C6EBA"/>
    <w:pPr>
      <w:autoSpaceDE w:val="0"/>
      <w:autoSpaceDN w:val="0"/>
      <w:adjustRightInd w:val="0"/>
      <w:spacing w:line="201" w:lineRule="atLeast"/>
    </w:pPr>
    <w:rPr>
      <w:rFonts w:ascii="HelveticaNeue LightCond" w:eastAsiaTheme="minorHAnsi" w:hAnsi="HelveticaNeue LightCond" w:cstheme="minorBidi"/>
      <w:lang w:eastAsia="en-US"/>
    </w:rPr>
  </w:style>
  <w:style w:type="numbering" w:customStyle="1" w:styleId="CurrentList2">
    <w:name w:val="Current List2"/>
    <w:uiPriority w:val="99"/>
    <w:rsid w:val="006C6EBA"/>
    <w:pPr>
      <w:numPr>
        <w:numId w:val="43"/>
      </w:numPr>
    </w:pPr>
  </w:style>
  <w:style w:type="character" w:customStyle="1" w:styleId="e24kjd">
    <w:name w:val="e24kjd"/>
    <w:basedOn w:val="DefaultParagraphFont"/>
    <w:rsid w:val="006C6EBA"/>
  </w:style>
  <w:style w:type="character" w:styleId="EndnoteReference">
    <w:name w:val="endnote reference"/>
    <w:basedOn w:val="DefaultParagraphFont"/>
    <w:uiPriority w:val="99"/>
    <w:semiHidden/>
    <w:unhideWhenUsed/>
    <w:rsid w:val="006C6EBA"/>
    <w:rPr>
      <w:vertAlign w:val="superscript"/>
    </w:rPr>
  </w:style>
  <w:style w:type="paragraph" w:customStyle="1" w:styleId="Casestudyanalysis">
    <w:name w:val="Case study analysis"/>
    <w:basedOn w:val="CaseStudyHeading0"/>
    <w:qFormat/>
    <w:rsid w:val="006C6EBA"/>
    <w:pPr>
      <w:numPr>
        <w:numId w:val="52"/>
      </w:numPr>
      <w:ind w:left="714" w:hanging="357"/>
    </w:pPr>
  </w:style>
  <w:style w:type="numbering" w:customStyle="1" w:styleId="CurrentList3">
    <w:name w:val="Current List3"/>
    <w:uiPriority w:val="99"/>
    <w:rsid w:val="006C6EBA"/>
    <w:pPr>
      <w:numPr>
        <w:numId w:val="54"/>
      </w:numPr>
    </w:pPr>
  </w:style>
  <w:style w:type="paragraph" w:styleId="TOCHeading">
    <w:name w:val="TOC Heading"/>
    <w:basedOn w:val="Heading1"/>
    <w:next w:val="Normal"/>
    <w:uiPriority w:val="39"/>
    <w:unhideWhenUsed/>
    <w:qFormat/>
    <w:rsid w:val="006C6EBA"/>
    <w:pPr>
      <w:keepNext/>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u w:val="none"/>
      <w:lang w:val="en-US" w:eastAsia="en-US"/>
    </w:rPr>
  </w:style>
  <w:style w:type="paragraph" w:customStyle="1" w:styleId="Style1">
    <w:name w:val="Style1"/>
    <w:basedOn w:val="Normal"/>
    <w:rsid w:val="006C6EBA"/>
    <w:pPr>
      <w:ind w:left="360" w:hanging="360"/>
    </w:pPr>
  </w:style>
  <w:style w:type="numbering" w:customStyle="1" w:styleId="CurrentList4">
    <w:name w:val="Current List4"/>
    <w:uiPriority w:val="99"/>
    <w:rsid w:val="006C6EBA"/>
    <w:pPr>
      <w:numPr>
        <w:numId w:val="61"/>
      </w:numPr>
    </w:pPr>
  </w:style>
  <w:style w:type="numbering" w:customStyle="1" w:styleId="CurrentList5">
    <w:name w:val="Current List5"/>
    <w:uiPriority w:val="99"/>
    <w:rsid w:val="006C6EBA"/>
    <w:pPr>
      <w:numPr>
        <w:numId w:val="62"/>
      </w:numPr>
    </w:pPr>
  </w:style>
  <w:style w:type="numbering" w:customStyle="1" w:styleId="CurrentList6">
    <w:name w:val="Current List6"/>
    <w:uiPriority w:val="99"/>
    <w:rsid w:val="006C6EBA"/>
    <w:pPr>
      <w:numPr>
        <w:numId w:val="63"/>
      </w:numPr>
    </w:pPr>
  </w:style>
  <w:style w:type="numbering" w:customStyle="1" w:styleId="CurrentList7">
    <w:name w:val="Current List7"/>
    <w:uiPriority w:val="99"/>
    <w:rsid w:val="006C6EBA"/>
    <w:pPr>
      <w:numPr>
        <w:numId w:val="64"/>
      </w:numPr>
    </w:pPr>
  </w:style>
  <w:style w:type="numbering" w:customStyle="1" w:styleId="CurrentList8">
    <w:name w:val="Current List8"/>
    <w:uiPriority w:val="99"/>
    <w:rsid w:val="006C6EBA"/>
    <w:pPr>
      <w:numPr>
        <w:numId w:val="65"/>
      </w:numPr>
    </w:pPr>
  </w:style>
  <w:style w:type="numbering" w:customStyle="1" w:styleId="CurrentList9">
    <w:name w:val="Current List9"/>
    <w:uiPriority w:val="99"/>
    <w:rsid w:val="006C6EBA"/>
    <w:pPr>
      <w:numPr>
        <w:numId w:val="66"/>
      </w:numPr>
    </w:pPr>
  </w:style>
  <w:style w:type="numbering" w:customStyle="1" w:styleId="CurrentList10">
    <w:name w:val="Current List10"/>
    <w:uiPriority w:val="99"/>
    <w:rsid w:val="006C6EBA"/>
    <w:pPr>
      <w:numPr>
        <w:numId w:val="67"/>
      </w:numPr>
    </w:pPr>
  </w:style>
  <w:style w:type="numbering" w:customStyle="1" w:styleId="CurrentList11">
    <w:name w:val="Current List11"/>
    <w:uiPriority w:val="99"/>
    <w:rsid w:val="006C6EBA"/>
    <w:pPr>
      <w:numPr>
        <w:numId w:val="68"/>
      </w:numPr>
    </w:pPr>
  </w:style>
  <w:style w:type="numbering" w:customStyle="1" w:styleId="CurrentList12">
    <w:name w:val="Current List12"/>
    <w:uiPriority w:val="99"/>
    <w:rsid w:val="006C6EBA"/>
    <w:pPr>
      <w:numPr>
        <w:numId w:val="69"/>
      </w:numPr>
    </w:pPr>
  </w:style>
  <w:style w:type="numbering" w:customStyle="1" w:styleId="CurrentList13">
    <w:name w:val="Current List13"/>
    <w:uiPriority w:val="99"/>
    <w:rsid w:val="006C6EBA"/>
    <w:pPr>
      <w:numPr>
        <w:numId w:val="70"/>
      </w:numPr>
    </w:pPr>
  </w:style>
  <w:style w:type="numbering" w:customStyle="1" w:styleId="CurrentList14">
    <w:name w:val="Current List14"/>
    <w:uiPriority w:val="99"/>
    <w:rsid w:val="006C6EBA"/>
    <w:pPr>
      <w:numPr>
        <w:numId w:val="100"/>
      </w:numPr>
    </w:pPr>
  </w:style>
  <w:style w:type="numbering" w:customStyle="1" w:styleId="CurrentList15">
    <w:name w:val="Current List15"/>
    <w:uiPriority w:val="99"/>
    <w:rsid w:val="006C6EBA"/>
    <w:pPr>
      <w:numPr>
        <w:numId w:val="101"/>
      </w:numPr>
    </w:pPr>
  </w:style>
  <w:style w:type="numbering" w:customStyle="1" w:styleId="CurrentList16">
    <w:name w:val="Current List16"/>
    <w:uiPriority w:val="99"/>
    <w:rsid w:val="006C6EBA"/>
    <w:pPr>
      <w:numPr>
        <w:numId w:val="102"/>
      </w:numPr>
    </w:pPr>
  </w:style>
  <w:style w:type="numbering" w:customStyle="1" w:styleId="CurrentList17">
    <w:name w:val="Current List17"/>
    <w:uiPriority w:val="99"/>
    <w:rsid w:val="006C6EBA"/>
    <w:pPr>
      <w:numPr>
        <w:numId w:val="103"/>
      </w:numPr>
    </w:pPr>
  </w:style>
  <w:style w:type="paragraph" w:styleId="Index1">
    <w:name w:val="index 1"/>
    <w:basedOn w:val="Normal"/>
    <w:next w:val="Normal"/>
    <w:autoRedefine/>
    <w:uiPriority w:val="99"/>
    <w:unhideWhenUsed/>
    <w:rsid w:val="006C6EBA"/>
    <w:pPr>
      <w:ind w:left="240" w:hanging="240"/>
    </w:pPr>
    <w:rPr>
      <w:rFonts w:asciiTheme="minorHAnsi" w:hAnsiTheme="minorHAnsi" w:cstheme="minorHAnsi"/>
      <w:sz w:val="18"/>
      <w:szCs w:val="18"/>
    </w:rPr>
  </w:style>
  <w:style w:type="paragraph" w:styleId="Index2">
    <w:name w:val="index 2"/>
    <w:basedOn w:val="Normal"/>
    <w:next w:val="Normal"/>
    <w:autoRedefine/>
    <w:uiPriority w:val="99"/>
    <w:unhideWhenUsed/>
    <w:rsid w:val="006C6EBA"/>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6C6EBA"/>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6C6EBA"/>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6C6EBA"/>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6C6EBA"/>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6C6EBA"/>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6C6EBA"/>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6C6EBA"/>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6C6EBA"/>
    <w:pPr>
      <w:spacing w:before="240" w:after="120"/>
      <w:jc w:val="center"/>
    </w:pPr>
    <w:rPr>
      <w:rFonts w:asciiTheme="minorHAnsi" w:hAnsiTheme="minorHAnsi" w:cstheme="minorHAnsi"/>
      <w:b/>
      <w:bCs/>
      <w:sz w:val="26"/>
      <w:szCs w:val="26"/>
    </w:rPr>
  </w:style>
  <w:style w:type="paragraph" w:styleId="BodyText">
    <w:name w:val="Body Text"/>
    <w:basedOn w:val="Normal"/>
    <w:link w:val="BodyTextChar"/>
    <w:uiPriority w:val="1"/>
    <w:qFormat/>
    <w:rsid w:val="006C6EBA"/>
    <w:pPr>
      <w:widowControl w:val="0"/>
      <w:autoSpaceDE w:val="0"/>
      <w:autoSpaceDN w:val="0"/>
      <w:spacing w:before="83"/>
      <w:ind w:left="680" w:right="881"/>
    </w:pPr>
    <w:rPr>
      <w:rFonts w:ascii="Arial" w:eastAsia="Arial" w:hAnsi="Arial" w:cs="Arial"/>
      <w:lang w:val="en-US" w:eastAsia="en-US"/>
    </w:rPr>
  </w:style>
  <w:style w:type="character" w:customStyle="1" w:styleId="BodyTextChar">
    <w:name w:val="Body Text Char"/>
    <w:basedOn w:val="DefaultParagraphFont"/>
    <w:link w:val="BodyText"/>
    <w:uiPriority w:val="1"/>
    <w:rsid w:val="006C6EBA"/>
    <w:rPr>
      <w:rFonts w:ascii="Arial" w:eastAsia="Arial" w:hAnsi="Arial" w:cs="Arial"/>
      <w:kern w:val="0"/>
      <w:lang w:val="en-US"/>
      <w14:ligatures w14:val="none"/>
    </w:rPr>
  </w:style>
  <w:style w:type="paragraph" w:customStyle="1" w:styleId="Guidelinesnormalparagraph">
    <w:name w:val="Guidelines_normal paragraph"/>
    <w:basedOn w:val="Normal"/>
    <w:qFormat/>
    <w:rsid w:val="006C6EBA"/>
    <w:pPr>
      <w:spacing w:after="120"/>
    </w:pPr>
    <w:rPr>
      <w:rFonts w:asciiTheme="minorHAnsi" w:eastAsiaTheme="minorHAnsi" w:hAnsiTheme="minorHAnsi" w:cstheme="minorBidi"/>
      <w:kern w:val="2"/>
      <w:sz w:val="22"/>
      <w:lang w:eastAsia="en-US"/>
      <w14:ligatures w14:val="standardContextual"/>
    </w:rPr>
  </w:style>
  <w:style w:type="paragraph" w:styleId="Bibliography">
    <w:name w:val="Bibliography"/>
    <w:basedOn w:val="Normal"/>
    <w:next w:val="Normal"/>
    <w:uiPriority w:val="37"/>
    <w:semiHidden/>
    <w:unhideWhenUsed/>
    <w:rsid w:val="00DA7082"/>
  </w:style>
  <w:style w:type="paragraph" w:styleId="BlockText">
    <w:name w:val="Block Text"/>
    <w:basedOn w:val="Normal"/>
    <w:uiPriority w:val="99"/>
    <w:semiHidden/>
    <w:unhideWhenUsed/>
    <w:rsid w:val="00DA708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A7082"/>
    <w:pPr>
      <w:spacing w:after="120" w:line="480" w:lineRule="auto"/>
    </w:pPr>
  </w:style>
  <w:style w:type="character" w:customStyle="1" w:styleId="BodyText2Char">
    <w:name w:val="Body Text 2 Char"/>
    <w:basedOn w:val="DefaultParagraphFont"/>
    <w:link w:val="BodyText2"/>
    <w:uiPriority w:val="99"/>
    <w:semiHidden/>
    <w:rsid w:val="00DA7082"/>
    <w:rPr>
      <w:rFonts w:ascii="Times New Roman" w:eastAsia="Times New Roman" w:hAnsi="Times New Roman" w:cs="Times New Roman"/>
      <w:kern w:val="0"/>
      <w:lang w:eastAsia="en-GB"/>
      <w14:ligatures w14:val="none"/>
    </w:rPr>
  </w:style>
  <w:style w:type="paragraph" w:styleId="BodyText3">
    <w:name w:val="Body Text 3"/>
    <w:basedOn w:val="Normal"/>
    <w:link w:val="BodyText3Char"/>
    <w:uiPriority w:val="99"/>
    <w:semiHidden/>
    <w:unhideWhenUsed/>
    <w:rsid w:val="00DA7082"/>
    <w:pPr>
      <w:spacing w:after="120"/>
    </w:pPr>
    <w:rPr>
      <w:sz w:val="16"/>
      <w:szCs w:val="16"/>
    </w:rPr>
  </w:style>
  <w:style w:type="character" w:customStyle="1" w:styleId="BodyText3Char">
    <w:name w:val="Body Text 3 Char"/>
    <w:basedOn w:val="DefaultParagraphFont"/>
    <w:link w:val="BodyText3"/>
    <w:uiPriority w:val="99"/>
    <w:semiHidden/>
    <w:rsid w:val="00DA7082"/>
    <w:rPr>
      <w:rFonts w:ascii="Times New Roman" w:eastAsia="Times New Roman" w:hAnsi="Times New Roman" w:cs="Times New Roman"/>
      <w:kern w:val="0"/>
      <w:sz w:val="16"/>
      <w:szCs w:val="16"/>
      <w:lang w:eastAsia="en-GB"/>
      <w14:ligatures w14:val="none"/>
    </w:rPr>
  </w:style>
  <w:style w:type="paragraph" w:styleId="BodyTextFirstIndent">
    <w:name w:val="Body Text First Indent"/>
    <w:basedOn w:val="BodyText"/>
    <w:link w:val="BodyTextFirstIndentChar"/>
    <w:uiPriority w:val="99"/>
    <w:semiHidden/>
    <w:unhideWhenUsed/>
    <w:rsid w:val="00DA7082"/>
    <w:pPr>
      <w:widowControl/>
      <w:autoSpaceDE/>
      <w:autoSpaceDN/>
      <w:spacing w:before="0"/>
      <w:ind w:left="0" w:right="0" w:firstLine="360"/>
    </w:pPr>
    <w:rPr>
      <w:rFonts w:ascii="Times New Roman" w:eastAsia="Times New Roman" w:hAnsi="Times New Roman" w:cs="Times New Roman"/>
      <w:lang w:val="en-AU" w:eastAsia="en-GB"/>
    </w:rPr>
  </w:style>
  <w:style w:type="character" w:customStyle="1" w:styleId="BodyTextFirstIndentChar">
    <w:name w:val="Body Text First Indent Char"/>
    <w:basedOn w:val="BodyTextChar"/>
    <w:link w:val="BodyTextFirstIndent"/>
    <w:uiPriority w:val="99"/>
    <w:semiHidden/>
    <w:rsid w:val="00DA7082"/>
    <w:rPr>
      <w:rFonts w:ascii="Times New Roman" w:eastAsia="Times New Roman" w:hAnsi="Times New Roman" w:cs="Times New Roman"/>
      <w:kern w:val="0"/>
      <w:lang w:val="en-US" w:eastAsia="en-GB"/>
      <w14:ligatures w14:val="none"/>
    </w:rPr>
  </w:style>
  <w:style w:type="paragraph" w:styleId="BodyTextIndent">
    <w:name w:val="Body Text Indent"/>
    <w:basedOn w:val="Normal"/>
    <w:link w:val="BodyTextIndentChar"/>
    <w:uiPriority w:val="99"/>
    <w:semiHidden/>
    <w:unhideWhenUsed/>
    <w:rsid w:val="00DA7082"/>
    <w:pPr>
      <w:spacing w:after="120"/>
      <w:ind w:left="283"/>
    </w:pPr>
  </w:style>
  <w:style w:type="character" w:customStyle="1" w:styleId="BodyTextIndentChar">
    <w:name w:val="Body Text Indent Char"/>
    <w:basedOn w:val="DefaultParagraphFont"/>
    <w:link w:val="BodyTextIndent"/>
    <w:uiPriority w:val="99"/>
    <w:semiHidden/>
    <w:rsid w:val="00DA7082"/>
    <w:rPr>
      <w:rFonts w:ascii="Times New Roman" w:eastAsia="Times New Roman" w:hAnsi="Times New Roman" w:cs="Times New Roman"/>
      <w:kern w:val="0"/>
      <w:lang w:eastAsia="en-GB"/>
      <w14:ligatures w14:val="none"/>
    </w:rPr>
  </w:style>
  <w:style w:type="paragraph" w:styleId="BodyTextFirstIndent2">
    <w:name w:val="Body Text First Indent 2"/>
    <w:basedOn w:val="BodyTextIndent"/>
    <w:link w:val="BodyTextFirstIndent2Char"/>
    <w:uiPriority w:val="99"/>
    <w:semiHidden/>
    <w:unhideWhenUsed/>
    <w:rsid w:val="00DA7082"/>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7082"/>
    <w:rPr>
      <w:rFonts w:ascii="Times New Roman" w:eastAsia="Times New Roman" w:hAnsi="Times New Roman" w:cs="Times New Roman"/>
      <w:kern w:val="0"/>
      <w:lang w:eastAsia="en-GB"/>
      <w14:ligatures w14:val="none"/>
    </w:rPr>
  </w:style>
  <w:style w:type="paragraph" w:styleId="BodyTextIndent2">
    <w:name w:val="Body Text Indent 2"/>
    <w:basedOn w:val="Normal"/>
    <w:link w:val="BodyTextIndent2Char"/>
    <w:uiPriority w:val="99"/>
    <w:semiHidden/>
    <w:unhideWhenUsed/>
    <w:rsid w:val="00DA7082"/>
    <w:pPr>
      <w:spacing w:after="120" w:line="480" w:lineRule="auto"/>
      <w:ind w:left="283"/>
    </w:pPr>
  </w:style>
  <w:style w:type="character" w:customStyle="1" w:styleId="BodyTextIndent2Char">
    <w:name w:val="Body Text Indent 2 Char"/>
    <w:basedOn w:val="DefaultParagraphFont"/>
    <w:link w:val="BodyTextIndent2"/>
    <w:uiPriority w:val="99"/>
    <w:semiHidden/>
    <w:rsid w:val="00DA7082"/>
    <w:rPr>
      <w:rFonts w:ascii="Times New Roman" w:eastAsia="Times New Roman" w:hAnsi="Times New Roman" w:cs="Times New Roman"/>
      <w:kern w:val="0"/>
      <w:lang w:eastAsia="en-GB"/>
      <w14:ligatures w14:val="none"/>
    </w:rPr>
  </w:style>
  <w:style w:type="paragraph" w:styleId="BodyTextIndent3">
    <w:name w:val="Body Text Indent 3"/>
    <w:basedOn w:val="Normal"/>
    <w:link w:val="BodyTextIndent3Char"/>
    <w:uiPriority w:val="99"/>
    <w:semiHidden/>
    <w:unhideWhenUsed/>
    <w:rsid w:val="00DA7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A7082"/>
    <w:rPr>
      <w:rFonts w:ascii="Times New Roman" w:eastAsia="Times New Roman" w:hAnsi="Times New Roman" w:cs="Times New Roman"/>
      <w:kern w:val="0"/>
      <w:sz w:val="16"/>
      <w:szCs w:val="16"/>
      <w:lang w:eastAsia="en-GB"/>
      <w14:ligatures w14:val="none"/>
    </w:rPr>
  </w:style>
  <w:style w:type="paragraph" w:styleId="Caption">
    <w:name w:val="caption"/>
    <w:basedOn w:val="Normal"/>
    <w:next w:val="Normal"/>
    <w:uiPriority w:val="35"/>
    <w:semiHidden/>
    <w:unhideWhenUsed/>
    <w:qFormat/>
    <w:rsid w:val="00DA7082"/>
    <w:pPr>
      <w:spacing w:after="200"/>
    </w:pPr>
    <w:rPr>
      <w:i/>
      <w:iCs/>
      <w:color w:val="44546A" w:themeColor="text2"/>
      <w:sz w:val="18"/>
      <w:szCs w:val="18"/>
    </w:rPr>
  </w:style>
  <w:style w:type="paragraph" w:styleId="Closing">
    <w:name w:val="Closing"/>
    <w:basedOn w:val="Normal"/>
    <w:link w:val="ClosingChar"/>
    <w:uiPriority w:val="99"/>
    <w:semiHidden/>
    <w:unhideWhenUsed/>
    <w:rsid w:val="00DA7082"/>
    <w:pPr>
      <w:ind w:left="4252"/>
    </w:pPr>
  </w:style>
  <w:style w:type="character" w:customStyle="1" w:styleId="ClosingChar">
    <w:name w:val="Closing Char"/>
    <w:basedOn w:val="DefaultParagraphFont"/>
    <w:link w:val="Closing"/>
    <w:uiPriority w:val="99"/>
    <w:semiHidden/>
    <w:rsid w:val="00DA7082"/>
    <w:rPr>
      <w:rFonts w:ascii="Times New Roman" w:eastAsia="Times New Roman" w:hAnsi="Times New Roman" w:cs="Times New Roman"/>
      <w:kern w:val="0"/>
      <w:lang w:eastAsia="en-GB"/>
      <w14:ligatures w14:val="none"/>
    </w:rPr>
  </w:style>
  <w:style w:type="paragraph" w:styleId="Date">
    <w:name w:val="Date"/>
    <w:basedOn w:val="Normal"/>
    <w:next w:val="Normal"/>
    <w:link w:val="DateChar"/>
    <w:uiPriority w:val="99"/>
    <w:semiHidden/>
    <w:unhideWhenUsed/>
    <w:rsid w:val="00DA7082"/>
  </w:style>
  <w:style w:type="character" w:customStyle="1" w:styleId="DateChar">
    <w:name w:val="Date Char"/>
    <w:basedOn w:val="DefaultParagraphFont"/>
    <w:link w:val="Date"/>
    <w:uiPriority w:val="99"/>
    <w:semiHidden/>
    <w:rsid w:val="00DA7082"/>
    <w:rPr>
      <w:rFonts w:ascii="Times New Roman" w:eastAsia="Times New Roman" w:hAnsi="Times New Roman" w:cs="Times New Roman"/>
      <w:kern w:val="0"/>
      <w:lang w:eastAsia="en-GB"/>
      <w14:ligatures w14:val="none"/>
    </w:rPr>
  </w:style>
  <w:style w:type="paragraph" w:styleId="DocumentMap">
    <w:name w:val="Document Map"/>
    <w:basedOn w:val="Normal"/>
    <w:link w:val="DocumentMapChar"/>
    <w:uiPriority w:val="99"/>
    <w:semiHidden/>
    <w:unhideWhenUsed/>
    <w:rsid w:val="00DA708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7082"/>
    <w:rPr>
      <w:rFonts w:ascii="Segoe UI" w:eastAsia="Times New Roman" w:hAnsi="Segoe UI" w:cs="Segoe UI"/>
      <w:kern w:val="0"/>
      <w:sz w:val="16"/>
      <w:szCs w:val="16"/>
      <w:lang w:eastAsia="en-GB"/>
      <w14:ligatures w14:val="none"/>
    </w:rPr>
  </w:style>
  <w:style w:type="paragraph" w:styleId="E-mailSignature">
    <w:name w:val="E-mail Signature"/>
    <w:basedOn w:val="Normal"/>
    <w:link w:val="E-mailSignatureChar"/>
    <w:uiPriority w:val="99"/>
    <w:semiHidden/>
    <w:unhideWhenUsed/>
    <w:rsid w:val="00DA7082"/>
  </w:style>
  <w:style w:type="character" w:customStyle="1" w:styleId="E-mailSignatureChar">
    <w:name w:val="E-mail Signature Char"/>
    <w:basedOn w:val="DefaultParagraphFont"/>
    <w:link w:val="E-mailSignature"/>
    <w:uiPriority w:val="99"/>
    <w:semiHidden/>
    <w:rsid w:val="00DA7082"/>
    <w:rPr>
      <w:rFonts w:ascii="Times New Roman" w:eastAsia="Times New Roman" w:hAnsi="Times New Roman" w:cs="Times New Roman"/>
      <w:kern w:val="0"/>
      <w:lang w:eastAsia="en-GB"/>
      <w14:ligatures w14:val="none"/>
    </w:rPr>
  </w:style>
  <w:style w:type="paragraph" w:styleId="EndnoteText">
    <w:name w:val="endnote text"/>
    <w:basedOn w:val="Normal"/>
    <w:link w:val="EndnoteTextChar"/>
    <w:uiPriority w:val="99"/>
    <w:semiHidden/>
    <w:unhideWhenUsed/>
    <w:rsid w:val="00DA7082"/>
    <w:rPr>
      <w:sz w:val="20"/>
      <w:szCs w:val="20"/>
    </w:rPr>
  </w:style>
  <w:style w:type="character" w:customStyle="1" w:styleId="EndnoteTextChar">
    <w:name w:val="Endnote Text Char"/>
    <w:basedOn w:val="DefaultParagraphFont"/>
    <w:link w:val="EndnoteText"/>
    <w:uiPriority w:val="99"/>
    <w:semiHidden/>
    <w:rsid w:val="00DA7082"/>
    <w:rPr>
      <w:rFonts w:ascii="Times New Roman" w:eastAsia="Times New Roman" w:hAnsi="Times New Roman" w:cs="Times New Roman"/>
      <w:kern w:val="0"/>
      <w:sz w:val="20"/>
      <w:szCs w:val="20"/>
      <w:lang w:eastAsia="en-GB"/>
      <w14:ligatures w14:val="none"/>
    </w:rPr>
  </w:style>
  <w:style w:type="paragraph" w:styleId="EnvelopeAddress">
    <w:name w:val="envelope address"/>
    <w:basedOn w:val="Normal"/>
    <w:uiPriority w:val="99"/>
    <w:semiHidden/>
    <w:unhideWhenUsed/>
    <w:rsid w:val="00DA708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A7082"/>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A7082"/>
    <w:rPr>
      <w:i/>
      <w:iCs/>
    </w:rPr>
  </w:style>
  <w:style w:type="character" w:customStyle="1" w:styleId="HTMLAddressChar">
    <w:name w:val="HTML Address Char"/>
    <w:basedOn w:val="DefaultParagraphFont"/>
    <w:link w:val="HTMLAddress"/>
    <w:uiPriority w:val="99"/>
    <w:semiHidden/>
    <w:rsid w:val="00DA7082"/>
    <w:rPr>
      <w:rFonts w:ascii="Times New Roman" w:eastAsia="Times New Roman" w:hAnsi="Times New Roman" w:cs="Times New Roman"/>
      <w:i/>
      <w:iCs/>
      <w:kern w:val="0"/>
      <w:lang w:eastAsia="en-GB"/>
      <w14:ligatures w14:val="none"/>
    </w:rPr>
  </w:style>
  <w:style w:type="paragraph" w:styleId="HTMLPreformatted">
    <w:name w:val="HTML Preformatted"/>
    <w:basedOn w:val="Normal"/>
    <w:link w:val="HTMLPreformattedChar"/>
    <w:uiPriority w:val="99"/>
    <w:semiHidden/>
    <w:unhideWhenUsed/>
    <w:rsid w:val="00DA708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7082"/>
    <w:rPr>
      <w:rFonts w:ascii="Consolas" w:eastAsia="Times New Roman" w:hAnsi="Consolas" w:cs="Times New Roman"/>
      <w:kern w:val="0"/>
      <w:sz w:val="20"/>
      <w:szCs w:val="20"/>
      <w:lang w:eastAsia="en-GB"/>
      <w14:ligatures w14:val="none"/>
    </w:rPr>
  </w:style>
  <w:style w:type="paragraph" w:styleId="IntenseQuote">
    <w:name w:val="Intense Quote"/>
    <w:basedOn w:val="Normal"/>
    <w:next w:val="Normal"/>
    <w:link w:val="IntenseQuoteChar"/>
    <w:uiPriority w:val="30"/>
    <w:qFormat/>
    <w:rsid w:val="00DA708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A7082"/>
    <w:rPr>
      <w:rFonts w:ascii="Times New Roman" w:eastAsia="Times New Roman" w:hAnsi="Times New Roman" w:cs="Times New Roman"/>
      <w:i/>
      <w:iCs/>
      <w:color w:val="4472C4" w:themeColor="accent1"/>
      <w:kern w:val="0"/>
      <w:lang w:eastAsia="en-GB"/>
      <w14:ligatures w14:val="none"/>
    </w:rPr>
  </w:style>
  <w:style w:type="paragraph" w:styleId="List">
    <w:name w:val="List"/>
    <w:basedOn w:val="Normal"/>
    <w:uiPriority w:val="99"/>
    <w:semiHidden/>
    <w:unhideWhenUsed/>
    <w:rsid w:val="00DA7082"/>
    <w:pPr>
      <w:ind w:left="283" w:hanging="283"/>
      <w:contextualSpacing/>
    </w:pPr>
  </w:style>
  <w:style w:type="paragraph" w:styleId="List2">
    <w:name w:val="List 2"/>
    <w:basedOn w:val="Normal"/>
    <w:uiPriority w:val="99"/>
    <w:semiHidden/>
    <w:unhideWhenUsed/>
    <w:rsid w:val="00DA7082"/>
    <w:pPr>
      <w:ind w:left="566" w:hanging="283"/>
      <w:contextualSpacing/>
    </w:pPr>
  </w:style>
  <w:style w:type="paragraph" w:styleId="List3">
    <w:name w:val="List 3"/>
    <w:basedOn w:val="Normal"/>
    <w:uiPriority w:val="99"/>
    <w:semiHidden/>
    <w:unhideWhenUsed/>
    <w:rsid w:val="00DA7082"/>
    <w:pPr>
      <w:ind w:left="849" w:hanging="283"/>
      <w:contextualSpacing/>
    </w:pPr>
  </w:style>
  <w:style w:type="paragraph" w:styleId="List4">
    <w:name w:val="List 4"/>
    <w:basedOn w:val="Normal"/>
    <w:uiPriority w:val="99"/>
    <w:semiHidden/>
    <w:unhideWhenUsed/>
    <w:rsid w:val="00DA7082"/>
    <w:pPr>
      <w:ind w:left="1132" w:hanging="283"/>
      <w:contextualSpacing/>
    </w:pPr>
  </w:style>
  <w:style w:type="paragraph" w:styleId="List5">
    <w:name w:val="List 5"/>
    <w:basedOn w:val="Normal"/>
    <w:uiPriority w:val="99"/>
    <w:semiHidden/>
    <w:unhideWhenUsed/>
    <w:rsid w:val="00DA7082"/>
    <w:pPr>
      <w:ind w:left="1415" w:hanging="283"/>
      <w:contextualSpacing/>
    </w:pPr>
  </w:style>
  <w:style w:type="paragraph" w:styleId="ListBullet">
    <w:name w:val="List Bullet"/>
    <w:basedOn w:val="Normal"/>
    <w:uiPriority w:val="99"/>
    <w:semiHidden/>
    <w:unhideWhenUsed/>
    <w:rsid w:val="00DA7082"/>
    <w:pPr>
      <w:numPr>
        <w:numId w:val="147"/>
      </w:numPr>
      <w:contextualSpacing/>
    </w:pPr>
  </w:style>
  <w:style w:type="paragraph" w:styleId="ListBullet2">
    <w:name w:val="List Bullet 2"/>
    <w:basedOn w:val="Normal"/>
    <w:uiPriority w:val="99"/>
    <w:semiHidden/>
    <w:unhideWhenUsed/>
    <w:rsid w:val="00DA7082"/>
    <w:pPr>
      <w:numPr>
        <w:numId w:val="148"/>
      </w:numPr>
      <w:contextualSpacing/>
    </w:pPr>
  </w:style>
  <w:style w:type="paragraph" w:styleId="ListBullet3">
    <w:name w:val="List Bullet 3"/>
    <w:basedOn w:val="Normal"/>
    <w:uiPriority w:val="99"/>
    <w:semiHidden/>
    <w:unhideWhenUsed/>
    <w:rsid w:val="00DA7082"/>
    <w:pPr>
      <w:numPr>
        <w:numId w:val="149"/>
      </w:numPr>
      <w:contextualSpacing/>
    </w:pPr>
  </w:style>
  <w:style w:type="paragraph" w:styleId="ListBullet4">
    <w:name w:val="List Bullet 4"/>
    <w:basedOn w:val="Normal"/>
    <w:uiPriority w:val="99"/>
    <w:semiHidden/>
    <w:unhideWhenUsed/>
    <w:rsid w:val="00DA7082"/>
    <w:pPr>
      <w:numPr>
        <w:numId w:val="150"/>
      </w:numPr>
      <w:contextualSpacing/>
    </w:pPr>
  </w:style>
  <w:style w:type="paragraph" w:styleId="ListBullet5">
    <w:name w:val="List Bullet 5"/>
    <w:basedOn w:val="Normal"/>
    <w:uiPriority w:val="99"/>
    <w:semiHidden/>
    <w:unhideWhenUsed/>
    <w:rsid w:val="00DA7082"/>
    <w:pPr>
      <w:numPr>
        <w:numId w:val="151"/>
      </w:numPr>
      <w:contextualSpacing/>
    </w:pPr>
  </w:style>
  <w:style w:type="paragraph" w:styleId="ListContinue">
    <w:name w:val="List Continue"/>
    <w:basedOn w:val="Normal"/>
    <w:uiPriority w:val="99"/>
    <w:semiHidden/>
    <w:unhideWhenUsed/>
    <w:rsid w:val="00DA7082"/>
    <w:pPr>
      <w:spacing w:after="120"/>
      <w:ind w:left="283"/>
      <w:contextualSpacing/>
    </w:pPr>
  </w:style>
  <w:style w:type="paragraph" w:styleId="ListContinue2">
    <w:name w:val="List Continue 2"/>
    <w:basedOn w:val="Normal"/>
    <w:uiPriority w:val="99"/>
    <w:semiHidden/>
    <w:unhideWhenUsed/>
    <w:rsid w:val="00DA7082"/>
    <w:pPr>
      <w:spacing w:after="120"/>
      <w:ind w:left="566"/>
      <w:contextualSpacing/>
    </w:pPr>
  </w:style>
  <w:style w:type="paragraph" w:styleId="ListContinue3">
    <w:name w:val="List Continue 3"/>
    <w:basedOn w:val="Normal"/>
    <w:uiPriority w:val="99"/>
    <w:semiHidden/>
    <w:unhideWhenUsed/>
    <w:rsid w:val="00DA7082"/>
    <w:pPr>
      <w:spacing w:after="120"/>
      <w:ind w:left="849"/>
      <w:contextualSpacing/>
    </w:pPr>
  </w:style>
  <w:style w:type="paragraph" w:styleId="ListContinue4">
    <w:name w:val="List Continue 4"/>
    <w:basedOn w:val="Normal"/>
    <w:uiPriority w:val="99"/>
    <w:semiHidden/>
    <w:unhideWhenUsed/>
    <w:rsid w:val="00DA7082"/>
    <w:pPr>
      <w:spacing w:after="120"/>
      <w:ind w:left="1132"/>
      <w:contextualSpacing/>
    </w:pPr>
  </w:style>
  <w:style w:type="paragraph" w:styleId="ListContinue5">
    <w:name w:val="List Continue 5"/>
    <w:basedOn w:val="Normal"/>
    <w:uiPriority w:val="99"/>
    <w:semiHidden/>
    <w:unhideWhenUsed/>
    <w:rsid w:val="00DA7082"/>
    <w:pPr>
      <w:spacing w:after="120"/>
      <w:ind w:left="1415"/>
      <w:contextualSpacing/>
    </w:pPr>
  </w:style>
  <w:style w:type="paragraph" w:styleId="ListNumber">
    <w:name w:val="List Number"/>
    <w:basedOn w:val="Normal"/>
    <w:uiPriority w:val="99"/>
    <w:semiHidden/>
    <w:unhideWhenUsed/>
    <w:rsid w:val="00DA7082"/>
    <w:pPr>
      <w:numPr>
        <w:numId w:val="152"/>
      </w:numPr>
      <w:contextualSpacing/>
    </w:pPr>
  </w:style>
  <w:style w:type="paragraph" w:styleId="ListNumber2">
    <w:name w:val="List Number 2"/>
    <w:basedOn w:val="Normal"/>
    <w:uiPriority w:val="99"/>
    <w:semiHidden/>
    <w:unhideWhenUsed/>
    <w:rsid w:val="00DA7082"/>
    <w:pPr>
      <w:numPr>
        <w:numId w:val="153"/>
      </w:numPr>
      <w:contextualSpacing/>
    </w:pPr>
  </w:style>
  <w:style w:type="paragraph" w:styleId="ListNumber3">
    <w:name w:val="List Number 3"/>
    <w:basedOn w:val="Normal"/>
    <w:uiPriority w:val="99"/>
    <w:semiHidden/>
    <w:unhideWhenUsed/>
    <w:rsid w:val="00DA7082"/>
    <w:pPr>
      <w:numPr>
        <w:numId w:val="154"/>
      </w:numPr>
      <w:contextualSpacing/>
    </w:pPr>
  </w:style>
  <w:style w:type="paragraph" w:styleId="ListNumber4">
    <w:name w:val="List Number 4"/>
    <w:basedOn w:val="Normal"/>
    <w:uiPriority w:val="99"/>
    <w:semiHidden/>
    <w:unhideWhenUsed/>
    <w:rsid w:val="00DA7082"/>
    <w:pPr>
      <w:numPr>
        <w:numId w:val="155"/>
      </w:numPr>
      <w:contextualSpacing/>
    </w:pPr>
  </w:style>
  <w:style w:type="paragraph" w:styleId="ListNumber5">
    <w:name w:val="List Number 5"/>
    <w:basedOn w:val="Normal"/>
    <w:uiPriority w:val="99"/>
    <w:semiHidden/>
    <w:unhideWhenUsed/>
    <w:rsid w:val="00DA7082"/>
    <w:pPr>
      <w:numPr>
        <w:numId w:val="156"/>
      </w:numPr>
      <w:contextualSpacing/>
    </w:pPr>
  </w:style>
  <w:style w:type="paragraph" w:styleId="MacroText">
    <w:name w:val="macro"/>
    <w:link w:val="MacroTextChar"/>
    <w:uiPriority w:val="99"/>
    <w:semiHidden/>
    <w:unhideWhenUsed/>
    <w:rsid w:val="00DA708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kern w:val="0"/>
      <w:sz w:val="20"/>
      <w:szCs w:val="20"/>
      <w:lang w:eastAsia="en-GB"/>
      <w14:ligatures w14:val="none"/>
    </w:rPr>
  </w:style>
  <w:style w:type="character" w:customStyle="1" w:styleId="MacroTextChar">
    <w:name w:val="Macro Text Char"/>
    <w:basedOn w:val="DefaultParagraphFont"/>
    <w:link w:val="MacroText"/>
    <w:uiPriority w:val="99"/>
    <w:semiHidden/>
    <w:rsid w:val="00DA7082"/>
    <w:rPr>
      <w:rFonts w:ascii="Consolas" w:eastAsia="Times New Roman" w:hAnsi="Consolas" w:cs="Times New Roman"/>
      <w:kern w:val="0"/>
      <w:sz w:val="20"/>
      <w:szCs w:val="20"/>
      <w:lang w:eastAsia="en-GB"/>
      <w14:ligatures w14:val="none"/>
    </w:rPr>
  </w:style>
  <w:style w:type="paragraph" w:styleId="MessageHeader">
    <w:name w:val="Message Header"/>
    <w:basedOn w:val="Normal"/>
    <w:link w:val="MessageHeaderChar"/>
    <w:uiPriority w:val="99"/>
    <w:semiHidden/>
    <w:unhideWhenUsed/>
    <w:rsid w:val="00DA708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A7082"/>
    <w:rPr>
      <w:rFonts w:asciiTheme="majorHAnsi" w:eastAsiaTheme="majorEastAsia" w:hAnsiTheme="majorHAnsi" w:cstheme="majorBidi"/>
      <w:kern w:val="0"/>
      <w:shd w:val="pct20" w:color="auto" w:fill="auto"/>
      <w:lang w:eastAsia="en-GB"/>
      <w14:ligatures w14:val="none"/>
    </w:rPr>
  </w:style>
  <w:style w:type="paragraph" w:styleId="NoSpacing">
    <w:name w:val="No Spacing"/>
    <w:uiPriority w:val="1"/>
    <w:qFormat/>
    <w:rsid w:val="00DA7082"/>
    <w:rPr>
      <w:rFonts w:ascii="Times New Roman" w:eastAsia="Times New Roman" w:hAnsi="Times New Roman" w:cs="Times New Roman"/>
      <w:kern w:val="0"/>
      <w:lang w:eastAsia="en-GB"/>
      <w14:ligatures w14:val="none"/>
    </w:rPr>
  </w:style>
  <w:style w:type="paragraph" w:styleId="NormalIndent">
    <w:name w:val="Normal Indent"/>
    <w:basedOn w:val="Normal"/>
    <w:uiPriority w:val="99"/>
    <w:semiHidden/>
    <w:unhideWhenUsed/>
    <w:rsid w:val="00DA7082"/>
    <w:pPr>
      <w:ind w:left="720"/>
    </w:pPr>
  </w:style>
  <w:style w:type="paragraph" w:styleId="NoteHeading">
    <w:name w:val="Note Heading"/>
    <w:basedOn w:val="Normal"/>
    <w:next w:val="Normal"/>
    <w:link w:val="NoteHeadingChar"/>
    <w:uiPriority w:val="99"/>
    <w:semiHidden/>
    <w:unhideWhenUsed/>
    <w:rsid w:val="00DA7082"/>
  </w:style>
  <w:style w:type="character" w:customStyle="1" w:styleId="NoteHeadingChar">
    <w:name w:val="Note Heading Char"/>
    <w:basedOn w:val="DefaultParagraphFont"/>
    <w:link w:val="NoteHeading"/>
    <w:uiPriority w:val="99"/>
    <w:semiHidden/>
    <w:rsid w:val="00DA7082"/>
    <w:rPr>
      <w:rFonts w:ascii="Times New Roman" w:eastAsia="Times New Roman" w:hAnsi="Times New Roman" w:cs="Times New Roman"/>
      <w:kern w:val="0"/>
      <w:lang w:eastAsia="en-GB"/>
      <w14:ligatures w14:val="none"/>
    </w:rPr>
  </w:style>
  <w:style w:type="paragraph" w:styleId="PlainText">
    <w:name w:val="Plain Text"/>
    <w:basedOn w:val="Normal"/>
    <w:link w:val="PlainTextChar"/>
    <w:uiPriority w:val="99"/>
    <w:semiHidden/>
    <w:unhideWhenUsed/>
    <w:rsid w:val="00DA7082"/>
    <w:rPr>
      <w:rFonts w:ascii="Consolas" w:hAnsi="Consolas"/>
      <w:sz w:val="21"/>
      <w:szCs w:val="21"/>
    </w:rPr>
  </w:style>
  <w:style w:type="character" w:customStyle="1" w:styleId="PlainTextChar">
    <w:name w:val="Plain Text Char"/>
    <w:basedOn w:val="DefaultParagraphFont"/>
    <w:link w:val="PlainText"/>
    <w:uiPriority w:val="99"/>
    <w:semiHidden/>
    <w:rsid w:val="00DA7082"/>
    <w:rPr>
      <w:rFonts w:ascii="Consolas" w:eastAsia="Times New Roman" w:hAnsi="Consolas" w:cs="Times New Roman"/>
      <w:kern w:val="0"/>
      <w:sz w:val="21"/>
      <w:szCs w:val="21"/>
      <w:lang w:eastAsia="en-GB"/>
      <w14:ligatures w14:val="none"/>
    </w:rPr>
  </w:style>
  <w:style w:type="paragraph" w:styleId="Quote">
    <w:name w:val="Quote"/>
    <w:basedOn w:val="Normal"/>
    <w:next w:val="Normal"/>
    <w:link w:val="QuoteChar"/>
    <w:uiPriority w:val="29"/>
    <w:qFormat/>
    <w:rsid w:val="00DA70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7082"/>
    <w:rPr>
      <w:rFonts w:ascii="Times New Roman" w:eastAsia="Times New Roman" w:hAnsi="Times New Roman" w:cs="Times New Roman"/>
      <w:i/>
      <w:iCs/>
      <w:color w:val="404040" w:themeColor="text1" w:themeTint="BF"/>
      <w:kern w:val="0"/>
      <w:lang w:eastAsia="en-GB"/>
      <w14:ligatures w14:val="none"/>
    </w:rPr>
  </w:style>
  <w:style w:type="paragraph" w:styleId="Salutation">
    <w:name w:val="Salutation"/>
    <w:basedOn w:val="Normal"/>
    <w:next w:val="Normal"/>
    <w:link w:val="SalutationChar"/>
    <w:uiPriority w:val="99"/>
    <w:semiHidden/>
    <w:unhideWhenUsed/>
    <w:rsid w:val="00DA7082"/>
  </w:style>
  <w:style w:type="character" w:customStyle="1" w:styleId="SalutationChar">
    <w:name w:val="Salutation Char"/>
    <w:basedOn w:val="DefaultParagraphFont"/>
    <w:link w:val="Salutation"/>
    <w:uiPriority w:val="99"/>
    <w:semiHidden/>
    <w:rsid w:val="00DA7082"/>
    <w:rPr>
      <w:rFonts w:ascii="Times New Roman" w:eastAsia="Times New Roman" w:hAnsi="Times New Roman" w:cs="Times New Roman"/>
      <w:kern w:val="0"/>
      <w:lang w:eastAsia="en-GB"/>
      <w14:ligatures w14:val="none"/>
    </w:rPr>
  </w:style>
  <w:style w:type="paragraph" w:styleId="Signature">
    <w:name w:val="Signature"/>
    <w:basedOn w:val="Normal"/>
    <w:link w:val="SignatureChar"/>
    <w:uiPriority w:val="99"/>
    <w:semiHidden/>
    <w:unhideWhenUsed/>
    <w:rsid w:val="00DA7082"/>
    <w:pPr>
      <w:ind w:left="4252"/>
    </w:pPr>
  </w:style>
  <w:style w:type="character" w:customStyle="1" w:styleId="SignatureChar">
    <w:name w:val="Signature Char"/>
    <w:basedOn w:val="DefaultParagraphFont"/>
    <w:link w:val="Signature"/>
    <w:uiPriority w:val="99"/>
    <w:semiHidden/>
    <w:rsid w:val="00DA7082"/>
    <w:rPr>
      <w:rFonts w:ascii="Times New Roman" w:eastAsia="Times New Roman" w:hAnsi="Times New Roman" w:cs="Times New Roman"/>
      <w:kern w:val="0"/>
      <w:lang w:eastAsia="en-GB"/>
      <w14:ligatures w14:val="none"/>
    </w:rPr>
  </w:style>
  <w:style w:type="paragraph" w:styleId="Subtitle">
    <w:name w:val="Subtitle"/>
    <w:basedOn w:val="Normal"/>
    <w:next w:val="Normal"/>
    <w:link w:val="SubtitleChar"/>
    <w:uiPriority w:val="11"/>
    <w:qFormat/>
    <w:rsid w:val="00DA70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A7082"/>
    <w:rPr>
      <w:rFonts w:eastAsiaTheme="minorEastAsia"/>
      <w:color w:val="5A5A5A" w:themeColor="text1" w:themeTint="A5"/>
      <w:spacing w:val="15"/>
      <w:kern w:val="0"/>
      <w:sz w:val="22"/>
      <w:szCs w:val="22"/>
      <w:lang w:eastAsia="en-GB"/>
      <w14:ligatures w14:val="none"/>
    </w:rPr>
  </w:style>
  <w:style w:type="paragraph" w:styleId="TableofAuthorities">
    <w:name w:val="table of authorities"/>
    <w:basedOn w:val="Normal"/>
    <w:next w:val="Normal"/>
    <w:uiPriority w:val="99"/>
    <w:semiHidden/>
    <w:unhideWhenUsed/>
    <w:rsid w:val="00DA7082"/>
    <w:pPr>
      <w:ind w:left="240" w:hanging="240"/>
    </w:pPr>
  </w:style>
  <w:style w:type="paragraph" w:styleId="TableofFigures">
    <w:name w:val="table of figures"/>
    <w:basedOn w:val="Normal"/>
    <w:next w:val="Normal"/>
    <w:uiPriority w:val="99"/>
    <w:semiHidden/>
    <w:unhideWhenUsed/>
    <w:rsid w:val="00DA7082"/>
  </w:style>
  <w:style w:type="paragraph" w:styleId="TOAHeading">
    <w:name w:val="toa heading"/>
    <w:basedOn w:val="Normal"/>
    <w:next w:val="Normal"/>
    <w:uiPriority w:val="99"/>
    <w:semiHidden/>
    <w:unhideWhenUsed/>
    <w:rsid w:val="00DA7082"/>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nzlitr.org/" TargetMode="External"/><Relationship Id="rId21" Type="http://schemas.openxmlformats.org/officeDocument/2006/relationships/hyperlink" Target="https://anztct.org.au/" TargetMode="External"/><Relationship Id="rId42" Type="http://schemas.openxmlformats.org/officeDocument/2006/relationships/hyperlink" Target="https://www.anzlitr.org/" TargetMode="External"/><Relationship Id="rId63" Type="http://schemas.openxmlformats.org/officeDocument/2006/relationships/hyperlink" Target="https://www.legislation.vic.gov.au/in-force/acts/coroners-act-2008/039" TargetMode="External"/><Relationship Id="rId84" Type="http://schemas.openxmlformats.org/officeDocument/2006/relationships/hyperlink" Target="https://www.legislation.vic.gov.au/in-force/acts/medical-treatment-planning-and-decisions-act-2016/008" TargetMode="External"/><Relationship Id="rId138" Type="http://schemas.openxmlformats.org/officeDocument/2006/relationships/footer" Target="footer3.xml"/><Relationship Id="rId159" Type="http://schemas.openxmlformats.org/officeDocument/2006/relationships/hyperlink" Target="https://end-of-life.qut.edu.au/organ-donation" TargetMode="External"/><Relationship Id="rId170" Type="http://schemas.openxmlformats.org/officeDocument/2006/relationships/hyperlink" Target="https://pediatrics.aappublications.org/content/122/2/454" TargetMode="External"/><Relationship Id="rId191" Type="http://schemas.openxmlformats.org/officeDocument/2006/relationships/hyperlink" Target="https://bts.org.uk/wp-content/uploads/2016/09/16_BTS_Directed_Altruistic_2-1.pdf" TargetMode="External"/><Relationship Id="rId107" Type="http://schemas.openxmlformats.org/officeDocument/2006/relationships/hyperlink" Target="https://www.legislation.vic.gov.au/in-force/acts/health-records-act-2001/046" TargetMode="External"/><Relationship Id="rId11" Type="http://schemas.openxmlformats.org/officeDocument/2006/relationships/endnotes" Target="endnotes.xml"/><Relationship Id="rId32" Type="http://schemas.openxmlformats.org/officeDocument/2006/relationships/hyperlink" Target="https://www.surgeons.org/en" TargetMode="External"/><Relationship Id="rId53" Type="http://schemas.openxmlformats.org/officeDocument/2006/relationships/hyperlink" Target="https://www.legislation.act.gov.au/a/1997-57" TargetMode="External"/><Relationship Id="rId74" Type="http://schemas.openxmlformats.org/officeDocument/2006/relationships/hyperlink" Target="https://legislation.nt.gov.au/Legislation/GUARDIANSHIP-OF-ADULTS-ACT-2016" TargetMode="External"/><Relationship Id="rId128" Type="http://schemas.openxmlformats.org/officeDocument/2006/relationships/hyperlink" Target="https://end-of-life.qut.edu.au/assisteddying" TargetMode="External"/><Relationship Id="rId149" Type="http://schemas.openxmlformats.org/officeDocument/2006/relationships/hyperlink" Target="https://www.who.int/transplantation/Guiding_PrinciplesTransplantation_WHA63.22en.pdf" TargetMode="External"/><Relationship Id="rId5" Type="http://schemas.openxmlformats.org/officeDocument/2006/relationships/customXml" Target="../customXml/item5.xml"/><Relationship Id="rId95" Type="http://schemas.openxmlformats.org/officeDocument/2006/relationships/hyperlink" Target="https://legislation.nsw.gov.au/view/html/inforce/current/act-2002-071" TargetMode="External"/><Relationship Id="rId160" Type="http://schemas.openxmlformats.org/officeDocument/2006/relationships/hyperlink" Target="http://www.jstt.org/htm/guideline/Ethical.pdf" TargetMode="External"/><Relationship Id="rId181" Type="http://schemas.openxmlformats.org/officeDocument/2006/relationships/hyperlink" Target="https://www.kidney.org/transplantation/donorfamilies/infoPolicyGuidelines" TargetMode="External"/><Relationship Id="rId22" Type="http://schemas.openxmlformats.org/officeDocument/2006/relationships/hyperlink" Target="https://ATCA.org.au/" TargetMode="External"/><Relationship Id="rId43" Type="http://schemas.openxmlformats.org/officeDocument/2006/relationships/hyperlink" Target="https://www.anzdata.org.au/anzetd/" TargetMode="External"/><Relationship Id="rId64" Type="http://schemas.openxmlformats.org/officeDocument/2006/relationships/hyperlink" Target="https://www.legislation.vic.gov.au/in-force/acts/coroners-act-2008/039" TargetMode="External"/><Relationship Id="rId118" Type="http://schemas.openxmlformats.org/officeDocument/2006/relationships/hyperlink" Target="https://www.flinders.edu.au/fhmri-eye-vision/corneal-graft-registry" TargetMode="External"/><Relationship Id="rId139" Type="http://schemas.openxmlformats.org/officeDocument/2006/relationships/hyperlink" Target="https://ama.com.au/sites/default/files/documents/AMA_Position_Statement_on_Organ_and_Tissue_Donation_and_Transplantation_2017_1.pdf" TargetMode="External"/><Relationship Id="rId85" Type="http://schemas.openxmlformats.org/officeDocument/2006/relationships/hyperlink" Target="https://www.legislation.vic.gov.au/in-force/acts/medical-treatment-planning-and-decisions-act-2016/008" TargetMode="External"/><Relationship Id="rId150" Type="http://schemas.openxmlformats.org/officeDocument/2006/relationships/hyperlink" Target="https://www.wma.net/policies-post/wma-statement-on-organ-and-tissue-donation/" TargetMode="External"/><Relationship Id="rId171" Type="http://schemas.openxmlformats.org/officeDocument/2006/relationships/hyperlink" Target="http://pediatrics.aappublications.org/content/125/4/822.full.%20Reaffirmed%20April%202019" TargetMode="External"/><Relationship Id="rId192" Type="http://schemas.openxmlformats.org/officeDocument/2006/relationships/hyperlink" Target="https://onlinelibrary.wiley.com/doi/full/10.1111/ajt.14444" TargetMode="External"/><Relationship Id="rId12" Type="http://schemas.openxmlformats.org/officeDocument/2006/relationships/hyperlink" Target="https://abmdr.org.au" TargetMode="External"/><Relationship Id="rId33" Type="http://schemas.openxmlformats.org/officeDocument/2006/relationships/hyperlink" Target="https://transplant.org.au" TargetMode="External"/><Relationship Id="rId108" Type="http://schemas.openxmlformats.org/officeDocument/2006/relationships/hyperlink" Target="https://donatelife.gov.au/sites/default/files/Information%20for%20donor%20families%20and%20transplant%20recipients.pdf" TargetMode="External"/><Relationship Id="rId129" Type="http://schemas.openxmlformats.org/officeDocument/2006/relationships/hyperlink" Target="file:///C:/Users/martindo/Desktop/Organ_donation_euthanasia" TargetMode="External"/><Relationship Id="rId54" Type="http://schemas.openxmlformats.org/officeDocument/2006/relationships/hyperlink" Target="https://www.legislation.nsw.gov.au/view/html/inforce/current/act-2009-041" TargetMode="External"/><Relationship Id="rId75" Type="http://schemas.openxmlformats.org/officeDocument/2006/relationships/hyperlink" Target="https://legislation.nt.gov.au/Legislation/ADVANCE-PERSONAL-PLANNING-ACT-2013" TargetMode="External"/><Relationship Id="rId96" Type="http://schemas.openxmlformats.org/officeDocument/2006/relationships/hyperlink" Target="https://legislation.nsw.gov.au/view/html/inforce/current/act-2002-071" TargetMode="External"/><Relationship Id="rId140" Type="http://schemas.openxmlformats.org/officeDocument/2006/relationships/hyperlink" Target="https://www.anzics.com.au/wp-content/uploads/2020/07/ANZICS-Statement-on-Death-and-Organ-Donation-Edition-4.pdf" TargetMode="External"/><Relationship Id="rId161" Type="http://schemas.openxmlformats.org/officeDocument/2006/relationships/hyperlink" Target="https://www.anzics.com.au/wp-content/uploads/2020/07/ANZICS-Statement-on-Death-and-Organ-Donation-Edition-4.pdf" TargetMode="External"/><Relationship Id="rId182" Type="http://schemas.openxmlformats.org/officeDocument/2006/relationships/hyperlink" Target="https://tsanz.com.au/storage/documents/TSANZ_Clinical_Guidelines_Version-14.pdf" TargetMode="External"/><Relationship Id="rId6" Type="http://schemas.openxmlformats.org/officeDocument/2006/relationships/numbering" Target="numbering.xml"/><Relationship Id="rId23" Type="http://schemas.openxmlformats.org/officeDocument/2006/relationships/hyperlink" Target="https://Bioaa.org.au" TargetMode="External"/><Relationship Id="rId119" Type="http://schemas.openxmlformats.org/officeDocument/2006/relationships/hyperlink" Target="https://www.servicesaustralia.gov.au/organisations/about-us/statistical-information-and-data/medicare-statistics/australian-organ-donor-register-statistics" TargetMode="External"/><Relationship Id="rId44" Type="http://schemas.openxmlformats.org/officeDocument/2006/relationships/hyperlink" Target="https://www.abmtrr.org/" TargetMode="External"/><Relationship Id="rId65" Type="http://schemas.openxmlformats.org/officeDocument/2006/relationships/hyperlink" Target="https://www.legislation.wa.gov.au/legislation/statutes.nsf/main_mrtitle_201_homepage.html" TargetMode="External"/><Relationship Id="rId86" Type="http://schemas.openxmlformats.org/officeDocument/2006/relationships/hyperlink" Target="https://www.legislation.wa.gov.au/legislation/statutes.nsf/law_a336.html" TargetMode="External"/><Relationship Id="rId130" Type="http://schemas.openxmlformats.org/officeDocument/2006/relationships/hyperlink" Target="file:///C:/Users/martindo/Desktop/dead" TargetMode="External"/><Relationship Id="rId151" Type="http://schemas.openxmlformats.org/officeDocument/2006/relationships/hyperlink" Target="https://www.wma.net/policies-post/wma-declaration-of-sydney-on-the-determination-of-death-and-the-recovery-of-organs/" TargetMode="External"/><Relationship Id="rId172" Type="http://schemas.openxmlformats.org/officeDocument/2006/relationships/hyperlink" Target="https://wmda.info/professionals/promoting-donor-care/donor-care/" TargetMode="External"/><Relationship Id="rId193" Type="http://schemas.openxmlformats.org/officeDocument/2006/relationships/hyperlink" Target="https://optn.transplant.hrsa.gov/media/2267/find_a_living_donor.pdf" TargetMode="External"/><Relationship Id="rId13" Type="http://schemas.openxmlformats.org/officeDocument/2006/relationships/hyperlink" Target="https://ebaanz.org/donation-and-transplantation/" TargetMode="External"/><Relationship Id="rId109" Type="http://schemas.openxmlformats.org/officeDocument/2006/relationships/hyperlink" Target="https://www.abmtrr.org/" TargetMode="External"/><Relationship Id="rId34" Type="http://schemas.openxmlformats.org/officeDocument/2006/relationships/hyperlink" Target="https://healthgov.sharepoint.com/sites/OTA/Clinical%20Programs%20project%20library/NHMRC%20ethical%20guidelines%20working%20docs/Document%20versions%20as%20at%2016052023/dead" TargetMode="External"/><Relationship Id="rId50" Type="http://schemas.openxmlformats.org/officeDocument/2006/relationships/hyperlink" Target="https://www.legislation.qld.gov.au/view/html/inforce/curren" TargetMode="External"/><Relationship Id="rId55" Type="http://schemas.openxmlformats.org/officeDocument/2006/relationships/hyperlink" Target="https://www.legislation.nsw.gov.au/view/html/inforce/current/" TargetMode="External"/><Relationship Id="rId76" Type="http://schemas.openxmlformats.org/officeDocument/2006/relationships/hyperlink" Target="https://www.legislation.qld.gov.au/view/html/inforce/current/act-2000-008" TargetMode="External"/><Relationship Id="rId97" Type="http://schemas.openxmlformats.org/officeDocument/2006/relationships/hyperlink" Target="https://legislation.nt.gov.au/Legislation/INFORMATION-ACT-2002" TargetMode="External"/><Relationship Id="rId104" Type="http://schemas.openxmlformats.org/officeDocument/2006/relationships/hyperlink" Target="https://www.legislation.vic.gov.au/in-force/acts/privacy-and-data-protection-act-2014/027" TargetMode="External"/><Relationship Id="rId120" Type="http://schemas.openxmlformats.org/officeDocument/2006/relationships/hyperlink" Target="https://www.servicesaustralia.gov.au/individuals/services/medicare/australian-organ-donor-register" TargetMode="External"/><Relationship Id="rId125" Type="http://schemas.openxmlformats.org/officeDocument/2006/relationships/hyperlink" Target="file:///C:/Users/martindo/Desktop/dead" TargetMode="External"/><Relationship Id="rId141" Type="http://schemas.openxmlformats.org/officeDocument/2006/relationships/hyperlink" Target="http://www.ebaanz.org/wp-content/uploads/2016/05/EBAANZ-Bioethic-Framework-2015.pdf" TargetMode="External"/><Relationship Id="rId146" Type="http://schemas.openxmlformats.org/officeDocument/2006/relationships/hyperlink" Target="https://www.ahpra.gov.au/documents/default.aspx?record=WD20%2f30051&amp;dbid=AP&amp;chksum=9BSTs75R4%2fcPJY7vrmzHPg%3d%3d" TargetMode="External"/><Relationship Id="rId167" Type="http://schemas.openxmlformats.org/officeDocument/2006/relationships/hyperlink" Target="https://content.hta.gov.uk/sites/default/files/2020-11/Code%20A.pdf" TargetMode="External"/><Relationship Id="rId188" Type="http://schemas.openxmlformats.org/officeDocument/2006/relationships/hyperlink" Target="https://optn.transplant.hrsa.gov/resources/ethics/living-donation-by-persons-with-certain-fatal-diseases-white-paper/" TargetMode="External"/><Relationship Id="rId7" Type="http://schemas.openxmlformats.org/officeDocument/2006/relationships/styles" Target="styles.xml"/><Relationship Id="rId71" Type="http://schemas.openxmlformats.org/officeDocument/2006/relationships/hyperlink" Target="https://legislation.nsw.gov.au/view/html/inforce/current/act-1987-257" TargetMode="External"/><Relationship Id="rId92" Type="http://schemas.openxmlformats.org/officeDocument/2006/relationships/hyperlink" Target="https://www.legislation.act.gov.au/a/1997-125/" TargetMode="External"/><Relationship Id="rId162" Type="http://schemas.openxmlformats.org/officeDocument/2006/relationships/hyperlink" Target="https://www.safetyandquality.gov.au/our-work/partnering-consumers/shared-decision-making" TargetMode="External"/><Relationship Id="rId183" Type="http://schemas.openxmlformats.org/officeDocument/2006/relationships/hyperlink" Target="https://optn.transplant.hrsa.gov/media/2989/ethics_boardreport_201906.pdf" TargetMode="External"/><Relationship Id="rId2" Type="http://schemas.openxmlformats.org/officeDocument/2006/relationships/customXml" Target="../customXml/item2.xml"/><Relationship Id="rId29" Type="http://schemas.openxmlformats.org/officeDocument/2006/relationships/hyperlink" Target="https://acem.org.au/" TargetMode="External"/><Relationship Id="rId24" Type="http://schemas.openxmlformats.org/officeDocument/2006/relationships/hyperlink" Target="https://cicm.org.au/Home" TargetMode="External"/><Relationship Id="rId40" Type="http://schemas.openxmlformats.org/officeDocument/2006/relationships/hyperlink" Target="https://www.anzdata.org.au/anzlkd/" TargetMode="External"/><Relationship Id="rId45" Type="http://schemas.openxmlformats.org/officeDocument/2006/relationships/hyperlink" Target="https://www.flinders.edu.au/fhmri-eye-vision/corneal-graft-registry" TargetMode="External"/><Relationship Id="rId66" Type="http://schemas.openxmlformats.org/officeDocument/2006/relationships/hyperlink" Target="https://www.legislation.wa.gov.au/legislati" TargetMode="External"/><Relationship Id="rId87" Type="http://schemas.openxmlformats.org/officeDocument/2006/relationships/hyperlink" Target="https://donatelife.gov.au/about-donation" TargetMode="External"/><Relationship Id="rId110" Type="http://schemas.openxmlformats.org/officeDocument/2006/relationships/hyperlink" Target="https://www.abmdr.org.au/abmdr/annual-reports/" TargetMode="External"/><Relationship Id="rId115" Type="http://schemas.openxmlformats.org/officeDocument/2006/relationships/hyperlink" Target="https://www.anzdata.org.au/anzetd/" TargetMode="External"/><Relationship Id="rId131" Type="http://schemas.openxmlformats.org/officeDocument/2006/relationships/hyperlink" Target="https://healthgov.sharepoint.com/sites/OTA/Clinical%20Programs%20project%20library/NHMRC%20ethical%20guidelines%20working%20docs/Document%20versions%20as%20at%2016052023/dead" TargetMode="External"/><Relationship Id="rId136" Type="http://schemas.openxmlformats.org/officeDocument/2006/relationships/footer" Target="footer2.xml"/><Relationship Id="rId157" Type="http://schemas.openxmlformats.org/officeDocument/2006/relationships/hyperlink" Target="https://ama.com.au/position-statement/conscientious-objection-2019" TargetMode="External"/><Relationship Id="rId178" Type="http://schemas.openxmlformats.org/officeDocument/2006/relationships/hyperlink" Target="https://www.maiamnayriwingara.org/news-and-updates" TargetMode="External"/><Relationship Id="rId61" Type="http://schemas.openxmlformats.org/officeDocument/2006/relationships/hyperlink" Target="https://www.legislation.tas.gov.au/view/html/inforce/current/act-1995-073" TargetMode="External"/><Relationship Id="rId82" Type="http://schemas.openxmlformats.org/officeDocument/2006/relationships/hyperlink" Target="https://www.legislation.tas.gov.au/view/html/inforce/current/act-1995-044" TargetMode="External"/><Relationship Id="rId152" Type="http://schemas.openxmlformats.org/officeDocument/2006/relationships/hyperlink" Target="https://www.wma.net/policies-post/wma-statement-on-measures-for-the-prevention-and-fight-against-transplant-related-crimes/" TargetMode="External"/><Relationship Id="rId173" Type="http://schemas.openxmlformats.org/officeDocument/2006/relationships/hyperlink" Target="https://share.wmda.info/display/DMSR/WMDA+Donor+Medical+Suitability+Recommendations+Main+page" TargetMode="External"/><Relationship Id="rId194" Type="http://schemas.openxmlformats.org/officeDocument/2006/relationships/fontTable" Target="fontTable.xml"/><Relationship Id="rId19" Type="http://schemas.openxmlformats.org/officeDocument/2006/relationships/hyperlink" Target="https://wmda.info/" TargetMode="External"/><Relationship Id="rId14" Type="http://schemas.openxmlformats.org/officeDocument/2006/relationships/hyperlink" Target="https://www.donatelife.gov.au/all-about-donation/who-will-be-helped-my-donation" TargetMode="External"/><Relationship Id="rId30" Type="http://schemas.openxmlformats.org/officeDocument/2006/relationships/hyperlink" Target="https://www.nephrology.edu.au/" TargetMode="External"/><Relationship Id="rId35" Type="http://schemas.openxmlformats.org/officeDocument/2006/relationships/hyperlink" Target="http://www.donatelife.gov.au/register" TargetMode="External"/><Relationship Id="rId56" Type="http://schemas.openxmlformats.org/officeDocument/2006/relationships/hyperlink" Target="https://legislation.nt.gov.au/en/Legislation/CORONERS-ACT-1993" TargetMode="External"/><Relationship Id="rId77" Type="http://schemas.openxmlformats.org/officeDocument/2006/relationships/hyperlink" Target="https://www.legislation.qld.gov.au/view/html/inforce/curren" TargetMode="External"/><Relationship Id="rId100" Type="http://schemas.openxmlformats.org/officeDocument/2006/relationships/hyperlink" Target="https://www.legislation.qld.gov.au/view/html/inforce/current/act-2009-013" TargetMode="External"/><Relationship Id="rId105" Type="http://schemas.openxmlformats.org/officeDocument/2006/relationships/hyperlink" Target="https://www.legislation.vic.gov.au/in-force/acts/privacy-and-data-protection-act-2014/027" TargetMode="External"/><Relationship Id="rId126" Type="http://schemas.openxmlformats.org/officeDocument/2006/relationships/hyperlink" Target="file:///C:/Users/martindo/Desktop/dead" TargetMode="External"/><Relationship Id="rId147" Type="http://schemas.openxmlformats.org/officeDocument/2006/relationships/hyperlink" Target="https://journals.lww.com/transplantjournal/Fulltext/2019/02000/The_Declaration_of_Istanbul_on_Organ_Trafficking.3.aspx" TargetMode="External"/><Relationship Id="rId168" Type="http://schemas.openxmlformats.org/officeDocument/2006/relationships/hyperlink" Target="http://www.aomrc.org.uk/wp-content/uploads/2016/07/Involving_family_deceased_organ_donation_0416-2.pdf" TargetMode="External"/><Relationship Id="rId8" Type="http://schemas.openxmlformats.org/officeDocument/2006/relationships/settings" Target="settings.xml"/><Relationship Id="rId51" Type="http://schemas.openxmlformats.org/officeDocument/2006/relationships/hyperlink" Target="https://www.legislation.gov.au/Details/C2019C00066" TargetMode="External"/><Relationship Id="rId72" Type="http://schemas.openxmlformats.org/officeDocument/2006/relationships/hyperlink" Target="https://legislation.nsw.gov.au/view/html/inforce/current/act-1987-257" TargetMode="External"/><Relationship Id="rId93" Type="http://schemas.openxmlformats.org/officeDocument/2006/relationships/hyperlink" Target="https://legislation.nsw.gov.au/view/html/inforce/current/act-1998-133" TargetMode="External"/><Relationship Id="rId98" Type="http://schemas.openxmlformats.org/officeDocument/2006/relationships/hyperlink" Target="https://www.legislation.qld.gov.au/view/html/inforce/current/act-2009-014" TargetMode="External"/><Relationship Id="rId121" Type="http://schemas.openxmlformats.org/officeDocument/2006/relationships/hyperlink" Target="https://www.donatelife.gov.au/about-us/strategy-and-performance/our-data" TargetMode="External"/><Relationship Id="rId142" Type="http://schemas.openxmlformats.org/officeDocument/2006/relationships/hyperlink" Target="https://donatelife.gov.au/resources/multicultural-and-faith-communities/position-statements" TargetMode="External"/><Relationship Id="rId163" Type="http://schemas.openxmlformats.org/officeDocument/2006/relationships/hyperlink" Target="https://www.safetyandquality.gov.au/sites/default/files/migrated/National-Safety-and-Quality-Health-Service-Standards-User-Guide-for-Aboriginal-and-Torres-Strait-Islander-Health.pdf" TargetMode="External"/><Relationship Id="rId184" Type="http://schemas.openxmlformats.org/officeDocument/2006/relationships/hyperlink" Target="https://optn.transplant.hrsa.gov/resources/ethics/ethical-principles-in-the-allocation-of-human-organs/" TargetMode="External"/><Relationship Id="rId189" Type="http://schemas.openxmlformats.org/officeDocument/2006/relationships/hyperlink" Target="http://www.cmaj.ca/lookup/doi/10.1503/cmaj.181648" TargetMode="External"/><Relationship Id="rId3" Type="http://schemas.openxmlformats.org/officeDocument/2006/relationships/customXml" Target="../customXml/item3.xml"/><Relationship Id="rId25" Type="http://schemas.openxmlformats.org/officeDocument/2006/relationships/hyperlink" Target="https://ebaanz.org.au" TargetMode="External"/><Relationship Id="rId46" Type="http://schemas.openxmlformats.org/officeDocument/2006/relationships/hyperlink" Target="https://www.legislation.act.gov.au/a/1978-44/" TargetMode="External"/><Relationship Id="rId67" Type="http://schemas.openxmlformats.org/officeDocument/2006/relationships/hyperlink" Target="http://www.legislation.act.gov.au/a/1991-62/" TargetMode="External"/><Relationship Id="rId116" Type="http://schemas.openxmlformats.org/officeDocument/2006/relationships/hyperlink" Target="http://anziptr.org/" TargetMode="External"/><Relationship Id="rId137" Type="http://schemas.openxmlformats.org/officeDocument/2006/relationships/header" Target="header2.xml"/><Relationship Id="rId158" Type="http://schemas.openxmlformats.org/officeDocument/2006/relationships/hyperlink" Target="https://ama.com.au/position-statement/guidelines-doctors-managing-conflicts-interest-medicine-2018" TargetMode="External"/><Relationship Id="rId20" Type="http://schemas.openxmlformats.org/officeDocument/2006/relationships/hyperlink" Target="https://www.anzic" TargetMode="External"/><Relationship Id="rId41" Type="http://schemas.openxmlformats.org/officeDocument/2006/relationships/hyperlink" Target="http://anziptr.org/" TargetMode="External"/><Relationship Id="rId62" Type="http://schemas.openxmlformats.org/officeDocument/2006/relationships/hyperlink" Target="https://www.legislation.tas.gov.au/view/html/inforce/current/act-1995-073" TargetMode="External"/><Relationship Id="rId83" Type="http://schemas.openxmlformats.org/officeDocument/2006/relationships/hyperlink" Target="https://www.legislation.tas.gov.au/view/html/inforce/current/act-1995-044" TargetMode="External"/><Relationship Id="rId88" Type="http://schemas.openxmlformats.org/officeDocument/2006/relationships/hyperlink" Target="https://transplant.org.au/" TargetMode="External"/><Relationship Id="rId111" Type="http://schemas.openxmlformats.org/officeDocument/2006/relationships/hyperlink" Target="https://www.anzdata.org.au/anzdata/" TargetMode="External"/><Relationship Id="rId132" Type="http://schemas.openxmlformats.org/officeDocument/2006/relationships/hyperlink" Target="file:///C:/Users/martindo/Library/Containers/com.microsoft.Word/Data/Desktop/dead" TargetMode="External"/><Relationship Id="rId153" Type="http://schemas.openxmlformats.org/officeDocument/2006/relationships/hyperlink" Target="https://share.wmda.info/display/WMDAPD/WMDA+Scientific+Publications+and+Recommendations" TargetMode="External"/><Relationship Id="rId174" Type="http://schemas.openxmlformats.org/officeDocument/2006/relationships/hyperlink" Target="https://www.oaic.gov.au/privacy/australian-privacy-principles-guidelines" TargetMode="External"/><Relationship Id="rId179" Type="http://schemas.openxmlformats.org/officeDocument/2006/relationships/hyperlink" Target="https://donatelife.gov.au/sites/default/files/Report%20on%20the%20community%20consultative%20forum.pdf" TargetMode="External"/><Relationship Id="rId195" Type="http://schemas.openxmlformats.org/officeDocument/2006/relationships/theme" Target="theme/theme1.xml"/><Relationship Id="rId190" Type="http://schemas.openxmlformats.org/officeDocument/2006/relationships/hyperlink" Target="http://aomrc.org.uk/wp-content/uploads/2016/06/Organ_Donation_-infants_anencephaly_020316-2.pdf" TargetMode="External"/><Relationship Id="rId15" Type="http://schemas.openxmlformats.org/officeDocument/2006/relationships/hyperlink" Target="https://transplant.org.au/types-of-transplant/" TargetMode="External"/><Relationship Id="rId36" Type="http://schemas.openxmlformats.org/officeDocument/2006/relationships/image" Target="media/image1.png"/><Relationship Id="rId57" Type="http://schemas.openxmlformats.org/officeDocument/2006/relationships/hyperlink" Target="https://legislation.nt.gov.au/en/Legislation/CORONERS-ACT-1993" TargetMode="External"/><Relationship Id="rId106" Type="http://schemas.openxmlformats.org/officeDocument/2006/relationships/hyperlink" Target="https://www.legislation.vic.gov.au/in-force/acts/health-records-act-2001/046" TargetMode="External"/><Relationship Id="rId127" Type="http://schemas.openxmlformats.org/officeDocument/2006/relationships/hyperlink" Target="file:///C:/Users/martindo/Desktop/dead" TargetMode="External"/><Relationship Id="rId10" Type="http://schemas.openxmlformats.org/officeDocument/2006/relationships/footnotes" Target="footnotes.xml"/><Relationship Id="rId31" Type="http://schemas.openxmlformats.org/officeDocument/2006/relationships/hyperlink" Target="https://www.cena.org.au/about/about-cena/" TargetMode="External"/><Relationship Id="rId52" Type="http://schemas.openxmlformats.org/officeDocument/2006/relationships/hyperlink" Target="https://www.medicalboard.gov.au/codes-guidelines-policies/code-of-conduct.aspx" TargetMode="External"/><Relationship Id="rId73" Type="http://schemas.openxmlformats.org/officeDocument/2006/relationships/hyperlink" Target="https://legislation.nt.gov.au/Legislation/GUARDIANSHIP-OF-ADULTS-ACT-2016" TargetMode="External"/><Relationship Id="rId78" Type="http://schemas.openxmlformats.org/officeDocument/2006/relationships/hyperlink" Target="https://www.legislation.qld.gov.au/view/html/inforce/current/act-1998-022" TargetMode="External"/><Relationship Id="rId94" Type="http://schemas.openxmlformats.org/officeDocument/2006/relationships/hyperlink" Target="https://legislation.nsw.gov.au/view/html/inforce/current/act-1998-133" TargetMode="External"/><Relationship Id="rId99" Type="http://schemas.openxmlformats.org/officeDocument/2006/relationships/hyperlink" Target="https://www.legislation.qld.gov.au/view/html/inforce/" TargetMode="External"/><Relationship Id="rId101" Type="http://schemas.openxmlformats.org/officeDocument/2006/relationships/hyperlink" Target="https://www.legislation.qld.gov.au/view/html/inforce/current/act-2009-013" TargetMode="External"/><Relationship Id="rId122" Type="http://schemas.openxmlformats.org/officeDocument/2006/relationships/hyperlink" Target="http://www.transplant-observatory.org/" TargetMode="External"/><Relationship Id="rId143" Type="http://schemas.openxmlformats.org/officeDocument/2006/relationships/hyperlink" Target="https://www.rcpa.edu.au/getattachment/ad0d4af1-901a-4056-af05-56bbc06167c1/Ethical-and-Legal-Issues-in-Relation-to-the-Use-of.aspx" TargetMode="External"/><Relationship Id="rId148" Type="http://schemas.openxmlformats.org/officeDocument/2006/relationships/hyperlink" Target="http://www.gaeba.org/wp-content/uploads/2018/05/GAEBA-2018-The-Barcelona-Principles-FINAL.pdf" TargetMode="External"/><Relationship Id="rId164" Type="http://schemas.openxmlformats.org/officeDocument/2006/relationships/hyperlink" Target="https://donatelife.gov.au/about-us/who-we-are/national-program/position-statement-legal-framework-consent-donation" TargetMode="External"/><Relationship Id="rId169" Type="http://schemas.openxmlformats.org/officeDocument/2006/relationships/hyperlink" Target="https://nhsbtdbe.blob.core.windows.net/umbraco-assets-corp/4378/guidelines_consent_for_solid_organ_transplantation_adults.pdf" TargetMode="External"/><Relationship Id="rId185" Type="http://schemas.openxmlformats.org/officeDocument/2006/relationships/hyperlink" Target="https://www.edqm.eu/sites/default/files/cmres_2017_1-on_principles_for_selection_eval_donation_and_follow_up_of_nrld.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donatelife.gov.au/sites/default/files/Information%20for%20donor%20families%20and%20transplant%20recipients.pdf" TargetMode="External"/><Relationship Id="rId26" Type="http://schemas.openxmlformats.org/officeDocument/2006/relationships/hyperlink" Target="https://transplantnurses.org.au" TargetMode="External"/><Relationship Id="rId47" Type="http://schemas.openxmlformats.org/officeDocument/2006/relationships/hyperlink" Target="https://www.legislation.nsw.gov.au/view/html/inforce/current/act-1983-164" TargetMode="External"/><Relationship Id="rId68" Type="http://schemas.openxmlformats.org/officeDocument/2006/relationships/hyperlink" Target="http://www.legislation.act.gov.au/a/1991-62/" TargetMode="External"/><Relationship Id="rId89" Type="http://schemas.openxmlformats.org/officeDocument/2006/relationships/hyperlink" Target="https://www.abmdr.org.au/" TargetMode="External"/><Relationship Id="rId112" Type="http://schemas.openxmlformats.org/officeDocument/2006/relationships/hyperlink" Target="https://www.anzdata.org.au/anzdata/" TargetMode="External"/><Relationship Id="rId133" Type="http://schemas.openxmlformats.org/officeDocument/2006/relationships/hyperlink" Target="file:///C:/Users/martindo/Desktop/dead" TargetMode="External"/><Relationship Id="rId154" Type="http://schemas.openxmlformats.org/officeDocument/2006/relationships/hyperlink" Target="https://www.icn.ch/sites/default/files/inline-files/2012_ICN_Codeofethicsfornurses_%20eng.pdf" TargetMode="External"/><Relationship Id="rId175" Type="http://schemas.openxmlformats.org/officeDocument/2006/relationships/hyperlink" Target="https://bmcmedethics.biomedcentral.com/articles/10.1186/s12910-020-0451-1" TargetMode="External"/><Relationship Id="rId16" Type="http://schemas.openxmlformats.org/officeDocument/2006/relationships/hyperlink" Target="https://www.donatelife.gov.au" TargetMode="External"/><Relationship Id="rId37" Type="http://schemas.openxmlformats.org/officeDocument/2006/relationships/image" Target="media/image2.png"/><Relationship Id="rId58" Type="http://schemas.openxmlformats.org/officeDocument/2006/relationships/hyperlink" Target="https://www.legislation.qld.gov.au/view/html/inforce/current/act-2003-013" TargetMode="External"/><Relationship Id="rId79" Type="http://schemas.openxmlformats.org/officeDocument/2006/relationships/hyperlink" Target="https://www.legislation.qld.gov.au/view/html/inforce/curren" TargetMode="External"/><Relationship Id="rId102" Type="http://schemas.openxmlformats.org/officeDocument/2006/relationships/hyperlink" Target="https://www.legislation.tas.gov.au/view/html/inforce/current/act-2004-046" TargetMode="External"/><Relationship Id="rId123" Type="http://schemas.openxmlformats.org/officeDocument/2006/relationships/hyperlink" Target="file:///C:/Users/martindo/Desktop/fair_innings" TargetMode="External"/><Relationship Id="rId144" Type="http://schemas.openxmlformats.org/officeDocument/2006/relationships/hyperlink" Target="https://tsanz.com.au/storage/documents/TSANZ_Clinical_Guidelines_Version-14.pdf" TargetMode="External"/><Relationship Id="rId90" Type="http://schemas.openxmlformats.org/officeDocument/2006/relationships/hyperlink" Target="http://www.ebaanz.org/" TargetMode="External"/><Relationship Id="rId165" Type="http://schemas.openxmlformats.org/officeDocument/2006/relationships/hyperlink" Target="https://bts.org.uk/wp-content/uploads/2016/09/04_BTS_Donation_Prisoners-1.pdf" TargetMode="External"/><Relationship Id="rId186" Type="http://schemas.openxmlformats.org/officeDocument/2006/relationships/hyperlink" Target="https://profedu.blood.ca/sites/msi/files/Canadian-Blood-Services-Ethics-Consultation-Report-final.pdf" TargetMode="External"/><Relationship Id="rId27" Type="http://schemas.openxmlformats.org/officeDocument/2006/relationships/hyperlink" Target="https://tsanz.com.au" TargetMode="External"/><Relationship Id="rId48" Type="http://schemas.openxmlformats.org/officeDocument/2006/relationships/hyperlink" Target="https://www.legislation.nsw.gov.au/view/html/inforce/current/act-1983-164" TargetMode="External"/><Relationship Id="rId69" Type="http://schemas.openxmlformats.org/officeDocument/2006/relationships/hyperlink" Target="https://www" TargetMode="External"/><Relationship Id="rId113" Type="http://schemas.openxmlformats.org/officeDocument/2006/relationships/hyperlink" Target="https://www.anzdata.org.au/anzod/" TargetMode="External"/><Relationship Id="rId134" Type="http://schemas.openxmlformats.org/officeDocument/2006/relationships/header" Target="header1.xml"/><Relationship Id="rId80" Type="http://schemas.openxmlformats.org/officeDocument/2006/relationships/hyperlink" Target="https://www.legislation.sa.gov.au/lz?path=/c/a/guardianship%20and%20administration%20act%201993" TargetMode="External"/><Relationship Id="rId155" Type="http://schemas.openxmlformats.org/officeDocument/2006/relationships/hyperlink" Target="https://nacchocommunique.files.wordpress.com/2016/12/cultural_respect_framework_1december2016_1.pdf" TargetMode="External"/><Relationship Id="rId176" Type="http://schemas.openxmlformats.org/officeDocument/2006/relationships/hyperlink" Target="https://www.safetyandquality.gov.au/sites/default/files/migrated/Framework-for-Australian-Clinical-Quality-Registries.pdf" TargetMode="External"/><Relationship Id="rId17" Type="http://schemas.openxmlformats.org/officeDocument/2006/relationships/hyperlink" Target="https://www.tga.gov.au" TargetMode="External"/><Relationship Id="rId38" Type="http://schemas.openxmlformats.org/officeDocument/2006/relationships/hyperlink" Target="https://www.anzdata.org.au/anzod/" TargetMode="External"/><Relationship Id="rId59" Type="http://schemas.openxmlformats.org/officeDocument/2006/relationships/hyperlink" Target="https://www.legislation.qld.gov.au/view/html/inforce/current/" TargetMode="External"/><Relationship Id="rId103" Type="http://schemas.openxmlformats.org/officeDocument/2006/relationships/hyperlink" Target="https://www.legislation.tas.gov.au/view/html/inforce/" TargetMode="External"/><Relationship Id="rId124" Type="http://schemas.openxmlformats.org/officeDocument/2006/relationships/hyperlink" Target="https://www.health.gov.au/initiatives-and-programs/supporting-living-organ-donors-program" TargetMode="External"/><Relationship Id="rId70" Type="http://schemas.openxmlformats.org/officeDocument/2006/relationships/hyperlink" Target="https://www.legislation.act.gov.au/a/2006-50/" TargetMode="External"/><Relationship Id="rId91" Type="http://schemas.openxmlformats.org/officeDocument/2006/relationships/hyperlink" Target="file:///C:/Users/martindo/Desktop/dead" TargetMode="External"/><Relationship Id="rId145" Type="http://schemas.openxmlformats.org/officeDocument/2006/relationships/hyperlink" Target="https://ama.com.au/sites/default/files/documents/AMA_Code_of_Ethics_2004._Editorially_Revised_2006._Revised_2016.pdf" TargetMode="External"/><Relationship Id="rId166" Type="http://schemas.openxmlformats.org/officeDocument/2006/relationships/hyperlink" Target="https://kdigo.org/wp-content/uploads/2017/07/2017-KDIGO-LD-GL.pdf" TargetMode="External"/><Relationship Id="rId187" Type="http://schemas.openxmlformats.org/officeDocument/2006/relationships/hyperlink" Target="https://www.anzics.com.au/wp-content/uploads/2020/07/ANZICS-Statement-on-Death-and-Organ-Donation-Edition-4.pdf" TargetMode="External"/><Relationship Id="rId1" Type="http://schemas.openxmlformats.org/officeDocument/2006/relationships/customXml" Target="../customXml/item1.xml"/><Relationship Id="rId28" Type="http://schemas.openxmlformats.org/officeDocument/2006/relationships/hyperlink" Target="https://www.acccn.com.au/" TargetMode="External"/><Relationship Id="rId49" Type="http://schemas.openxmlformats.org/officeDocument/2006/relationships/hyperlink" Target="https://www.legislation.qld.gov.au/view/html/inforce/current/act-1979-074" TargetMode="External"/><Relationship Id="rId114" Type="http://schemas.openxmlformats.org/officeDocument/2006/relationships/hyperlink" Target="https://www.anzdata.org.au/anzlkd/" TargetMode="External"/><Relationship Id="rId60" Type="http://schemas.openxmlformats.org/officeDocument/2006/relationships/hyperlink" Target="https://www.legislation.sa.gov.au/lz?path=/c/a/coroners%20act%202003" TargetMode="External"/><Relationship Id="rId81" Type="http://schemas.openxmlformats.org/officeDocument/2006/relationships/hyperlink" Target="https://www.legislation.sa.gov.au/lz?path=/c/a/consent%20to%20medical%20treatment%20and%20palliative%20care%20act%201995" TargetMode="External"/><Relationship Id="rId135" Type="http://schemas.openxmlformats.org/officeDocument/2006/relationships/footer" Target="footer1.xml"/><Relationship Id="rId156" Type="http://schemas.openxmlformats.org/officeDocument/2006/relationships/hyperlink" Target="https://www.donatelife.gov.au/resources/multicultural-and-faith-communities/position-statements" TargetMode="External"/><Relationship Id="rId177" Type="http://schemas.openxmlformats.org/officeDocument/2006/relationships/hyperlink" Target="https://wmda.info/wp-content/uploads/2021/01/WMDA-2020-Standards_AM1_Jan2021-1.pdf" TargetMode="External"/><Relationship Id="rId18" Type="http://schemas.openxmlformats.org/officeDocument/2006/relationships/hyperlink" Target="https://nata.com.au/" TargetMode="External"/><Relationship Id="rId39" Type="http://schemas.openxmlformats.org/officeDocument/2006/relationships/hyperlink" Target="https://www.anzdata.org.au/anz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AA0E3C3D4E4488D006B63C9378E16" ma:contentTypeVersion="15" ma:contentTypeDescription="Create a new document." ma:contentTypeScope="" ma:versionID="f0f39a549b0c5a56e6c4c14662a5f65d">
  <xsd:schema xmlns:xsd="http://www.w3.org/2001/XMLSchema" xmlns:xs="http://www.w3.org/2001/XMLSchema" xmlns:p="http://schemas.microsoft.com/office/2006/metadata/properties" xmlns:ns2="ef8499da-f70f-48c9-a6de-e578977a26c0" xmlns:ns3="4d7c24de-93a7-493a-bc68-91affc8febf8" targetNamespace="http://schemas.microsoft.com/office/2006/metadata/properties" ma:root="true" ma:fieldsID="8530fd23fcf391e5ce9c80438601b598" ns2:_="" ns3:_="">
    <xsd:import namespace="ef8499da-f70f-48c9-a6de-e578977a26c0"/>
    <xsd:import namespace="4d7c24de-93a7-493a-bc68-91affc8fe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97fbd0-96bd-4cca-a767-b87f2479454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7c24de-93a7-493a-bc68-91affc8fe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8499da-f70f-48c9-a6de-e578977a26c0" xsi:nil="true"/>
    <lcf76f155ced4ddcb4097134ff3c332f xmlns="4d7c24de-93a7-493a-bc68-91affc8febf8">
      <Terms xmlns="http://schemas.microsoft.com/office/infopath/2007/PartnerControls"/>
    </lcf76f155ced4ddcb4097134ff3c332f>
    <_dlc_DocId xmlns="ef8499da-f70f-48c9-a6de-e578977a26c0">EARI-787722750-67690</_dlc_DocId>
    <_dlc_DocIdUrl xmlns="ef8499da-f70f-48c9-a6de-e578977a26c0">
      <Url>https://nhmrc.sharepoint.com/sites/eari/_layouts/15/DocIdRedir.aspx?ID=EARI-787722750-67690</Url>
      <Description>EARI-787722750-67690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5883EF-E23E-4158-B073-28D3A647F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4d7c24de-93a7-493a-bc68-91affc8fe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13A8B-CFCE-414E-AD2F-6C4ED40D0A38}">
  <ds:schemaRefs>
    <ds:schemaRef ds:uri="http://schemas.openxmlformats.org/officeDocument/2006/bibliography"/>
  </ds:schemaRefs>
</ds:datastoreItem>
</file>

<file path=customXml/itemProps3.xml><?xml version="1.0" encoding="utf-8"?>
<ds:datastoreItem xmlns:ds="http://schemas.openxmlformats.org/officeDocument/2006/customXml" ds:itemID="{90FD2C93-5D3B-4F42-B473-D72BEB32E3A3}">
  <ds:schemaRefs>
    <ds:schemaRef ds:uri="http://schemas.microsoft.com/sharepoint/v3/contenttype/forms"/>
  </ds:schemaRefs>
</ds:datastoreItem>
</file>

<file path=customXml/itemProps4.xml><?xml version="1.0" encoding="utf-8"?>
<ds:datastoreItem xmlns:ds="http://schemas.openxmlformats.org/officeDocument/2006/customXml" ds:itemID="{32D08AB5-EF75-4941-B3EB-2AA1F04B4039}">
  <ds:schemaRefs>
    <ds:schemaRef ds:uri="http://schemas.microsoft.com/office/2006/metadata/properties"/>
    <ds:schemaRef ds:uri="http://schemas.microsoft.com/office/infopath/2007/PartnerControls"/>
    <ds:schemaRef ds:uri="ef8499da-f70f-48c9-a6de-e578977a26c0"/>
    <ds:schemaRef ds:uri="4d7c24de-93a7-493a-bc68-91affc8febf8"/>
  </ds:schemaRefs>
</ds:datastoreItem>
</file>

<file path=customXml/itemProps5.xml><?xml version="1.0" encoding="utf-8"?>
<ds:datastoreItem xmlns:ds="http://schemas.openxmlformats.org/officeDocument/2006/customXml" ds:itemID="{7A101C8A-CA98-463A-8BEB-4A56893EE8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242</Pages>
  <Words>214562</Words>
  <Characters>1223009</Characters>
  <Application>Microsoft Office Word</Application>
  <DocSecurity>0</DocSecurity>
  <Lines>10191</Lines>
  <Paragraphs>2869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1434702</CharactersWithSpaces>
  <SharedDoc>false</SharedDoc>
  <HLinks>
    <vt:vector size="6102" baseType="variant">
      <vt:variant>
        <vt:i4>589880</vt:i4>
      </vt:variant>
      <vt:variant>
        <vt:i4>4098</vt:i4>
      </vt:variant>
      <vt:variant>
        <vt:i4>0</vt:i4>
      </vt:variant>
      <vt:variant>
        <vt:i4>5</vt:i4>
      </vt:variant>
      <vt:variant>
        <vt:lpwstr>https://optn.transplant.hrsa.gov/media/2267/find_a_living_donor.pdf</vt:lpwstr>
      </vt:variant>
      <vt:variant>
        <vt:lpwstr/>
      </vt:variant>
      <vt:variant>
        <vt:i4>3407908</vt:i4>
      </vt:variant>
      <vt:variant>
        <vt:i4>4095</vt:i4>
      </vt:variant>
      <vt:variant>
        <vt:i4>0</vt:i4>
      </vt:variant>
      <vt:variant>
        <vt:i4>5</vt:i4>
      </vt:variant>
      <vt:variant>
        <vt:lpwstr>https://onlinelibrary.wiley.com/doi/full/10.1111/ajt.14444</vt:lpwstr>
      </vt:variant>
      <vt:variant>
        <vt:lpwstr/>
      </vt:variant>
      <vt:variant>
        <vt:i4>2883690</vt:i4>
      </vt:variant>
      <vt:variant>
        <vt:i4>4092</vt:i4>
      </vt:variant>
      <vt:variant>
        <vt:i4>0</vt:i4>
      </vt:variant>
      <vt:variant>
        <vt:i4>5</vt:i4>
      </vt:variant>
      <vt:variant>
        <vt:lpwstr>https://bts.org.uk/wp-content/uploads/2016/09/16_BTS_Directed_Altruistic_2-1.pdf</vt:lpwstr>
      </vt:variant>
      <vt:variant>
        <vt:lpwstr/>
      </vt:variant>
      <vt:variant>
        <vt:i4>524359</vt:i4>
      </vt:variant>
      <vt:variant>
        <vt:i4>4089</vt:i4>
      </vt:variant>
      <vt:variant>
        <vt:i4>0</vt:i4>
      </vt:variant>
      <vt:variant>
        <vt:i4>5</vt:i4>
      </vt:variant>
      <vt:variant>
        <vt:lpwstr>http://aomrc.org.uk/wp-content/uploads/2016/06/Organ_Donation_-infants_anencephaly_020316-2.pdf</vt:lpwstr>
      </vt:variant>
      <vt:variant>
        <vt:lpwstr/>
      </vt:variant>
      <vt:variant>
        <vt:i4>5374041</vt:i4>
      </vt:variant>
      <vt:variant>
        <vt:i4>4086</vt:i4>
      </vt:variant>
      <vt:variant>
        <vt:i4>0</vt:i4>
      </vt:variant>
      <vt:variant>
        <vt:i4>5</vt:i4>
      </vt:variant>
      <vt:variant>
        <vt:lpwstr>http://www.cmaj.ca/lookup/doi/10.1503/cmaj.181648</vt:lpwstr>
      </vt:variant>
      <vt:variant>
        <vt:lpwstr/>
      </vt:variant>
      <vt:variant>
        <vt:i4>851973</vt:i4>
      </vt:variant>
      <vt:variant>
        <vt:i4>4083</vt:i4>
      </vt:variant>
      <vt:variant>
        <vt:i4>0</vt:i4>
      </vt:variant>
      <vt:variant>
        <vt:i4>5</vt:i4>
      </vt:variant>
      <vt:variant>
        <vt:lpwstr>https://optn.transplant.hrsa.gov/resources/ethics/living-donation-by-persons-with-certain-fatal-diseases-white-paper/</vt:lpwstr>
      </vt:variant>
      <vt:variant>
        <vt:lpwstr/>
      </vt:variant>
      <vt:variant>
        <vt:i4>3932222</vt:i4>
      </vt:variant>
      <vt:variant>
        <vt:i4>4080</vt:i4>
      </vt:variant>
      <vt:variant>
        <vt:i4>0</vt:i4>
      </vt:variant>
      <vt:variant>
        <vt:i4>5</vt:i4>
      </vt:variant>
      <vt:variant>
        <vt:lpwstr>https://www.anzics.com.au/wp-content/uploads/2020/07/ANZICS-Statement-on-Death-and-Organ-Donation-Edition-4.pdf</vt:lpwstr>
      </vt:variant>
      <vt:variant>
        <vt:lpwstr/>
      </vt:variant>
      <vt:variant>
        <vt:i4>4718662</vt:i4>
      </vt:variant>
      <vt:variant>
        <vt:i4>4077</vt:i4>
      </vt:variant>
      <vt:variant>
        <vt:i4>0</vt:i4>
      </vt:variant>
      <vt:variant>
        <vt:i4>5</vt:i4>
      </vt:variant>
      <vt:variant>
        <vt:lpwstr>https://profedu.blood.ca/sites/msi/files/Canadian-Blood-Services-Ethics-Consultation-Report-final.pdf</vt:lpwstr>
      </vt:variant>
      <vt:variant>
        <vt:lpwstr/>
      </vt:variant>
      <vt:variant>
        <vt:i4>3473453</vt:i4>
      </vt:variant>
      <vt:variant>
        <vt:i4>4074</vt:i4>
      </vt:variant>
      <vt:variant>
        <vt:i4>0</vt:i4>
      </vt:variant>
      <vt:variant>
        <vt:i4>5</vt:i4>
      </vt:variant>
      <vt:variant>
        <vt:lpwstr>https://www.edqm.eu/sites/default/files/cmres_2017_1-on_principles_for_selection_eval_donation_and_follow_up_of_nrld.pdf</vt:lpwstr>
      </vt:variant>
      <vt:variant>
        <vt:lpwstr/>
      </vt:variant>
      <vt:variant>
        <vt:i4>2490409</vt:i4>
      </vt:variant>
      <vt:variant>
        <vt:i4>4071</vt:i4>
      </vt:variant>
      <vt:variant>
        <vt:i4>0</vt:i4>
      </vt:variant>
      <vt:variant>
        <vt:i4>5</vt:i4>
      </vt:variant>
      <vt:variant>
        <vt:lpwstr>https://optn.transplant.hrsa.gov/resources/ethics/ethical-principles-in-the-allocation-of-human-organs/</vt:lpwstr>
      </vt:variant>
      <vt:variant>
        <vt:lpwstr/>
      </vt:variant>
      <vt:variant>
        <vt:i4>262166</vt:i4>
      </vt:variant>
      <vt:variant>
        <vt:i4>4068</vt:i4>
      </vt:variant>
      <vt:variant>
        <vt:i4>0</vt:i4>
      </vt:variant>
      <vt:variant>
        <vt:i4>5</vt:i4>
      </vt:variant>
      <vt:variant>
        <vt:lpwstr>https://optn.transplant.hrsa.gov/media/2989/ethics_boardreport_201906.pdf</vt:lpwstr>
      </vt:variant>
      <vt:variant>
        <vt:lpwstr/>
      </vt:variant>
      <vt:variant>
        <vt:i4>5439586</vt:i4>
      </vt:variant>
      <vt:variant>
        <vt:i4>4065</vt:i4>
      </vt:variant>
      <vt:variant>
        <vt:i4>0</vt:i4>
      </vt:variant>
      <vt:variant>
        <vt:i4>5</vt:i4>
      </vt:variant>
      <vt:variant>
        <vt:lpwstr>https://tsanz.com.au/storage/documents/TSANZ_Clinical_Guidelines_Version-14.pdf</vt:lpwstr>
      </vt:variant>
      <vt:variant>
        <vt:lpwstr/>
      </vt:variant>
      <vt:variant>
        <vt:i4>4259924</vt:i4>
      </vt:variant>
      <vt:variant>
        <vt:i4>4062</vt:i4>
      </vt:variant>
      <vt:variant>
        <vt:i4>0</vt:i4>
      </vt:variant>
      <vt:variant>
        <vt:i4>5</vt:i4>
      </vt:variant>
      <vt:variant>
        <vt:lpwstr>https://www.kidney.org/transplantation/donorfamilies/infoPolicyGuidelines</vt:lpwstr>
      </vt:variant>
      <vt:variant>
        <vt:lpwstr/>
      </vt:variant>
      <vt:variant>
        <vt:i4>7012472</vt:i4>
      </vt:variant>
      <vt:variant>
        <vt:i4>4059</vt:i4>
      </vt:variant>
      <vt:variant>
        <vt:i4>0</vt:i4>
      </vt:variant>
      <vt:variant>
        <vt:i4>5</vt:i4>
      </vt:variant>
      <vt:variant>
        <vt:lpwstr>https://donatelife.gov.au/sites/default/files/Information for donor families and transplant recipients.pdf</vt:lpwstr>
      </vt:variant>
      <vt:variant>
        <vt:lpwstr/>
      </vt:variant>
      <vt:variant>
        <vt:i4>6094874</vt:i4>
      </vt:variant>
      <vt:variant>
        <vt:i4>4056</vt:i4>
      </vt:variant>
      <vt:variant>
        <vt:i4>0</vt:i4>
      </vt:variant>
      <vt:variant>
        <vt:i4>5</vt:i4>
      </vt:variant>
      <vt:variant>
        <vt:lpwstr>https://donatelife.gov.au/sites/default/files/Report on the community consultative forum.pdf</vt:lpwstr>
      </vt:variant>
      <vt:variant>
        <vt:lpwstr/>
      </vt:variant>
      <vt:variant>
        <vt:i4>3932200</vt:i4>
      </vt:variant>
      <vt:variant>
        <vt:i4>4053</vt:i4>
      </vt:variant>
      <vt:variant>
        <vt:i4>0</vt:i4>
      </vt:variant>
      <vt:variant>
        <vt:i4>5</vt:i4>
      </vt:variant>
      <vt:variant>
        <vt:lpwstr>https://www.maiamnayriwingara.org/news-and-updates</vt:lpwstr>
      </vt:variant>
      <vt:variant>
        <vt:lpwstr/>
      </vt:variant>
      <vt:variant>
        <vt:i4>8323171</vt:i4>
      </vt:variant>
      <vt:variant>
        <vt:i4>4050</vt:i4>
      </vt:variant>
      <vt:variant>
        <vt:i4>0</vt:i4>
      </vt:variant>
      <vt:variant>
        <vt:i4>5</vt:i4>
      </vt:variant>
      <vt:variant>
        <vt:lpwstr>https://wmda.info/wp-content/uploads/2021/01/WMDA-2020-Standards_AM1_Jan2021-1.pdf</vt:lpwstr>
      </vt:variant>
      <vt:variant>
        <vt:lpwstr/>
      </vt:variant>
      <vt:variant>
        <vt:i4>4980755</vt:i4>
      </vt:variant>
      <vt:variant>
        <vt:i4>4047</vt:i4>
      </vt:variant>
      <vt:variant>
        <vt:i4>0</vt:i4>
      </vt:variant>
      <vt:variant>
        <vt:i4>5</vt:i4>
      </vt:variant>
      <vt:variant>
        <vt:lpwstr>https://www.safetyandquality.gov.au/sites/default/files/migrated/Framework-for-Australian-Clinical-Quality-Registries.pdf</vt:lpwstr>
      </vt:variant>
      <vt:variant>
        <vt:lpwstr/>
      </vt:variant>
      <vt:variant>
        <vt:i4>5505089</vt:i4>
      </vt:variant>
      <vt:variant>
        <vt:i4>4044</vt:i4>
      </vt:variant>
      <vt:variant>
        <vt:i4>0</vt:i4>
      </vt:variant>
      <vt:variant>
        <vt:i4>5</vt:i4>
      </vt:variant>
      <vt:variant>
        <vt:lpwstr>https://bmcmedethics.biomedcentral.com/articles/10.1186/s12910-020-0451-1</vt:lpwstr>
      </vt:variant>
      <vt:variant>
        <vt:lpwstr/>
      </vt:variant>
      <vt:variant>
        <vt:i4>1638490</vt:i4>
      </vt:variant>
      <vt:variant>
        <vt:i4>4041</vt:i4>
      </vt:variant>
      <vt:variant>
        <vt:i4>0</vt:i4>
      </vt:variant>
      <vt:variant>
        <vt:i4>5</vt:i4>
      </vt:variant>
      <vt:variant>
        <vt:lpwstr>https://www.oaic.gov.au/privacy/australian-privacy-principles-guidelines</vt:lpwstr>
      </vt:variant>
      <vt:variant>
        <vt:lpwstr/>
      </vt:variant>
      <vt:variant>
        <vt:i4>1572890</vt:i4>
      </vt:variant>
      <vt:variant>
        <vt:i4>4038</vt:i4>
      </vt:variant>
      <vt:variant>
        <vt:i4>0</vt:i4>
      </vt:variant>
      <vt:variant>
        <vt:i4>5</vt:i4>
      </vt:variant>
      <vt:variant>
        <vt:lpwstr>https://share.wmda.info/display/DMSR/WMDA+Donor+Medical+Suitability+Recommendations+Main+page</vt:lpwstr>
      </vt:variant>
      <vt:variant>
        <vt:lpwstr/>
      </vt:variant>
      <vt:variant>
        <vt:i4>5832729</vt:i4>
      </vt:variant>
      <vt:variant>
        <vt:i4>4035</vt:i4>
      </vt:variant>
      <vt:variant>
        <vt:i4>0</vt:i4>
      </vt:variant>
      <vt:variant>
        <vt:i4>5</vt:i4>
      </vt:variant>
      <vt:variant>
        <vt:lpwstr>https://wmda.info/professionals/promoting-donor-care/donor-care/</vt:lpwstr>
      </vt:variant>
      <vt:variant>
        <vt:lpwstr/>
      </vt:variant>
      <vt:variant>
        <vt:i4>3932201</vt:i4>
      </vt:variant>
      <vt:variant>
        <vt:i4>4032</vt:i4>
      </vt:variant>
      <vt:variant>
        <vt:i4>0</vt:i4>
      </vt:variant>
      <vt:variant>
        <vt:i4>5</vt:i4>
      </vt:variant>
      <vt:variant>
        <vt:lpwstr>http://pediatrics.aappublications.org/content/125/4/822.full. Reaffirmed April 2019</vt:lpwstr>
      </vt:variant>
      <vt:variant>
        <vt:lpwstr/>
      </vt:variant>
      <vt:variant>
        <vt:i4>5570648</vt:i4>
      </vt:variant>
      <vt:variant>
        <vt:i4>4029</vt:i4>
      </vt:variant>
      <vt:variant>
        <vt:i4>0</vt:i4>
      </vt:variant>
      <vt:variant>
        <vt:i4>5</vt:i4>
      </vt:variant>
      <vt:variant>
        <vt:lpwstr>https://pediatrics.aappublications.org/content/122/2/454</vt:lpwstr>
      </vt:variant>
      <vt:variant>
        <vt:lpwstr/>
      </vt:variant>
      <vt:variant>
        <vt:i4>1048653</vt:i4>
      </vt:variant>
      <vt:variant>
        <vt:i4>4026</vt:i4>
      </vt:variant>
      <vt:variant>
        <vt:i4>0</vt:i4>
      </vt:variant>
      <vt:variant>
        <vt:i4>5</vt:i4>
      </vt:variant>
      <vt:variant>
        <vt:lpwstr>https://nhsbtdbe.blob.core.windows.net/umbraco-assets-corp/4378/guidelines_consent_for_solid_organ_transplantation_adults.pdf</vt:lpwstr>
      </vt:variant>
      <vt:variant>
        <vt:lpwstr/>
      </vt:variant>
      <vt:variant>
        <vt:i4>3539025</vt:i4>
      </vt:variant>
      <vt:variant>
        <vt:i4>4023</vt:i4>
      </vt:variant>
      <vt:variant>
        <vt:i4>0</vt:i4>
      </vt:variant>
      <vt:variant>
        <vt:i4>5</vt:i4>
      </vt:variant>
      <vt:variant>
        <vt:lpwstr>http://www.aomrc.org.uk/wp-content/uploads/2016/07/Involving_family_deceased_organ_donation_0416-2.pdf</vt:lpwstr>
      </vt:variant>
      <vt:variant>
        <vt:lpwstr/>
      </vt:variant>
      <vt:variant>
        <vt:i4>4522076</vt:i4>
      </vt:variant>
      <vt:variant>
        <vt:i4>4020</vt:i4>
      </vt:variant>
      <vt:variant>
        <vt:i4>0</vt:i4>
      </vt:variant>
      <vt:variant>
        <vt:i4>5</vt:i4>
      </vt:variant>
      <vt:variant>
        <vt:lpwstr>https://content.hta.gov.uk/sites/default/files/2020-11/Code A.pdf</vt:lpwstr>
      </vt:variant>
      <vt:variant>
        <vt:lpwstr/>
      </vt:variant>
      <vt:variant>
        <vt:i4>5505118</vt:i4>
      </vt:variant>
      <vt:variant>
        <vt:i4>4017</vt:i4>
      </vt:variant>
      <vt:variant>
        <vt:i4>0</vt:i4>
      </vt:variant>
      <vt:variant>
        <vt:i4>5</vt:i4>
      </vt:variant>
      <vt:variant>
        <vt:lpwstr>https://kdigo.org/wp-content/uploads/2017/07/2017-KDIGO-LD-GL.pdf</vt:lpwstr>
      </vt:variant>
      <vt:variant>
        <vt:lpwstr/>
      </vt:variant>
      <vt:variant>
        <vt:i4>2097181</vt:i4>
      </vt:variant>
      <vt:variant>
        <vt:i4>4014</vt:i4>
      </vt:variant>
      <vt:variant>
        <vt:i4>0</vt:i4>
      </vt:variant>
      <vt:variant>
        <vt:i4>5</vt:i4>
      </vt:variant>
      <vt:variant>
        <vt:lpwstr>https://bts.org.uk/wp-content/uploads/2016/09/04_BTS_Donation_Prisoners-1.pdf</vt:lpwstr>
      </vt:variant>
      <vt:variant>
        <vt:lpwstr/>
      </vt:variant>
      <vt:variant>
        <vt:i4>2490403</vt:i4>
      </vt:variant>
      <vt:variant>
        <vt:i4>4011</vt:i4>
      </vt:variant>
      <vt:variant>
        <vt:i4>0</vt:i4>
      </vt:variant>
      <vt:variant>
        <vt:i4>5</vt:i4>
      </vt:variant>
      <vt:variant>
        <vt:lpwstr>https://donatelife.gov.au/about-us/who-we-are/national-program/position-statement-legal-framework-consent-donation</vt:lpwstr>
      </vt:variant>
      <vt:variant>
        <vt:lpwstr/>
      </vt:variant>
      <vt:variant>
        <vt:i4>5308428</vt:i4>
      </vt:variant>
      <vt:variant>
        <vt:i4>4008</vt:i4>
      </vt:variant>
      <vt:variant>
        <vt:i4>0</vt:i4>
      </vt:variant>
      <vt:variant>
        <vt:i4>5</vt:i4>
      </vt:variant>
      <vt:variant>
        <vt:lpwstr>https://www.safetyandquality.gov.au/sites/default/files/migrated/National-Safety-and-Quality-Health-Service-Standards-User-Guide-for-Aboriginal-and-Torres-Strait-Islander-Health.pdf</vt:lpwstr>
      </vt:variant>
      <vt:variant>
        <vt:lpwstr/>
      </vt:variant>
      <vt:variant>
        <vt:i4>917581</vt:i4>
      </vt:variant>
      <vt:variant>
        <vt:i4>4005</vt:i4>
      </vt:variant>
      <vt:variant>
        <vt:i4>0</vt:i4>
      </vt:variant>
      <vt:variant>
        <vt:i4>5</vt:i4>
      </vt:variant>
      <vt:variant>
        <vt:lpwstr>https://www.safetyandquality.gov.au/our-work/partnering-consumers/shared-decision-making</vt:lpwstr>
      </vt:variant>
      <vt:variant>
        <vt:lpwstr/>
      </vt:variant>
      <vt:variant>
        <vt:i4>3932222</vt:i4>
      </vt:variant>
      <vt:variant>
        <vt:i4>4002</vt:i4>
      </vt:variant>
      <vt:variant>
        <vt:i4>0</vt:i4>
      </vt:variant>
      <vt:variant>
        <vt:i4>5</vt:i4>
      </vt:variant>
      <vt:variant>
        <vt:lpwstr>https://www.anzics.com.au/wp-content/uploads/2020/07/ANZICS-Statement-on-Death-and-Organ-Donation-Edition-4.pdf</vt:lpwstr>
      </vt:variant>
      <vt:variant>
        <vt:lpwstr/>
      </vt:variant>
      <vt:variant>
        <vt:i4>1507407</vt:i4>
      </vt:variant>
      <vt:variant>
        <vt:i4>3999</vt:i4>
      </vt:variant>
      <vt:variant>
        <vt:i4>0</vt:i4>
      </vt:variant>
      <vt:variant>
        <vt:i4>5</vt:i4>
      </vt:variant>
      <vt:variant>
        <vt:lpwstr>http://www.jstt.org/htm/guideline/Ethical.pdf</vt:lpwstr>
      </vt:variant>
      <vt:variant>
        <vt:lpwstr/>
      </vt:variant>
      <vt:variant>
        <vt:i4>196621</vt:i4>
      </vt:variant>
      <vt:variant>
        <vt:i4>3996</vt:i4>
      </vt:variant>
      <vt:variant>
        <vt:i4>0</vt:i4>
      </vt:variant>
      <vt:variant>
        <vt:i4>5</vt:i4>
      </vt:variant>
      <vt:variant>
        <vt:lpwstr>https://end-of-life.qut.edu.au/organ-donation</vt:lpwstr>
      </vt:variant>
      <vt:variant>
        <vt:lpwstr/>
      </vt:variant>
      <vt:variant>
        <vt:i4>2162724</vt:i4>
      </vt:variant>
      <vt:variant>
        <vt:i4>3993</vt:i4>
      </vt:variant>
      <vt:variant>
        <vt:i4>0</vt:i4>
      </vt:variant>
      <vt:variant>
        <vt:i4>5</vt:i4>
      </vt:variant>
      <vt:variant>
        <vt:lpwstr>https://ama.com.au/position-statement/guidelines-doctors-managing-conflicts-interest-medicine-2018</vt:lpwstr>
      </vt:variant>
      <vt:variant>
        <vt:lpwstr/>
      </vt:variant>
      <vt:variant>
        <vt:i4>7143526</vt:i4>
      </vt:variant>
      <vt:variant>
        <vt:i4>3990</vt:i4>
      </vt:variant>
      <vt:variant>
        <vt:i4>0</vt:i4>
      </vt:variant>
      <vt:variant>
        <vt:i4>5</vt:i4>
      </vt:variant>
      <vt:variant>
        <vt:lpwstr>https://ama.com.au/position-statement/conscientious-objection-2019</vt:lpwstr>
      </vt:variant>
      <vt:variant>
        <vt:lpwstr/>
      </vt:variant>
      <vt:variant>
        <vt:i4>3866721</vt:i4>
      </vt:variant>
      <vt:variant>
        <vt:i4>3987</vt:i4>
      </vt:variant>
      <vt:variant>
        <vt:i4>0</vt:i4>
      </vt:variant>
      <vt:variant>
        <vt:i4>5</vt:i4>
      </vt:variant>
      <vt:variant>
        <vt:lpwstr>https://www.donatelife.gov.au/resources/multicultural-and-faith-communities/position-statements</vt:lpwstr>
      </vt:variant>
      <vt:variant>
        <vt:lpwstr/>
      </vt:variant>
      <vt:variant>
        <vt:i4>4128829</vt:i4>
      </vt:variant>
      <vt:variant>
        <vt:i4>3984</vt:i4>
      </vt:variant>
      <vt:variant>
        <vt:i4>0</vt:i4>
      </vt:variant>
      <vt:variant>
        <vt:i4>5</vt:i4>
      </vt:variant>
      <vt:variant>
        <vt:lpwstr>https://nacchocommunique.files.wordpress.com/2016/12/cultural_respect_framework_1december2016_1.pdf</vt:lpwstr>
      </vt:variant>
      <vt:variant>
        <vt:lpwstr/>
      </vt:variant>
      <vt:variant>
        <vt:i4>6291470</vt:i4>
      </vt:variant>
      <vt:variant>
        <vt:i4>3981</vt:i4>
      </vt:variant>
      <vt:variant>
        <vt:i4>0</vt:i4>
      </vt:variant>
      <vt:variant>
        <vt:i4>5</vt:i4>
      </vt:variant>
      <vt:variant>
        <vt:lpwstr>https://www.icn.ch/sites/default/files/inline-files/2012_ICN_Codeofethicsfornurses_ eng.pdf</vt:lpwstr>
      </vt:variant>
      <vt:variant>
        <vt:lpwstr/>
      </vt:variant>
      <vt:variant>
        <vt:i4>6619239</vt:i4>
      </vt:variant>
      <vt:variant>
        <vt:i4>3978</vt:i4>
      </vt:variant>
      <vt:variant>
        <vt:i4>0</vt:i4>
      </vt:variant>
      <vt:variant>
        <vt:i4>5</vt:i4>
      </vt:variant>
      <vt:variant>
        <vt:lpwstr>https://share.wmda.info/display/WMDAPD/WMDA+Scientific+Publications+and+Recommendations</vt:lpwstr>
      </vt:variant>
      <vt:variant>
        <vt:lpwstr/>
      </vt:variant>
      <vt:variant>
        <vt:i4>2687009</vt:i4>
      </vt:variant>
      <vt:variant>
        <vt:i4>3975</vt:i4>
      </vt:variant>
      <vt:variant>
        <vt:i4>0</vt:i4>
      </vt:variant>
      <vt:variant>
        <vt:i4>5</vt:i4>
      </vt:variant>
      <vt:variant>
        <vt:lpwstr>https://www.wma.net/policies-post/wma-statement-on-measures-for-the-prevention-and-fight-against-transplant-related-crimes/</vt:lpwstr>
      </vt:variant>
      <vt:variant>
        <vt:lpwstr/>
      </vt:variant>
      <vt:variant>
        <vt:i4>1769551</vt:i4>
      </vt:variant>
      <vt:variant>
        <vt:i4>3972</vt:i4>
      </vt:variant>
      <vt:variant>
        <vt:i4>0</vt:i4>
      </vt:variant>
      <vt:variant>
        <vt:i4>5</vt:i4>
      </vt:variant>
      <vt:variant>
        <vt:lpwstr>https://www.wma.net/policies-post/wma-declaration-of-sydney-on-the-determination-of-death-and-the-recovery-of-organs/</vt:lpwstr>
      </vt:variant>
      <vt:variant>
        <vt:lpwstr/>
      </vt:variant>
      <vt:variant>
        <vt:i4>4456513</vt:i4>
      </vt:variant>
      <vt:variant>
        <vt:i4>3969</vt:i4>
      </vt:variant>
      <vt:variant>
        <vt:i4>0</vt:i4>
      </vt:variant>
      <vt:variant>
        <vt:i4>5</vt:i4>
      </vt:variant>
      <vt:variant>
        <vt:lpwstr>https://www.wma.net/policies-post/wma-statement-on-organ-and-tissue-donation/</vt:lpwstr>
      </vt:variant>
      <vt:variant>
        <vt:lpwstr/>
      </vt:variant>
      <vt:variant>
        <vt:i4>5177362</vt:i4>
      </vt:variant>
      <vt:variant>
        <vt:i4>3966</vt:i4>
      </vt:variant>
      <vt:variant>
        <vt:i4>0</vt:i4>
      </vt:variant>
      <vt:variant>
        <vt:i4>5</vt:i4>
      </vt:variant>
      <vt:variant>
        <vt:lpwstr>https://www.who.int/transplantation/Guiding_PrinciplesTransplantation_WHA63.22en.pdf</vt:lpwstr>
      </vt:variant>
      <vt:variant>
        <vt:lpwstr/>
      </vt:variant>
      <vt:variant>
        <vt:i4>5177349</vt:i4>
      </vt:variant>
      <vt:variant>
        <vt:i4>3963</vt:i4>
      </vt:variant>
      <vt:variant>
        <vt:i4>0</vt:i4>
      </vt:variant>
      <vt:variant>
        <vt:i4>5</vt:i4>
      </vt:variant>
      <vt:variant>
        <vt:lpwstr>http://www.gaeba.org/wp-content/uploads/2018/05/GAEBA-2018-The-Barcelona-Principles-FINAL.pdf</vt:lpwstr>
      </vt:variant>
      <vt:variant>
        <vt:lpwstr/>
      </vt:variant>
      <vt:variant>
        <vt:i4>5242954</vt:i4>
      </vt:variant>
      <vt:variant>
        <vt:i4>3960</vt:i4>
      </vt:variant>
      <vt:variant>
        <vt:i4>0</vt:i4>
      </vt:variant>
      <vt:variant>
        <vt:i4>5</vt:i4>
      </vt:variant>
      <vt:variant>
        <vt:lpwstr>https://journals.lww.com/transplantjournal/Fulltext/2019/02000/The_Declaration_of_Istanbul_on_Organ_Trafficking.3.aspx</vt:lpwstr>
      </vt:variant>
      <vt:variant>
        <vt:lpwstr/>
      </vt:variant>
      <vt:variant>
        <vt:i4>5242903</vt:i4>
      </vt:variant>
      <vt:variant>
        <vt:i4>3957</vt:i4>
      </vt:variant>
      <vt:variant>
        <vt:i4>0</vt:i4>
      </vt:variant>
      <vt:variant>
        <vt:i4>5</vt:i4>
      </vt:variant>
      <vt:variant>
        <vt:lpwstr>https://www.ahpra.gov.au/documents/default.aspx?record=WD20%2f30051&amp;dbid=AP&amp;chksum=9BSTs75R4%2fcPJY7vrmzHPg%3d%3d</vt:lpwstr>
      </vt:variant>
      <vt:variant>
        <vt:lpwstr/>
      </vt:variant>
      <vt:variant>
        <vt:i4>3276883</vt:i4>
      </vt:variant>
      <vt:variant>
        <vt:i4>3954</vt:i4>
      </vt:variant>
      <vt:variant>
        <vt:i4>0</vt:i4>
      </vt:variant>
      <vt:variant>
        <vt:i4>5</vt:i4>
      </vt:variant>
      <vt:variant>
        <vt:lpwstr>https://ama.com.au/sites/default/files/documents/AMA_Code_of_Ethics_2004._Editorially_Revised_2006._Revised_2016.pdf</vt:lpwstr>
      </vt:variant>
      <vt:variant>
        <vt:lpwstr/>
      </vt:variant>
      <vt:variant>
        <vt:i4>5439586</vt:i4>
      </vt:variant>
      <vt:variant>
        <vt:i4>3951</vt:i4>
      </vt:variant>
      <vt:variant>
        <vt:i4>0</vt:i4>
      </vt:variant>
      <vt:variant>
        <vt:i4>5</vt:i4>
      </vt:variant>
      <vt:variant>
        <vt:lpwstr>https://tsanz.com.au/storage/documents/TSANZ_Clinical_Guidelines_Version-14.pdf</vt:lpwstr>
      </vt:variant>
      <vt:variant>
        <vt:lpwstr/>
      </vt:variant>
      <vt:variant>
        <vt:i4>2556008</vt:i4>
      </vt:variant>
      <vt:variant>
        <vt:i4>3948</vt:i4>
      </vt:variant>
      <vt:variant>
        <vt:i4>0</vt:i4>
      </vt:variant>
      <vt:variant>
        <vt:i4>5</vt:i4>
      </vt:variant>
      <vt:variant>
        <vt:lpwstr>https://www.rcpa.edu.au/getattachment/ad0d4af1-901a-4056-af05-56bbc06167c1/Ethical-and-Legal-Issues-in-Relation-to-the-Use-of.aspx</vt:lpwstr>
      </vt:variant>
      <vt:variant>
        <vt:lpwstr/>
      </vt:variant>
      <vt:variant>
        <vt:i4>6422625</vt:i4>
      </vt:variant>
      <vt:variant>
        <vt:i4>3945</vt:i4>
      </vt:variant>
      <vt:variant>
        <vt:i4>0</vt:i4>
      </vt:variant>
      <vt:variant>
        <vt:i4>5</vt:i4>
      </vt:variant>
      <vt:variant>
        <vt:lpwstr>https://donatelife.gov.au/resources/multicultural-and-faith-communities/position-statements</vt:lpwstr>
      </vt:variant>
      <vt:variant>
        <vt:lpwstr/>
      </vt:variant>
      <vt:variant>
        <vt:i4>2293866</vt:i4>
      </vt:variant>
      <vt:variant>
        <vt:i4>3942</vt:i4>
      </vt:variant>
      <vt:variant>
        <vt:i4>0</vt:i4>
      </vt:variant>
      <vt:variant>
        <vt:i4>5</vt:i4>
      </vt:variant>
      <vt:variant>
        <vt:lpwstr>http://www.ebaanz.org/wp-content/uploads/2016/05/EBAANZ-Bioethic-Framework-2015.pdf</vt:lpwstr>
      </vt:variant>
      <vt:variant>
        <vt:lpwstr/>
      </vt:variant>
      <vt:variant>
        <vt:i4>3932222</vt:i4>
      </vt:variant>
      <vt:variant>
        <vt:i4>3939</vt:i4>
      </vt:variant>
      <vt:variant>
        <vt:i4>0</vt:i4>
      </vt:variant>
      <vt:variant>
        <vt:i4>5</vt:i4>
      </vt:variant>
      <vt:variant>
        <vt:lpwstr>https://www.anzics.com.au/wp-content/uploads/2020/07/ANZICS-Statement-on-Death-and-Organ-Donation-Edition-4.pdf</vt:lpwstr>
      </vt:variant>
      <vt:variant>
        <vt:lpwstr/>
      </vt:variant>
      <vt:variant>
        <vt:i4>3932160</vt:i4>
      </vt:variant>
      <vt:variant>
        <vt:i4>3936</vt:i4>
      </vt:variant>
      <vt:variant>
        <vt:i4>0</vt:i4>
      </vt:variant>
      <vt:variant>
        <vt:i4>5</vt:i4>
      </vt:variant>
      <vt:variant>
        <vt:lpwstr>https://ama.com.au/sites/default/files/documents/AMA_Position_Statement_on_Organ_and_Tissue_Donation_and_Transplantation_2017_1.pdf</vt:lpwstr>
      </vt:variant>
      <vt:variant>
        <vt:lpwstr/>
      </vt:variant>
      <vt:variant>
        <vt:i4>917540</vt:i4>
      </vt:variant>
      <vt:variant>
        <vt:i4>3930</vt:i4>
      </vt:variant>
      <vt:variant>
        <vt:i4>0</vt:i4>
      </vt:variant>
      <vt:variant>
        <vt:i4>5</vt:i4>
      </vt:variant>
      <vt:variant>
        <vt:lpwstr/>
      </vt:variant>
      <vt:variant>
        <vt:lpwstr>_Donation_after_voluntary</vt:lpwstr>
      </vt:variant>
      <vt:variant>
        <vt:i4>6029425</vt:i4>
      </vt:variant>
      <vt:variant>
        <vt:i4>3927</vt:i4>
      </vt:variant>
      <vt:variant>
        <vt:i4>0</vt:i4>
      </vt:variant>
      <vt:variant>
        <vt:i4>5</vt:i4>
      </vt:variant>
      <vt:variant>
        <vt:lpwstr/>
      </vt:variant>
      <vt:variant>
        <vt:lpwstr>_Ethical_considerations_of</vt:lpwstr>
      </vt:variant>
      <vt:variant>
        <vt:i4>4325490</vt:i4>
      </vt:variant>
      <vt:variant>
        <vt:i4>3924</vt:i4>
      </vt:variant>
      <vt:variant>
        <vt:i4>0</vt:i4>
      </vt:variant>
      <vt:variant>
        <vt:i4>5</vt:i4>
      </vt:variant>
      <vt:variant>
        <vt:lpwstr/>
      </vt:variant>
      <vt:variant>
        <vt:lpwstr>_Ethical_travel_for</vt:lpwstr>
      </vt:variant>
      <vt:variant>
        <vt:i4>6750235</vt:i4>
      </vt:variant>
      <vt:variant>
        <vt:i4>3918</vt:i4>
      </vt:variant>
      <vt:variant>
        <vt:i4>0</vt:i4>
      </vt:variant>
      <vt:variant>
        <vt:i4>5</vt:i4>
      </vt:variant>
      <vt:variant>
        <vt:lpwstr/>
      </vt:variant>
      <vt:variant>
        <vt:lpwstr>_Adults_lacking_decision-making</vt:lpwstr>
      </vt:variant>
      <vt:variant>
        <vt:i4>6815768</vt:i4>
      </vt:variant>
      <vt:variant>
        <vt:i4>3915</vt:i4>
      </vt:variant>
      <vt:variant>
        <vt:i4>0</vt:i4>
      </vt:variant>
      <vt:variant>
        <vt:i4>5</vt:i4>
      </vt:variant>
      <vt:variant>
        <vt:lpwstr/>
      </vt:variant>
      <vt:variant>
        <vt:lpwstr>_Substitute_decision-making_and</vt:lpwstr>
      </vt:variant>
      <vt:variant>
        <vt:i4>6684758</vt:i4>
      </vt:variant>
      <vt:variant>
        <vt:i4>3912</vt:i4>
      </vt:variant>
      <vt:variant>
        <vt:i4>0</vt:i4>
      </vt:variant>
      <vt:variant>
        <vt:i4>5</vt:i4>
      </vt:variant>
      <vt:variant>
        <vt:lpwstr/>
      </vt:variant>
      <vt:variant>
        <vt:lpwstr>_Reciprocity_and_solidarity</vt:lpwstr>
      </vt:variant>
      <vt:variant>
        <vt:i4>5505109</vt:i4>
      </vt:variant>
      <vt:variant>
        <vt:i4>3909</vt:i4>
      </vt:variant>
      <vt:variant>
        <vt:i4>0</vt:i4>
      </vt:variant>
      <vt:variant>
        <vt:i4>5</vt:i4>
      </vt:variant>
      <vt:variant>
        <vt:lpwstr/>
      </vt:variant>
      <vt:variant>
        <vt:lpwstr>_Consent_for_deceased_2</vt:lpwstr>
      </vt:variant>
      <vt:variant>
        <vt:i4>1769538</vt:i4>
      </vt:variant>
      <vt:variant>
        <vt:i4>3906</vt:i4>
      </vt:variant>
      <vt:variant>
        <vt:i4>0</vt:i4>
      </vt:variant>
      <vt:variant>
        <vt:i4>5</vt:i4>
      </vt:variant>
      <vt:variant>
        <vt:lpwstr/>
      </vt:variant>
      <vt:variant>
        <vt:lpwstr>_Ethical_values_embedded_1</vt:lpwstr>
      </vt:variant>
      <vt:variant>
        <vt:i4>1835072</vt:i4>
      </vt:variant>
      <vt:variant>
        <vt:i4>3903</vt:i4>
      </vt:variant>
      <vt:variant>
        <vt:i4>0</vt:i4>
      </vt:variant>
      <vt:variant>
        <vt:i4>5</vt:i4>
      </vt:variant>
      <vt:variant>
        <vt:lpwstr/>
      </vt:variant>
      <vt:variant>
        <vt:lpwstr>_Data_collection_and_1</vt:lpwstr>
      </vt:variant>
      <vt:variant>
        <vt:i4>6488135</vt:i4>
      </vt:variant>
      <vt:variant>
        <vt:i4>3900</vt:i4>
      </vt:variant>
      <vt:variant>
        <vt:i4>0</vt:i4>
      </vt:variant>
      <vt:variant>
        <vt:i4>5</vt:i4>
      </vt:variant>
      <vt:variant>
        <vt:lpwstr/>
      </vt:variant>
      <vt:variant>
        <vt:lpwstr>_Considerations_for_procedural</vt:lpwstr>
      </vt:variant>
      <vt:variant>
        <vt:i4>7340085</vt:i4>
      </vt:variant>
      <vt:variant>
        <vt:i4>3897</vt:i4>
      </vt:variant>
      <vt:variant>
        <vt:i4>0</vt:i4>
      </vt:variant>
      <vt:variant>
        <vt:i4>5</vt:i4>
      </vt:variant>
      <vt:variant>
        <vt:lpwstr/>
      </vt:variant>
      <vt:variant>
        <vt:lpwstr>_General_considerations_in_1</vt:lpwstr>
      </vt:variant>
      <vt:variant>
        <vt:i4>4915200</vt:i4>
      </vt:variant>
      <vt:variant>
        <vt:i4>3894</vt:i4>
      </vt:variant>
      <vt:variant>
        <vt:i4>0</vt:i4>
      </vt:variant>
      <vt:variant>
        <vt:i4>5</vt:i4>
      </vt:variant>
      <vt:variant>
        <vt:lpwstr/>
      </vt:variant>
      <vt:variant>
        <vt:lpwstr>_Pre-mortem_interventions_for_1</vt:lpwstr>
      </vt:variant>
      <vt:variant>
        <vt:i4>6094947</vt:i4>
      </vt:variant>
      <vt:variant>
        <vt:i4>3891</vt:i4>
      </vt:variant>
      <vt:variant>
        <vt:i4>0</vt:i4>
      </vt:variant>
      <vt:variant>
        <vt:i4>5</vt:i4>
      </vt:variant>
      <vt:variant>
        <vt:lpwstr/>
      </vt:variant>
      <vt:variant>
        <vt:lpwstr>_Paired_kidney_exchange</vt:lpwstr>
      </vt:variant>
      <vt:variant>
        <vt:i4>2949147</vt:i4>
      </vt:variant>
      <vt:variant>
        <vt:i4>3888</vt:i4>
      </vt:variant>
      <vt:variant>
        <vt:i4>0</vt:i4>
      </vt:variant>
      <vt:variant>
        <vt:i4>5</vt:i4>
      </vt:variant>
      <vt:variant>
        <vt:lpwstr/>
      </vt:variant>
      <vt:variant>
        <vt:lpwstr>_Acceptance_of_transplant</vt:lpwstr>
      </vt:variant>
      <vt:variant>
        <vt:i4>3801093</vt:i4>
      </vt:variant>
      <vt:variant>
        <vt:i4>3885</vt:i4>
      </vt:variant>
      <vt:variant>
        <vt:i4>0</vt:i4>
      </vt:variant>
      <vt:variant>
        <vt:i4>5</vt:i4>
      </vt:variant>
      <vt:variant>
        <vt:lpwstr/>
      </vt:variant>
      <vt:variant>
        <vt:lpwstr>_Moral_distress_1</vt:lpwstr>
      </vt:variant>
      <vt:variant>
        <vt:i4>1769494</vt:i4>
      </vt:variant>
      <vt:variant>
        <vt:i4>3882</vt:i4>
      </vt:variant>
      <vt:variant>
        <vt:i4>0</vt:i4>
      </vt:variant>
      <vt:variant>
        <vt:i4>5</vt:i4>
      </vt:variant>
      <vt:variant>
        <vt:lpwstr/>
      </vt:variant>
      <vt:variant>
        <vt:lpwstr>_Acknowledging_donors</vt:lpwstr>
      </vt:variant>
      <vt:variant>
        <vt:i4>5111901</vt:i4>
      </vt:variant>
      <vt:variant>
        <vt:i4>3879</vt:i4>
      </vt:variant>
      <vt:variant>
        <vt:i4>0</vt:i4>
      </vt:variant>
      <vt:variant>
        <vt:i4>5</vt:i4>
      </vt:variant>
      <vt:variant>
        <vt:lpwstr/>
      </vt:variant>
      <vt:variant>
        <vt:lpwstr>_Organ_and_tissue_2</vt:lpwstr>
      </vt:variant>
      <vt:variant>
        <vt:i4>6946907</vt:i4>
      </vt:variant>
      <vt:variant>
        <vt:i4>3873</vt:i4>
      </vt:variant>
      <vt:variant>
        <vt:i4>0</vt:i4>
      </vt:variant>
      <vt:variant>
        <vt:i4>5</vt:i4>
      </vt:variant>
      <vt:variant>
        <vt:lpwstr/>
      </vt:variant>
      <vt:variant>
        <vt:lpwstr>_Cells_for_transplantation</vt:lpwstr>
      </vt:variant>
      <vt:variant>
        <vt:i4>6946907</vt:i4>
      </vt:variant>
      <vt:variant>
        <vt:i4>3867</vt:i4>
      </vt:variant>
      <vt:variant>
        <vt:i4>0</vt:i4>
      </vt:variant>
      <vt:variant>
        <vt:i4>5</vt:i4>
      </vt:variant>
      <vt:variant>
        <vt:lpwstr/>
      </vt:variant>
      <vt:variant>
        <vt:lpwstr>_Cells_for_transplantation</vt:lpwstr>
      </vt:variant>
      <vt:variant>
        <vt:i4>131122</vt:i4>
      </vt:variant>
      <vt:variant>
        <vt:i4>3864</vt:i4>
      </vt:variant>
      <vt:variant>
        <vt:i4>0</vt:i4>
      </vt:variant>
      <vt:variant>
        <vt:i4>5</vt:i4>
      </vt:variant>
      <vt:variant>
        <vt:lpwstr/>
      </vt:variant>
      <vt:variant>
        <vt:lpwstr>_Children_who_may</vt:lpwstr>
      </vt:variant>
      <vt:variant>
        <vt:i4>2293763</vt:i4>
      </vt:variant>
      <vt:variant>
        <vt:i4>3861</vt:i4>
      </vt:variant>
      <vt:variant>
        <vt:i4>0</vt:i4>
      </vt:variant>
      <vt:variant>
        <vt:i4>5</vt:i4>
      </vt:variant>
      <vt:variant>
        <vt:lpwstr/>
      </vt:variant>
      <vt:variant>
        <vt:lpwstr>_Financial_neutrality_in</vt:lpwstr>
      </vt:variant>
      <vt:variant>
        <vt:i4>3997741</vt:i4>
      </vt:variant>
      <vt:variant>
        <vt:i4>3858</vt:i4>
      </vt:variant>
      <vt:variant>
        <vt:i4>0</vt:i4>
      </vt:variant>
      <vt:variant>
        <vt:i4>5</vt:i4>
      </vt:variant>
      <vt:variant>
        <vt:lpwstr/>
      </vt:variant>
      <vt:variant>
        <vt:lpwstr>_The_concept_of_1</vt:lpwstr>
      </vt:variant>
      <vt:variant>
        <vt:i4>5374050</vt:i4>
      </vt:variant>
      <vt:variant>
        <vt:i4>3855</vt:i4>
      </vt:variant>
      <vt:variant>
        <vt:i4>0</vt:i4>
      </vt:variant>
      <vt:variant>
        <vt:i4>5</vt:i4>
      </vt:variant>
      <vt:variant>
        <vt:lpwstr/>
      </vt:variant>
      <vt:variant>
        <vt:lpwstr>_Authorisation_of_deceased</vt:lpwstr>
      </vt:variant>
      <vt:variant>
        <vt:i4>4194422</vt:i4>
      </vt:variant>
      <vt:variant>
        <vt:i4>3852</vt:i4>
      </vt:variant>
      <vt:variant>
        <vt:i4>0</vt:i4>
      </vt:variant>
      <vt:variant>
        <vt:i4>5</vt:i4>
      </vt:variant>
      <vt:variant>
        <vt:lpwstr/>
      </vt:variant>
      <vt:variant>
        <vt:lpwstr>_Living_donation_by</vt:lpwstr>
      </vt:variant>
      <vt:variant>
        <vt:i4>6094858</vt:i4>
      </vt:variant>
      <vt:variant>
        <vt:i4>3849</vt:i4>
      </vt:variant>
      <vt:variant>
        <vt:i4>0</vt:i4>
      </vt:variant>
      <vt:variant>
        <vt:i4>5</vt:i4>
      </vt:variant>
      <vt:variant>
        <vt:lpwstr/>
      </vt:variant>
      <vt:variant>
        <vt:lpwstr>_Decision-making_capacity</vt:lpwstr>
      </vt:variant>
      <vt:variant>
        <vt:i4>4063272</vt:i4>
      </vt:variant>
      <vt:variant>
        <vt:i4>3846</vt:i4>
      </vt:variant>
      <vt:variant>
        <vt:i4>0</vt:i4>
      </vt:variant>
      <vt:variant>
        <vt:i4>5</vt:i4>
      </vt:variant>
      <vt:variant>
        <vt:lpwstr/>
      </vt:variant>
      <vt:variant>
        <vt:lpwstr>_Ethical_obligations_of_1</vt:lpwstr>
      </vt:variant>
      <vt:variant>
        <vt:i4>3735585</vt:i4>
      </vt:variant>
      <vt:variant>
        <vt:i4>3843</vt:i4>
      </vt:variant>
      <vt:variant>
        <vt:i4>0</vt:i4>
      </vt:variant>
      <vt:variant>
        <vt:i4>5</vt:i4>
      </vt:variant>
      <vt:variant>
        <vt:lpwstr/>
      </vt:variant>
      <vt:variant>
        <vt:lpwstr>_Cultural_safety</vt:lpwstr>
      </vt:variant>
      <vt:variant>
        <vt:i4>4587630</vt:i4>
      </vt:variant>
      <vt:variant>
        <vt:i4>3834</vt:i4>
      </vt:variant>
      <vt:variant>
        <vt:i4>0</vt:i4>
      </vt:variant>
      <vt:variant>
        <vt:i4>5</vt:i4>
      </vt:variant>
      <vt:variant>
        <vt:lpwstr/>
      </vt:variant>
      <vt:variant>
        <vt:lpwstr>_Responsibilities_of_health</vt:lpwstr>
      </vt:variant>
      <vt:variant>
        <vt:i4>458794</vt:i4>
      </vt:variant>
      <vt:variant>
        <vt:i4>3831</vt:i4>
      </vt:variant>
      <vt:variant>
        <vt:i4>0</vt:i4>
      </vt:variant>
      <vt:variant>
        <vt:i4>5</vt:i4>
      </vt:variant>
      <vt:variant>
        <vt:lpwstr/>
      </vt:variant>
      <vt:variant>
        <vt:lpwstr>_Conscientious_objection_and</vt:lpwstr>
      </vt:variant>
      <vt:variant>
        <vt:i4>3604504</vt:i4>
      </vt:variant>
      <vt:variant>
        <vt:i4>3828</vt:i4>
      </vt:variant>
      <vt:variant>
        <vt:i4>0</vt:i4>
      </vt:variant>
      <vt:variant>
        <vt:i4>5</vt:i4>
      </vt:variant>
      <vt:variant>
        <vt:lpwstr/>
      </vt:variant>
      <vt:variant>
        <vt:lpwstr>_Restrictions_on_donation</vt:lpwstr>
      </vt:variant>
      <vt:variant>
        <vt:i4>3801190</vt:i4>
      </vt:variant>
      <vt:variant>
        <vt:i4>3825</vt:i4>
      </vt:variant>
      <vt:variant>
        <vt:i4>0</vt:i4>
      </vt:variant>
      <vt:variant>
        <vt:i4>5</vt:i4>
      </vt:variant>
      <vt:variant>
        <vt:lpwstr/>
      </vt:variant>
      <vt:variant>
        <vt:lpwstr>_Children:_Best_interests_1</vt:lpwstr>
      </vt:variant>
      <vt:variant>
        <vt:i4>2359409</vt:i4>
      </vt:variant>
      <vt:variant>
        <vt:i4>3822</vt:i4>
      </vt:variant>
      <vt:variant>
        <vt:i4>0</vt:i4>
      </vt:variant>
      <vt:variant>
        <vt:i4>5</vt:i4>
      </vt:variant>
      <vt:variant>
        <vt:lpwstr/>
      </vt:variant>
      <vt:variant>
        <vt:lpwstr>_Respect_for_the_1</vt:lpwstr>
      </vt:variant>
      <vt:variant>
        <vt:i4>5505109</vt:i4>
      </vt:variant>
      <vt:variant>
        <vt:i4>3819</vt:i4>
      </vt:variant>
      <vt:variant>
        <vt:i4>0</vt:i4>
      </vt:variant>
      <vt:variant>
        <vt:i4>5</vt:i4>
      </vt:variant>
      <vt:variant>
        <vt:lpwstr/>
      </vt:variant>
      <vt:variant>
        <vt:lpwstr>_Consent_for_deceased_2</vt:lpwstr>
      </vt:variant>
      <vt:variant>
        <vt:i4>4259962</vt:i4>
      </vt:variant>
      <vt:variant>
        <vt:i4>3816</vt:i4>
      </vt:variant>
      <vt:variant>
        <vt:i4>0</vt:i4>
      </vt:variant>
      <vt:variant>
        <vt:i4>5</vt:i4>
      </vt:variant>
      <vt:variant>
        <vt:lpwstr/>
      </vt:variant>
      <vt:variant>
        <vt:lpwstr>_The_importance_of</vt:lpwstr>
      </vt:variant>
      <vt:variant>
        <vt:i4>3538957</vt:i4>
      </vt:variant>
      <vt:variant>
        <vt:i4>3813</vt:i4>
      </vt:variant>
      <vt:variant>
        <vt:i4>0</vt:i4>
      </vt:variant>
      <vt:variant>
        <vt:i4>5</vt:i4>
      </vt:variant>
      <vt:variant>
        <vt:lpwstr/>
      </vt:variant>
      <vt:variant>
        <vt:lpwstr>_The_role_of</vt:lpwstr>
      </vt:variant>
      <vt:variant>
        <vt:i4>6815859</vt:i4>
      </vt:variant>
      <vt:variant>
        <vt:i4>3810</vt:i4>
      </vt:variant>
      <vt:variant>
        <vt:i4>0</vt:i4>
      </vt:variant>
      <vt:variant>
        <vt:i4>5</vt:i4>
      </vt:variant>
      <vt:variant>
        <vt:lpwstr/>
      </vt:variant>
      <vt:variant>
        <vt:lpwstr>_Mechanisms_of_substitute_1</vt:lpwstr>
      </vt:variant>
      <vt:variant>
        <vt:i4>5963886</vt:i4>
      </vt:variant>
      <vt:variant>
        <vt:i4>3807</vt:i4>
      </vt:variant>
      <vt:variant>
        <vt:i4>0</vt:i4>
      </vt:variant>
      <vt:variant>
        <vt:i4>5</vt:i4>
      </vt:variant>
      <vt:variant>
        <vt:lpwstr/>
      </vt:variant>
      <vt:variant>
        <vt:lpwstr>_Conflicts_of_interest</vt:lpwstr>
      </vt:variant>
      <vt:variant>
        <vt:i4>4849776</vt:i4>
      </vt:variant>
      <vt:variant>
        <vt:i4>3795</vt:i4>
      </vt:variant>
      <vt:variant>
        <vt:i4>0</vt:i4>
      </vt:variant>
      <vt:variant>
        <vt:i4>5</vt:i4>
      </vt:variant>
      <vt:variant>
        <vt:lpwstr/>
      </vt:variant>
      <vt:variant>
        <vt:lpwstr>_Ethical_approaches_to</vt:lpwstr>
      </vt:variant>
      <vt:variant>
        <vt:i4>2162689</vt:i4>
      </vt:variant>
      <vt:variant>
        <vt:i4>3792</vt:i4>
      </vt:variant>
      <vt:variant>
        <vt:i4>0</vt:i4>
      </vt:variant>
      <vt:variant>
        <vt:i4>5</vt:i4>
      </vt:variant>
      <vt:variant>
        <vt:lpwstr/>
      </vt:variant>
      <vt:variant>
        <vt:lpwstr>_Use_of_registry</vt:lpwstr>
      </vt:variant>
      <vt:variant>
        <vt:i4>786487</vt:i4>
      </vt:variant>
      <vt:variant>
        <vt:i4>3786</vt:i4>
      </vt:variant>
      <vt:variant>
        <vt:i4>0</vt:i4>
      </vt:variant>
      <vt:variant>
        <vt:i4>5</vt:i4>
      </vt:variant>
      <vt:variant>
        <vt:lpwstr/>
      </vt:variant>
      <vt:variant>
        <vt:lpwstr>_Innovative_transplantation_practice</vt:lpwstr>
      </vt:variant>
      <vt:variant>
        <vt:i4>262227</vt:i4>
      </vt:variant>
      <vt:variant>
        <vt:i4>3780</vt:i4>
      </vt:variant>
      <vt:variant>
        <vt:i4>0</vt:i4>
      </vt:variant>
      <vt:variant>
        <vt:i4>5</vt:i4>
      </vt:variant>
      <vt:variant>
        <vt:lpwstr/>
      </vt:variant>
      <vt:variant>
        <vt:lpwstr>_Allocation_of_uteri_1</vt:lpwstr>
      </vt:variant>
      <vt:variant>
        <vt:i4>4128771</vt:i4>
      </vt:variant>
      <vt:variant>
        <vt:i4>3768</vt:i4>
      </vt:variant>
      <vt:variant>
        <vt:i4>0</vt:i4>
      </vt:variant>
      <vt:variant>
        <vt:i4>5</vt:i4>
      </vt:variant>
      <vt:variant>
        <vt:lpwstr/>
      </vt:variant>
      <vt:variant>
        <vt:lpwstr>_Consideration_of_the</vt:lpwstr>
      </vt:variant>
      <vt:variant>
        <vt:i4>262227</vt:i4>
      </vt:variant>
      <vt:variant>
        <vt:i4>3762</vt:i4>
      </vt:variant>
      <vt:variant>
        <vt:i4>0</vt:i4>
      </vt:variant>
      <vt:variant>
        <vt:i4>5</vt:i4>
      </vt:variant>
      <vt:variant>
        <vt:lpwstr/>
      </vt:variant>
      <vt:variant>
        <vt:lpwstr>_Allocation_of_uteri_1</vt:lpwstr>
      </vt:variant>
      <vt:variant>
        <vt:i4>4063260</vt:i4>
      </vt:variant>
      <vt:variant>
        <vt:i4>3756</vt:i4>
      </vt:variant>
      <vt:variant>
        <vt:i4>0</vt:i4>
      </vt:variant>
      <vt:variant>
        <vt:i4>5</vt:i4>
      </vt:variant>
      <vt:variant>
        <vt:lpwstr/>
      </vt:variant>
      <vt:variant>
        <vt:lpwstr>_Equity_in_opportunities</vt:lpwstr>
      </vt:variant>
      <vt:variant>
        <vt:i4>3538985</vt:i4>
      </vt:variant>
      <vt:variant>
        <vt:i4>3753</vt:i4>
      </vt:variant>
      <vt:variant>
        <vt:i4>0</vt:i4>
      </vt:variant>
      <vt:variant>
        <vt:i4>5</vt:i4>
      </vt:variant>
      <vt:variant>
        <vt:lpwstr/>
      </vt:variant>
      <vt:variant>
        <vt:lpwstr>_Risks_and_benefits_1</vt:lpwstr>
      </vt:variant>
      <vt:variant>
        <vt:i4>3211325</vt:i4>
      </vt:variant>
      <vt:variant>
        <vt:i4>3744</vt:i4>
      </vt:variant>
      <vt:variant>
        <vt:i4>0</vt:i4>
      </vt:variant>
      <vt:variant>
        <vt:i4>5</vt:i4>
      </vt:variant>
      <vt:variant>
        <vt:lpwstr/>
      </vt:variant>
      <vt:variant>
        <vt:lpwstr>_Intersections_between_donation_2</vt:lpwstr>
      </vt:variant>
      <vt:variant>
        <vt:i4>3801190</vt:i4>
      </vt:variant>
      <vt:variant>
        <vt:i4>3732</vt:i4>
      </vt:variant>
      <vt:variant>
        <vt:i4>0</vt:i4>
      </vt:variant>
      <vt:variant>
        <vt:i4>5</vt:i4>
      </vt:variant>
      <vt:variant>
        <vt:lpwstr/>
      </vt:variant>
      <vt:variant>
        <vt:lpwstr>_Children:_Best_interests_1</vt:lpwstr>
      </vt:variant>
      <vt:variant>
        <vt:i4>4194422</vt:i4>
      </vt:variant>
      <vt:variant>
        <vt:i4>3729</vt:i4>
      </vt:variant>
      <vt:variant>
        <vt:i4>0</vt:i4>
      </vt:variant>
      <vt:variant>
        <vt:i4>5</vt:i4>
      </vt:variant>
      <vt:variant>
        <vt:lpwstr/>
      </vt:variant>
      <vt:variant>
        <vt:lpwstr>_Living_donation_by</vt:lpwstr>
      </vt:variant>
      <vt:variant>
        <vt:i4>6029414</vt:i4>
      </vt:variant>
      <vt:variant>
        <vt:i4>3705</vt:i4>
      </vt:variant>
      <vt:variant>
        <vt:i4>0</vt:i4>
      </vt:variant>
      <vt:variant>
        <vt:i4>5</vt:i4>
      </vt:variant>
      <vt:variant>
        <vt:lpwstr/>
      </vt:variant>
      <vt:variant>
        <vt:lpwstr>_Exceptional_access_to</vt:lpwstr>
      </vt:variant>
      <vt:variant>
        <vt:i4>4915243</vt:i4>
      </vt:variant>
      <vt:variant>
        <vt:i4>3699</vt:i4>
      </vt:variant>
      <vt:variant>
        <vt:i4>0</vt:i4>
      </vt:variant>
      <vt:variant>
        <vt:i4>5</vt:i4>
      </vt:variant>
      <vt:variant>
        <vt:lpwstr/>
      </vt:variant>
      <vt:variant>
        <vt:lpwstr>_Decision-making_regarding_public</vt:lpwstr>
      </vt:variant>
      <vt:variant>
        <vt:i4>6946907</vt:i4>
      </vt:variant>
      <vt:variant>
        <vt:i4>3693</vt:i4>
      </vt:variant>
      <vt:variant>
        <vt:i4>0</vt:i4>
      </vt:variant>
      <vt:variant>
        <vt:i4>5</vt:i4>
      </vt:variant>
      <vt:variant>
        <vt:lpwstr/>
      </vt:variant>
      <vt:variant>
        <vt:lpwstr>_Cells_for_transplantation</vt:lpwstr>
      </vt:variant>
      <vt:variant>
        <vt:i4>3997741</vt:i4>
      </vt:variant>
      <vt:variant>
        <vt:i4>3690</vt:i4>
      </vt:variant>
      <vt:variant>
        <vt:i4>0</vt:i4>
      </vt:variant>
      <vt:variant>
        <vt:i4>5</vt:i4>
      </vt:variant>
      <vt:variant>
        <vt:lpwstr/>
      </vt:variant>
      <vt:variant>
        <vt:lpwstr>_The_concept_of_1</vt:lpwstr>
      </vt:variant>
      <vt:variant>
        <vt:i4>4587618</vt:i4>
      </vt:variant>
      <vt:variant>
        <vt:i4>3687</vt:i4>
      </vt:variant>
      <vt:variant>
        <vt:i4>0</vt:i4>
      </vt:variant>
      <vt:variant>
        <vt:i4>5</vt:i4>
      </vt:variant>
      <vt:variant>
        <vt:lpwstr/>
      </vt:variant>
      <vt:variant>
        <vt:lpwstr>_Responding_to_requests</vt:lpwstr>
      </vt:variant>
      <vt:variant>
        <vt:i4>5046385</vt:i4>
      </vt:variant>
      <vt:variant>
        <vt:i4>3684</vt:i4>
      </vt:variant>
      <vt:variant>
        <vt:i4>0</vt:i4>
      </vt:variant>
      <vt:variant>
        <vt:i4>5</vt:i4>
      </vt:variant>
      <vt:variant>
        <vt:lpwstr/>
      </vt:variant>
      <vt:variant>
        <vt:lpwstr>_Ethical_principles_guiding</vt:lpwstr>
      </vt:variant>
      <vt:variant>
        <vt:i4>589857</vt:i4>
      </vt:variant>
      <vt:variant>
        <vt:i4>3681</vt:i4>
      </vt:variant>
      <vt:variant>
        <vt:i4>0</vt:i4>
      </vt:variant>
      <vt:variant>
        <vt:i4>5</vt:i4>
      </vt:variant>
      <vt:variant>
        <vt:lpwstr/>
      </vt:variant>
      <vt:variant>
        <vt:lpwstr>_Glossary</vt:lpwstr>
      </vt:variant>
      <vt:variant>
        <vt:i4>1441814</vt:i4>
      </vt:variant>
      <vt:variant>
        <vt:i4>3678</vt:i4>
      </vt:variant>
      <vt:variant>
        <vt:i4>0</vt:i4>
      </vt:variant>
      <vt:variant>
        <vt:i4>5</vt:i4>
      </vt:variant>
      <vt:variant>
        <vt:lpwstr/>
      </vt:variant>
      <vt:variant>
        <vt:lpwstr>_Directed_deceased_donation_1</vt:lpwstr>
      </vt:variant>
      <vt:variant>
        <vt:i4>2293798</vt:i4>
      </vt:variant>
      <vt:variant>
        <vt:i4>3675</vt:i4>
      </vt:variant>
      <vt:variant>
        <vt:i4>0</vt:i4>
      </vt:variant>
      <vt:variant>
        <vt:i4>5</vt:i4>
      </vt:variant>
      <vt:variant>
        <vt:lpwstr/>
      </vt:variant>
      <vt:variant>
        <vt:lpwstr>_Restricted_donations</vt:lpwstr>
      </vt:variant>
      <vt:variant>
        <vt:i4>4325481</vt:i4>
      </vt:variant>
      <vt:variant>
        <vt:i4>3672</vt:i4>
      </vt:variant>
      <vt:variant>
        <vt:i4>0</vt:i4>
      </vt:variant>
      <vt:variant>
        <vt:i4>5</vt:i4>
      </vt:variant>
      <vt:variant>
        <vt:lpwstr/>
      </vt:variant>
      <vt:variant>
        <vt:lpwstr>_Public_solicitation_of</vt:lpwstr>
      </vt:variant>
      <vt:variant>
        <vt:i4>4784248</vt:i4>
      </vt:variant>
      <vt:variant>
        <vt:i4>3663</vt:i4>
      </vt:variant>
      <vt:variant>
        <vt:i4>0</vt:i4>
      </vt:variant>
      <vt:variant>
        <vt:i4>5</vt:i4>
      </vt:variant>
      <vt:variant>
        <vt:lpwstr/>
      </vt:variant>
      <vt:variant>
        <vt:lpwstr>_Directed_deceased_donation</vt:lpwstr>
      </vt:variant>
      <vt:variant>
        <vt:i4>2162702</vt:i4>
      </vt:variant>
      <vt:variant>
        <vt:i4>3660</vt:i4>
      </vt:variant>
      <vt:variant>
        <vt:i4>0</vt:i4>
      </vt:variant>
      <vt:variant>
        <vt:i4>5</vt:i4>
      </vt:variant>
      <vt:variant>
        <vt:lpwstr/>
      </vt:variant>
      <vt:variant>
        <vt:lpwstr>_Directed_donation_after</vt:lpwstr>
      </vt:variant>
      <vt:variant>
        <vt:i4>2621455</vt:i4>
      </vt:variant>
      <vt:variant>
        <vt:i4>3657</vt:i4>
      </vt:variant>
      <vt:variant>
        <vt:i4>0</vt:i4>
      </vt:variant>
      <vt:variant>
        <vt:i4>5</vt:i4>
      </vt:variant>
      <vt:variant>
        <vt:lpwstr/>
      </vt:variant>
      <vt:variant>
        <vt:lpwstr>_Voluntariness_of_consent</vt:lpwstr>
      </vt:variant>
      <vt:variant>
        <vt:i4>6029439</vt:i4>
      </vt:variant>
      <vt:variant>
        <vt:i4>3654</vt:i4>
      </vt:variant>
      <vt:variant>
        <vt:i4>0</vt:i4>
      </vt:variant>
      <vt:variant>
        <vt:i4>5</vt:i4>
      </vt:variant>
      <vt:variant>
        <vt:lpwstr/>
      </vt:variant>
      <vt:variant>
        <vt:lpwstr>_Psychosocial_evaluation_of</vt:lpwstr>
      </vt:variant>
      <vt:variant>
        <vt:i4>3211268</vt:i4>
      </vt:variant>
      <vt:variant>
        <vt:i4>3651</vt:i4>
      </vt:variant>
      <vt:variant>
        <vt:i4>0</vt:i4>
      </vt:variant>
      <vt:variant>
        <vt:i4>5</vt:i4>
      </vt:variant>
      <vt:variant>
        <vt:lpwstr/>
      </vt:variant>
      <vt:variant>
        <vt:lpwstr>_Management_of_potential</vt:lpwstr>
      </vt:variant>
      <vt:variant>
        <vt:i4>6422568</vt:i4>
      </vt:variant>
      <vt:variant>
        <vt:i4>3648</vt:i4>
      </vt:variant>
      <vt:variant>
        <vt:i4>0</vt:i4>
      </vt:variant>
      <vt:variant>
        <vt:i4>5</vt:i4>
      </vt:variant>
      <vt:variant>
        <vt:lpwstr/>
      </vt:variant>
      <vt:variant>
        <vt:lpwstr>_Ethical_considerations_in_6</vt:lpwstr>
      </vt:variant>
      <vt:variant>
        <vt:i4>2621455</vt:i4>
      </vt:variant>
      <vt:variant>
        <vt:i4>3645</vt:i4>
      </vt:variant>
      <vt:variant>
        <vt:i4>0</vt:i4>
      </vt:variant>
      <vt:variant>
        <vt:i4>5</vt:i4>
      </vt:variant>
      <vt:variant>
        <vt:lpwstr/>
      </vt:variant>
      <vt:variant>
        <vt:lpwstr>_Voluntariness_of_consent</vt:lpwstr>
      </vt:variant>
      <vt:variant>
        <vt:i4>4915243</vt:i4>
      </vt:variant>
      <vt:variant>
        <vt:i4>3642</vt:i4>
      </vt:variant>
      <vt:variant>
        <vt:i4>0</vt:i4>
      </vt:variant>
      <vt:variant>
        <vt:i4>5</vt:i4>
      </vt:variant>
      <vt:variant>
        <vt:lpwstr/>
      </vt:variant>
      <vt:variant>
        <vt:lpwstr>_Decision-making_regarding_public</vt:lpwstr>
      </vt:variant>
      <vt:variant>
        <vt:i4>53</vt:i4>
      </vt:variant>
      <vt:variant>
        <vt:i4>3639</vt:i4>
      </vt:variant>
      <vt:variant>
        <vt:i4>0</vt:i4>
      </vt:variant>
      <vt:variant>
        <vt:i4>5</vt:i4>
      </vt:variant>
      <vt:variant>
        <vt:lpwstr/>
      </vt:variant>
      <vt:variant>
        <vt:lpwstr>_Practical_constraints_on</vt:lpwstr>
      </vt:variant>
      <vt:variant>
        <vt:i4>1441893</vt:i4>
      </vt:variant>
      <vt:variant>
        <vt:i4>3635</vt:i4>
      </vt:variant>
      <vt:variant>
        <vt:i4>0</vt:i4>
      </vt:variant>
      <vt:variant>
        <vt:i4>5</vt:i4>
      </vt:variant>
      <vt:variant>
        <vt:lpwstr/>
      </vt:variant>
      <vt:variant>
        <vt:lpwstr>_Appendix_3_–</vt:lpwstr>
      </vt:variant>
      <vt:variant>
        <vt:i4>4456517</vt:i4>
      </vt:variant>
      <vt:variant>
        <vt:i4>3633</vt:i4>
      </vt:variant>
      <vt:variant>
        <vt:i4>0</vt:i4>
      </vt:variant>
      <vt:variant>
        <vt:i4>5</vt:i4>
      </vt:variant>
      <vt:variant>
        <vt:lpwstr/>
      </vt:variant>
      <vt:variant>
        <vt:lpwstr>Ch11Resources</vt:lpwstr>
      </vt:variant>
      <vt:variant>
        <vt:i4>3538957</vt:i4>
      </vt:variant>
      <vt:variant>
        <vt:i4>3624</vt:i4>
      </vt:variant>
      <vt:variant>
        <vt:i4>0</vt:i4>
      </vt:variant>
      <vt:variant>
        <vt:i4>5</vt:i4>
      </vt:variant>
      <vt:variant>
        <vt:lpwstr/>
      </vt:variant>
      <vt:variant>
        <vt:lpwstr>_The_role_of</vt:lpwstr>
      </vt:variant>
      <vt:variant>
        <vt:i4>3407889</vt:i4>
      </vt:variant>
      <vt:variant>
        <vt:i4>3621</vt:i4>
      </vt:variant>
      <vt:variant>
        <vt:i4>0</vt:i4>
      </vt:variant>
      <vt:variant>
        <vt:i4>5</vt:i4>
      </vt:variant>
      <vt:variant>
        <vt:lpwstr/>
      </vt:variant>
      <vt:variant>
        <vt:lpwstr>_Prevention_of_organ</vt:lpwstr>
      </vt:variant>
      <vt:variant>
        <vt:i4>196633</vt:i4>
      </vt:variant>
      <vt:variant>
        <vt:i4>3618</vt:i4>
      </vt:variant>
      <vt:variant>
        <vt:i4>0</vt:i4>
      </vt:variant>
      <vt:variant>
        <vt:i4>5</vt:i4>
      </vt:variant>
      <vt:variant>
        <vt:lpwstr/>
      </vt:variant>
      <vt:variant>
        <vt:lpwstr>_Psychosocial_evaluation_of_1</vt:lpwstr>
      </vt:variant>
      <vt:variant>
        <vt:i4>1048576</vt:i4>
      </vt:variant>
      <vt:variant>
        <vt:i4>3612</vt:i4>
      </vt:variant>
      <vt:variant>
        <vt:i4>0</vt:i4>
      </vt:variant>
      <vt:variant>
        <vt:i4>5</vt:i4>
      </vt:variant>
      <vt:variant>
        <vt:lpwstr/>
      </vt:variant>
      <vt:variant>
        <vt:lpwstr>_Disclosure_of_identity_3</vt:lpwstr>
      </vt:variant>
      <vt:variant>
        <vt:i4>6029415</vt:i4>
      </vt:variant>
      <vt:variant>
        <vt:i4>3609</vt:i4>
      </vt:variant>
      <vt:variant>
        <vt:i4>0</vt:i4>
      </vt:variant>
      <vt:variant>
        <vt:i4>5</vt:i4>
      </vt:variant>
      <vt:variant>
        <vt:lpwstr/>
      </vt:variant>
      <vt:variant>
        <vt:lpwstr>_Ethical_management_of</vt:lpwstr>
      </vt:variant>
      <vt:variant>
        <vt:i4>6422568</vt:i4>
      </vt:variant>
      <vt:variant>
        <vt:i4>3606</vt:i4>
      </vt:variant>
      <vt:variant>
        <vt:i4>0</vt:i4>
      </vt:variant>
      <vt:variant>
        <vt:i4>5</vt:i4>
      </vt:variant>
      <vt:variant>
        <vt:lpwstr/>
      </vt:variant>
      <vt:variant>
        <vt:lpwstr>_Ethical_considerations_in_6</vt:lpwstr>
      </vt:variant>
      <vt:variant>
        <vt:i4>5636191</vt:i4>
      </vt:variant>
      <vt:variant>
        <vt:i4>3603</vt:i4>
      </vt:variant>
      <vt:variant>
        <vt:i4>0</vt:i4>
      </vt:variant>
      <vt:variant>
        <vt:i4>5</vt:i4>
      </vt:variant>
      <vt:variant>
        <vt:lpwstr/>
      </vt:variant>
      <vt:variant>
        <vt:lpwstr>_Legal_aspects_of_1</vt:lpwstr>
      </vt:variant>
      <vt:variant>
        <vt:i4>1441893</vt:i4>
      </vt:variant>
      <vt:variant>
        <vt:i4>3600</vt:i4>
      </vt:variant>
      <vt:variant>
        <vt:i4>0</vt:i4>
      </vt:variant>
      <vt:variant>
        <vt:i4>5</vt:i4>
      </vt:variant>
      <vt:variant>
        <vt:lpwstr/>
      </vt:variant>
      <vt:variant>
        <vt:lpwstr>_Appendix_3_–</vt:lpwstr>
      </vt:variant>
      <vt:variant>
        <vt:i4>3211325</vt:i4>
      </vt:variant>
      <vt:variant>
        <vt:i4>3597</vt:i4>
      </vt:variant>
      <vt:variant>
        <vt:i4>0</vt:i4>
      </vt:variant>
      <vt:variant>
        <vt:i4>5</vt:i4>
      </vt:variant>
      <vt:variant>
        <vt:lpwstr/>
      </vt:variant>
      <vt:variant>
        <vt:lpwstr>_Intersections_between_donation_2</vt:lpwstr>
      </vt:variant>
      <vt:variant>
        <vt:i4>6029425</vt:i4>
      </vt:variant>
      <vt:variant>
        <vt:i4>3594</vt:i4>
      </vt:variant>
      <vt:variant>
        <vt:i4>0</vt:i4>
      </vt:variant>
      <vt:variant>
        <vt:i4>5</vt:i4>
      </vt:variant>
      <vt:variant>
        <vt:lpwstr/>
      </vt:variant>
      <vt:variant>
        <vt:lpwstr>_Ethical_considerations_of</vt:lpwstr>
      </vt:variant>
      <vt:variant>
        <vt:i4>5767238</vt:i4>
      </vt:variant>
      <vt:variant>
        <vt:i4>3591</vt:i4>
      </vt:variant>
      <vt:variant>
        <vt:i4>0</vt:i4>
      </vt:variant>
      <vt:variant>
        <vt:i4>5</vt:i4>
      </vt:variant>
      <vt:variant>
        <vt:lpwstr/>
      </vt:variant>
      <vt:variant>
        <vt:lpwstr>_Uterus_transplantation</vt:lpwstr>
      </vt:variant>
      <vt:variant>
        <vt:i4>458792</vt:i4>
      </vt:variant>
      <vt:variant>
        <vt:i4>3588</vt:i4>
      </vt:variant>
      <vt:variant>
        <vt:i4>0</vt:i4>
      </vt:variant>
      <vt:variant>
        <vt:i4>5</vt:i4>
      </vt:variant>
      <vt:variant>
        <vt:lpwstr/>
      </vt:variant>
      <vt:variant>
        <vt:lpwstr>_Uterus_transplantation_1</vt:lpwstr>
      </vt:variant>
      <vt:variant>
        <vt:i4>1376310</vt:i4>
      </vt:variant>
      <vt:variant>
        <vt:i4>3585</vt:i4>
      </vt:variant>
      <vt:variant>
        <vt:i4>0</vt:i4>
      </vt:variant>
      <vt:variant>
        <vt:i4>5</vt:i4>
      </vt:variant>
      <vt:variant>
        <vt:lpwstr/>
      </vt:variant>
      <vt:variant>
        <vt:lpwstr>_Toc70415003</vt:lpwstr>
      </vt:variant>
      <vt:variant>
        <vt:i4>6750292</vt:i4>
      </vt:variant>
      <vt:variant>
        <vt:i4>3582</vt:i4>
      </vt:variant>
      <vt:variant>
        <vt:i4>0</vt:i4>
      </vt:variant>
      <vt:variant>
        <vt:i4>5</vt:i4>
      </vt:variant>
      <vt:variant>
        <vt:lpwstr/>
      </vt:variant>
      <vt:variant>
        <vt:lpwstr>_Living_organ_donor</vt:lpwstr>
      </vt:variant>
      <vt:variant>
        <vt:i4>4325481</vt:i4>
      </vt:variant>
      <vt:variant>
        <vt:i4>3579</vt:i4>
      </vt:variant>
      <vt:variant>
        <vt:i4>0</vt:i4>
      </vt:variant>
      <vt:variant>
        <vt:i4>5</vt:i4>
      </vt:variant>
      <vt:variant>
        <vt:lpwstr/>
      </vt:variant>
      <vt:variant>
        <vt:lpwstr>_Public_solicitation_of</vt:lpwstr>
      </vt:variant>
      <vt:variant>
        <vt:i4>458792</vt:i4>
      </vt:variant>
      <vt:variant>
        <vt:i4>3573</vt:i4>
      </vt:variant>
      <vt:variant>
        <vt:i4>0</vt:i4>
      </vt:variant>
      <vt:variant>
        <vt:i4>5</vt:i4>
      </vt:variant>
      <vt:variant>
        <vt:lpwstr/>
      </vt:variant>
      <vt:variant>
        <vt:lpwstr>_Uterus_transplantation_1</vt:lpwstr>
      </vt:variant>
      <vt:variant>
        <vt:i4>4915200</vt:i4>
      </vt:variant>
      <vt:variant>
        <vt:i4>3570</vt:i4>
      </vt:variant>
      <vt:variant>
        <vt:i4>0</vt:i4>
      </vt:variant>
      <vt:variant>
        <vt:i4>5</vt:i4>
      </vt:variant>
      <vt:variant>
        <vt:lpwstr/>
      </vt:variant>
      <vt:variant>
        <vt:lpwstr>_Pre-mortem_interventions_for_1</vt:lpwstr>
      </vt:variant>
      <vt:variant>
        <vt:i4>3801190</vt:i4>
      </vt:variant>
      <vt:variant>
        <vt:i4>3567</vt:i4>
      </vt:variant>
      <vt:variant>
        <vt:i4>0</vt:i4>
      </vt:variant>
      <vt:variant>
        <vt:i4>5</vt:i4>
      </vt:variant>
      <vt:variant>
        <vt:lpwstr/>
      </vt:variant>
      <vt:variant>
        <vt:lpwstr>_Children:_Best_interests_1</vt:lpwstr>
      </vt:variant>
      <vt:variant>
        <vt:i4>7012420</vt:i4>
      </vt:variant>
      <vt:variant>
        <vt:i4>3564</vt:i4>
      </vt:variant>
      <vt:variant>
        <vt:i4>0</vt:i4>
      </vt:variant>
      <vt:variant>
        <vt:i4>5</vt:i4>
      </vt:variant>
      <vt:variant>
        <vt:lpwstr/>
      </vt:variant>
      <vt:variant>
        <vt:lpwstr>_Conscientious_objection_in</vt:lpwstr>
      </vt:variant>
      <vt:variant>
        <vt:i4>5046299</vt:i4>
      </vt:variant>
      <vt:variant>
        <vt:i4>3555</vt:i4>
      </vt:variant>
      <vt:variant>
        <vt:i4>0</vt:i4>
      </vt:variant>
      <vt:variant>
        <vt:i4>5</vt:i4>
      </vt:variant>
      <vt:variant>
        <vt:lpwstr>C:\Users\martindo\Desktop\dead</vt:lpwstr>
      </vt:variant>
      <vt:variant>
        <vt:lpwstr>_Understanding_the_</vt:lpwstr>
      </vt:variant>
      <vt:variant>
        <vt:i4>1769545</vt:i4>
      </vt:variant>
      <vt:variant>
        <vt:i4>3552</vt:i4>
      </vt:variant>
      <vt:variant>
        <vt:i4>0</vt:i4>
      </vt:variant>
      <vt:variant>
        <vt:i4>5</vt:i4>
      </vt:variant>
      <vt:variant>
        <vt:lpwstr>C:\Users\martindo\Library\Containers\com.microsoft.Word\Data\Desktop\dead</vt:lpwstr>
      </vt:variant>
      <vt:variant>
        <vt:lpwstr>_Understanding_the_</vt:lpwstr>
      </vt:variant>
      <vt:variant>
        <vt:i4>3014717</vt:i4>
      </vt:variant>
      <vt:variant>
        <vt:i4>3549</vt:i4>
      </vt:variant>
      <vt:variant>
        <vt:i4>0</vt:i4>
      </vt:variant>
      <vt:variant>
        <vt:i4>5</vt:i4>
      </vt:variant>
      <vt:variant>
        <vt:lpwstr>https://healthgov.sharepoint.com/sites/OTA/Clinical Programs project library/NHMRC ethical guidelines working docs/Document versions as at 16052023/dead</vt:lpwstr>
      </vt:variant>
      <vt:variant>
        <vt:lpwstr>_Understanding_the_</vt:lpwstr>
      </vt:variant>
      <vt:variant>
        <vt:i4>1245293</vt:i4>
      </vt:variant>
      <vt:variant>
        <vt:i4>3537</vt:i4>
      </vt:variant>
      <vt:variant>
        <vt:i4>0</vt:i4>
      </vt:variant>
      <vt:variant>
        <vt:i4>5</vt:i4>
      </vt:variant>
      <vt:variant>
        <vt:lpwstr/>
      </vt:variant>
      <vt:variant>
        <vt:lpwstr>_Supporting_decision-making_when</vt:lpwstr>
      </vt:variant>
      <vt:variant>
        <vt:i4>5046299</vt:i4>
      </vt:variant>
      <vt:variant>
        <vt:i4>3534</vt:i4>
      </vt:variant>
      <vt:variant>
        <vt:i4>0</vt:i4>
      </vt:variant>
      <vt:variant>
        <vt:i4>5</vt:i4>
      </vt:variant>
      <vt:variant>
        <vt:lpwstr>C:\Users\martindo\Desktop\dead</vt:lpwstr>
      </vt:variant>
      <vt:variant>
        <vt:lpwstr>_Understanding_the_</vt:lpwstr>
      </vt:variant>
      <vt:variant>
        <vt:i4>3276876</vt:i4>
      </vt:variant>
      <vt:variant>
        <vt:i4>3528</vt:i4>
      </vt:variant>
      <vt:variant>
        <vt:i4>0</vt:i4>
      </vt:variant>
      <vt:variant>
        <vt:i4>5</vt:i4>
      </vt:variant>
      <vt:variant>
        <vt:lpwstr/>
      </vt:variant>
      <vt:variant>
        <vt:lpwstr>_Decision-making_about_donation</vt:lpwstr>
      </vt:variant>
      <vt:variant>
        <vt:i4>1507346</vt:i4>
      </vt:variant>
      <vt:variant>
        <vt:i4>3525</vt:i4>
      </vt:variant>
      <vt:variant>
        <vt:i4>0</vt:i4>
      </vt:variant>
      <vt:variant>
        <vt:i4>5</vt:i4>
      </vt:variant>
      <vt:variant>
        <vt:lpwstr>C:\Users\martindo\Desktop\Organ_donation_euthanasia</vt:lpwstr>
      </vt:variant>
      <vt:variant>
        <vt:lpwstr>_</vt:lpwstr>
      </vt:variant>
      <vt:variant>
        <vt:i4>1704009</vt:i4>
      </vt:variant>
      <vt:variant>
        <vt:i4>3516</vt:i4>
      </vt:variant>
      <vt:variant>
        <vt:i4>0</vt:i4>
      </vt:variant>
      <vt:variant>
        <vt:i4>5</vt:i4>
      </vt:variant>
      <vt:variant>
        <vt:lpwstr>https://end-of-life.qut.edu.au/assisteddying</vt:lpwstr>
      </vt:variant>
      <vt:variant>
        <vt:lpwstr/>
      </vt:variant>
      <vt:variant>
        <vt:i4>5046299</vt:i4>
      </vt:variant>
      <vt:variant>
        <vt:i4>3510</vt:i4>
      </vt:variant>
      <vt:variant>
        <vt:i4>0</vt:i4>
      </vt:variant>
      <vt:variant>
        <vt:i4>5</vt:i4>
      </vt:variant>
      <vt:variant>
        <vt:lpwstr>C:\Users\martindo\Desktop\dead</vt:lpwstr>
      </vt:variant>
      <vt:variant>
        <vt:lpwstr>_Understanding_the_</vt:lpwstr>
      </vt:variant>
      <vt:variant>
        <vt:i4>1245293</vt:i4>
      </vt:variant>
      <vt:variant>
        <vt:i4>3507</vt:i4>
      </vt:variant>
      <vt:variant>
        <vt:i4>0</vt:i4>
      </vt:variant>
      <vt:variant>
        <vt:i4>5</vt:i4>
      </vt:variant>
      <vt:variant>
        <vt:lpwstr/>
      </vt:variant>
      <vt:variant>
        <vt:lpwstr>_Supporting_decision-making_when</vt:lpwstr>
      </vt:variant>
      <vt:variant>
        <vt:i4>720945</vt:i4>
      </vt:variant>
      <vt:variant>
        <vt:i4>3504</vt:i4>
      </vt:variant>
      <vt:variant>
        <vt:i4>0</vt:i4>
      </vt:variant>
      <vt:variant>
        <vt:i4>5</vt:i4>
      </vt:variant>
      <vt:variant>
        <vt:lpwstr/>
      </vt:variant>
      <vt:variant>
        <vt:lpwstr>_Consent_for_deceased</vt:lpwstr>
      </vt:variant>
      <vt:variant>
        <vt:i4>2949143</vt:i4>
      </vt:variant>
      <vt:variant>
        <vt:i4>3501</vt:i4>
      </vt:variant>
      <vt:variant>
        <vt:i4>0</vt:i4>
      </vt:variant>
      <vt:variant>
        <vt:i4>5</vt:i4>
      </vt:variant>
      <vt:variant>
        <vt:lpwstr/>
      </vt:variant>
      <vt:variant>
        <vt:lpwstr>_Disclosure_of_clinically</vt:lpwstr>
      </vt:variant>
      <vt:variant>
        <vt:i4>2359301</vt:i4>
      </vt:variant>
      <vt:variant>
        <vt:i4>3498</vt:i4>
      </vt:variant>
      <vt:variant>
        <vt:i4>0</vt:i4>
      </vt:variant>
      <vt:variant>
        <vt:i4>5</vt:i4>
      </vt:variant>
      <vt:variant>
        <vt:lpwstr/>
      </vt:variant>
      <vt:variant>
        <vt:lpwstr>_Obtaining_formal_consent</vt:lpwstr>
      </vt:variant>
      <vt:variant>
        <vt:i4>6094966</vt:i4>
      </vt:variant>
      <vt:variant>
        <vt:i4>3492</vt:i4>
      </vt:variant>
      <vt:variant>
        <vt:i4>0</vt:i4>
      </vt:variant>
      <vt:variant>
        <vt:i4>5</vt:i4>
      </vt:variant>
      <vt:variant>
        <vt:lpwstr/>
      </vt:variant>
      <vt:variant>
        <vt:lpwstr>_Assessment_of_medical</vt:lpwstr>
      </vt:variant>
      <vt:variant>
        <vt:i4>6357032</vt:i4>
      </vt:variant>
      <vt:variant>
        <vt:i4>3486</vt:i4>
      </vt:variant>
      <vt:variant>
        <vt:i4>0</vt:i4>
      </vt:variant>
      <vt:variant>
        <vt:i4>5</vt:i4>
      </vt:variant>
      <vt:variant>
        <vt:lpwstr/>
      </vt:variant>
      <vt:variant>
        <vt:lpwstr>_Ethical_considerations_in_5</vt:lpwstr>
      </vt:variant>
      <vt:variant>
        <vt:i4>1441893</vt:i4>
      </vt:variant>
      <vt:variant>
        <vt:i4>3483</vt:i4>
      </vt:variant>
      <vt:variant>
        <vt:i4>0</vt:i4>
      </vt:variant>
      <vt:variant>
        <vt:i4>5</vt:i4>
      </vt:variant>
      <vt:variant>
        <vt:lpwstr/>
      </vt:variant>
      <vt:variant>
        <vt:lpwstr>_Appendix_3_–</vt:lpwstr>
      </vt:variant>
      <vt:variant>
        <vt:i4>3997741</vt:i4>
      </vt:variant>
      <vt:variant>
        <vt:i4>3480</vt:i4>
      </vt:variant>
      <vt:variant>
        <vt:i4>0</vt:i4>
      </vt:variant>
      <vt:variant>
        <vt:i4>5</vt:i4>
      </vt:variant>
      <vt:variant>
        <vt:lpwstr/>
      </vt:variant>
      <vt:variant>
        <vt:lpwstr>_The_concept_of_1</vt:lpwstr>
      </vt:variant>
      <vt:variant>
        <vt:i4>5636184</vt:i4>
      </vt:variant>
      <vt:variant>
        <vt:i4>3477</vt:i4>
      </vt:variant>
      <vt:variant>
        <vt:i4>0</vt:i4>
      </vt:variant>
      <vt:variant>
        <vt:i4>5</vt:i4>
      </vt:variant>
      <vt:variant>
        <vt:lpwstr/>
      </vt:variant>
      <vt:variant>
        <vt:lpwstr>_Glossary_2</vt:lpwstr>
      </vt:variant>
      <vt:variant>
        <vt:i4>3211268</vt:i4>
      </vt:variant>
      <vt:variant>
        <vt:i4>3471</vt:i4>
      </vt:variant>
      <vt:variant>
        <vt:i4>0</vt:i4>
      </vt:variant>
      <vt:variant>
        <vt:i4>5</vt:i4>
      </vt:variant>
      <vt:variant>
        <vt:lpwstr/>
      </vt:variant>
      <vt:variant>
        <vt:lpwstr>_Management_of_potential</vt:lpwstr>
      </vt:variant>
      <vt:variant>
        <vt:i4>2031649</vt:i4>
      </vt:variant>
      <vt:variant>
        <vt:i4>3462</vt:i4>
      </vt:variant>
      <vt:variant>
        <vt:i4>0</vt:i4>
      </vt:variant>
      <vt:variant>
        <vt:i4>5</vt:i4>
      </vt:variant>
      <vt:variant>
        <vt:lpwstr/>
      </vt:variant>
      <vt:variant>
        <vt:lpwstr>_Quality_of_end-of-life</vt:lpwstr>
      </vt:variant>
      <vt:variant>
        <vt:i4>5636191</vt:i4>
      </vt:variant>
      <vt:variant>
        <vt:i4>3459</vt:i4>
      </vt:variant>
      <vt:variant>
        <vt:i4>0</vt:i4>
      </vt:variant>
      <vt:variant>
        <vt:i4>5</vt:i4>
      </vt:variant>
      <vt:variant>
        <vt:lpwstr/>
      </vt:variant>
      <vt:variant>
        <vt:lpwstr>_Legal_aspects_of_2</vt:lpwstr>
      </vt:variant>
      <vt:variant>
        <vt:i4>3211268</vt:i4>
      </vt:variant>
      <vt:variant>
        <vt:i4>3456</vt:i4>
      </vt:variant>
      <vt:variant>
        <vt:i4>0</vt:i4>
      </vt:variant>
      <vt:variant>
        <vt:i4>5</vt:i4>
      </vt:variant>
      <vt:variant>
        <vt:lpwstr/>
      </vt:variant>
      <vt:variant>
        <vt:lpwstr>_Management_of_potential</vt:lpwstr>
      </vt:variant>
      <vt:variant>
        <vt:i4>6750235</vt:i4>
      </vt:variant>
      <vt:variant>
        <vt:i4>3453</vt:i4>
      </vt:variant>
      <vt:variant>
        <vt:i4>0</vt:i4>
      </vt:variant>
      <vt:variant>
        <vt:i4>5</vt:i4>
      </vt:variant>
      <vt:variant>
        <vt:lpwstr/>
      </vt:variant>
      <vt:variant>
        <vt:lpwstr>_Adults_lacking_decision-making</vt:lpwstr>
      </vt:variant>
      <vt:variant>
        <vt:i4>4718693</vt:i4>
      </vt:variant>
      <vt:variant>
        <vt:i4>3450</vt:i4>
      </vt:variant>
      <vt:variant>
        <vt:i4>0</vt:i4>
      </vt:variant>
      <vt:variant>
        <vt:i4>5</vt:i4>
      </vt:variant>
      <vt:variant>
        <vt:lpwstr/>
      </vt:variant>
      <vt:variant>
        <vt:lpwstr>_Approach_to_substitute</vt:lpwstr>
      </vt:variant>
      <vt:variant>
        <vt:i4>5505109</vt:i4>
      </vt:variant>
      <vt:variant>
        <vt:i4>3441</vt:i4>
      </vt:variant>
      <vt:variant>
        <vt:i4>0</vt:i4>
      </vt:variant>
      <vt:variant>
        <vt:i4>5</vt:i4>
      </vt:variant>
      <vt:variant>
        <vt:lpwstr/>
      </vt:variant>
      <vt:variant>
        <vt:lpwstr>_Consent_for_deceased_2</vt:lpwstr>
      </vt:variant>
      <vt:variant>
        <vt:i4>5636184</vt:i4>
      </vt:variant>
      <vt:variant>
        <vt:i4>3438</vt:i4>
      </vt:variant>
      <vt:variant>
        <vt:i4>0</vt:i4>
      </vt:variant>
      <vt:variant>
        <vt:i4>5</vt:i4>
      </vt:variant>
      <vt:variant>
        <vt:lpwstr/>
      </vt:variant>
      <vt:variant>
        <vt:lpwstr>_Glossary_2</vt:lpwstr>
      </vt:variant>
      <vt:variant>
        <vt:i4>5636184</vt:i4>
      </vt:variant>
      <vt:variant>
        <vt:i4>3435</vt:i4>
      </vt:variant>
      <vt:variant>
        <vt:i4>0</vt:i4>
      </vt:variant>
      <vt:variant>
        <vt:i4>5</vt:i4>
      </vt:variant>
      <vt:variant>
        <vt:lpwstr/>
      </vt:variant>
      <vt:variant>
        <vt:lpwstr>_Glossary_2</vt:lpwstr>
      </vt:variant>
      <vt:variant>
        <vt:i4>3604486</vt:i4>
      </vt:variant>
      <vt:variant>
        <vt:i4>3432</vt:i4>
      </vt:variant>
      <vt:variant>
        <vt:i4>0</vt:i4>
      </vt:variant>
      <vt:variant>
        <vt:i4>5</vt:i4>
      </vt:variant>
      <vt:variant>
        <vt:lpwstr/>
      </vt:variant>
      <vt:variant>
        <vt:lpwstr>_Deceased_donation_by</vt:lpwstr>
      </vt:variant>
      <vt:variant>
        <vt:i4>5636191</vt:i4>
      </vt:variant>
      <vt:variant>
        <vt:i4>3429</vt:i4>
      </vt:variant>
      <vt:variant>
        <vt:i4>0</vt:i4>
      </vt:variant>
      <vt:variant>
        <vt:i4>5</vt:i4>
      </vt:variant>
      <vt:variant>
        <vt:lpwstr/>
      </vt:variant>
      <vt:variant>
        <vt:lpwstr>_Legal_aspects_of_2</vt:lpwstr>
      </vt:variant>
      <vt:variant>
        <vt:i4>3211268</vt:i4>
      </vt:variant>
      <vt:variant>
        <vt:i4>3426</vt:i4>
      </vt:variant>
      <vt:variant>
        <vt:i4>0</vt:i4>
      </vt:variant>
      <vt:variant>
        <vt:i4>5</vt:i4>
      </vt:variant>
      <vt:variant>
        <vt:lpwstr/>
      </vt:variant>
      <vt:variant>
        <vt:lpwstr>_Management_of_potential</vt:lpwstr>
      </vt:variant>
      <vt:variant>
        <vt:i4>6815793</vt:i4>
      </vt:variant>
      <vt:variant>
        <vt:i4>3423</vt:i4>
      </vt:variant>
      <vt:variant>
        <vt:i4>0</vt:i4>
      </vt:variant>
      <vt:variant>
        <vt:i4>5</vt:i4>
      </vt:variant>
      <vt:variant>
        <vt:lpwstr/>
      </vt:variant>
      <vt:variant>
        <vt:lpwstr>_Conflicts_of_interest_3</vt:lpwstr>
      </vt:variant>
      <vt:variant>
        <vt:i4>5570649</vt:i4>
      </vt:variant>
      <vt:variant>
        <vt:i4>3420</vt:i4>
      </vt:variant>
      <vt:variant>
        <vt:i4>0</vt:i4>
      </vt:variant>
      <vt:variant>
        <vt:i4>5</vt:i4>
      </vt:variant>
      <vt:variant>
        <vt:lpwstr/>
      </vt:variant>
      <vt:variant>
        <vt:lpwstr>_Deceased_donation_</vt:lpwstr>
      </vt:variant>
      <vt:variant>
        <vt:i4>3014677</vt:i4>
      </vt:variant>
      <vt:variant>
        <vt:i4>3417</vt:i4>
      </vt:variant>
      <vt:variant>
        <vt:i4>0</vt:i4>
      </vt:variant>
      <vt:variant>
        <vt:i4>5</vt:i4>
      </vt:variant>
      <vt:variant>
        <vt:lpwstr/>
      </vt:variant>
      <vt:variant>
        <vt:lpwstr>_Donor_Management_and</vt:lpwstr>
      </vt:variant>
      <vt:variant>
        <vt:i4>1966116</vt:i4>
      </vt:variant>
      <vt:variant>
        <vt:i4>3414</vt:i4>
      </vt:variant>
      <vt:variant>
        <vt:i4>0</vt:i4>
      </vt:variant>
      <vt:variant>
        <vt:i4>5</vt:i4>
      </vt:variant>
      <vt:variant>
        <vt:lpwstr/>
      </vt:variant>
      <vt:variant>
        <vt:lpwstr>_Legislation</vt:lpwstr>
      </vt:variant>
      <vt:variant>
        <vt:i4>4915200</vt:i4>
      </vt:variant>
      <vt:variant>
        <vt:i4>3411</vt:i4>
      </vt:variant>
      <vt:variant>
        <vt:i4>0</vt:i4>
      </vt:variant>
      <vt:variant>
        <vt:i4>5</vt:i4>
      </vt:variant>
      <vt:variant>
        <vt:lpwstr/>
      </vt:variant>
      <vt:variant>
        <vt:lpwstr>_Pre-mortem_interventions_for_1</vt:lpwstr>
      </vt:variant>
      <vt:variant>
        <vt:i4>3670018</vt:i4>
      </vt:variant>
      <vt:variant>
        <vt:i4>3408</vt:i4>
      </vt:variant>
      <vt:variant>
        <vt:i4>0</vt:i4>
      </vt:variant>
      <vt:variant>
        <vt:i4>5</vt:i4>
      </vt:variant>
      <vt:variant>
        <vt:lpwstr/>
      </vt:variant>
      <vt:variant>
        <vt:lpwstr>_Duty_of_care</vt:lpwstr>
      </vt:variant>
      <vt:variant>
        <vt:i4>1966116</vt:i4>
      </vt:variant>
      <vt:variant>
        <vt:i4>3402</vt:i4>
      </vt:variant>
      <vt:variant>
        <vt:i4>0</vt:i4>
      </vt:variant>
      <vt:variant>
        <vt:i4>5</vt:i4>
      </vt:variant>
      <vt:variant>
        <vt:lpwstr/>
      </vt:variant>
      <vt:variant>
        <vt:lpwstr>_Legislation</vt:lpwstr>
      </vt:variant>
      <vt:variant>
        <vt:i4>1441893</vt:i4>
      </vt:variant>
      <vt:variant>
        <vt:i4>3399</vt:i4>
      </vt:variant>
      <vt:variant>
        <vt:i4>0</vt:i4>
      </vt:variant>
      <vt:variant>
        <vt:i4>5</vt:i4>
      </vt:variant>
      <vt:variant>
        <vt:lpwstr/>
      </vt:variant>
      <vt:variant>
        <vt:lpwstr>_Appendix_3_–</vt:lpwstr>
      </vt:variant>
      <vt:variant>
        <vt:i4>1966116</vt:i4>
      </vt:variant>
      <vt:variant>
        <vt:i4>3393</vt:i4>
      </vt:variant>
      <vt:variant>
        <vt:i4>0</vt:i4>
      </vt:variant>
      <vt:variant>
        <vt:i4>5</vt:i4>
      </vt:variant>
      <vt:variant>
        <vt:lpwstr/>
      </vt:variant>
      <vt:variant>
        <vt:lpwstr>_Legislation</vt:lpwstr>
      </vt:variant>
      <vt:variant>
        <vt:i4>3211268</vt:i4>
      </vt:variant>
      <vt:variant>
        <vt:i4>3390</vt:i4>
      </vt:variant>
      <vt:variant>
        <vt:i4>0</vt:i4>
      </vt:variant>
      <vt:variant>
        <vt:i4>5</vt:i4>
      </vt:variant>
      <vt:variant>
        <vt:lpwstr/>
      </vt:variant>
      <vt:variant>
        <vt:lpwstr>_Management_of_potential</vt:lpwstr>
      </vt:variant>
      <vt:variant>
        <vt:i4>3211268</vt:i4>
      </vt:variant>
      <vt:variant>
        <vt:i4>3387</vt:i4>
      </vt:variant>
      <vt:variant>
        <vt:i4>0</vt:i4>
      </vt:variant>
      <vt:variant>
        <vt:i4>5</vt:i4>
      </vt:variant>
      <vt:variant>
        <vt:lpwstr/>
      </vt:variant>
      <vt:variant>
        <vt:lpwstr>_Management_of_potential</vt:lpwstr>
      </vt:variant>
      <vt:variant>
        <vt:i4>458794</vt:i4>
      </vt:variant>
      <vt:variant>
        <vt:i4>3384</vt:i4>
      </vt:variant>
      <vt:variant>
        <vt:i4>0</vt:i4>
      </vt:variant>
      <vt:variant>
        <vt:i4>5</vt:i4>
      </vt:variant>
      <vt:variant>
        <vt:lpwstr/>
      </vt:variant>
      <vt:variant>
        <vt:lpwstr>_Conscientious_objection_and</vt:lpwstr>
      </vt:variant>
      <vt:variant>
        <vt:i4>3801119</vt:i4>
      </vt:variant>
      <vt:variant>
        <vt:i4>3381</vt:i4>
      </vt:variant>
      <vt:variant>
        <vt:i4>0</vt:i4>
      </vt:variant>
      <vt:variant>
        <vt:i4>5</vt:i4>
      </vt:variant>
      <vt:variant>
        <vt:lpwstr/>
      </vt:variant>
      <vt:variant>
        <vt:lpwstr>_Different_perspectives_regarding</vt:lpwstr>
      </vt:variant>
      <vt:variant>
        <vt:i4>6815793</vt:i4>
      </vt:variant>
      <vt:variant>
        <vt:i4>3378</vt:i4>
      </vt:variant>
      <vt:variant>
        <vt:i4>0</vt:i4>
      </vt:variant>
      <vt:variant>
        <vt:i4>5</vt:i4>
      </vt:variant>
      <vt:variant>
        <vt:lpwstr/>
      </vt:variant>
      <vt:variant>
        <vt:lpwstr>_Conflicts_of_interest_3</vt:lpwstr>
      </vt:variant>
      <vt:variant>
        <vt:i4>1245203</vt:i4>
      </vt:variant>
      <vt:variant>
        <vt:i4>3369</vt:i4>
      </vt:variant>
      <vt:variant>
        <vt:i4>0</vt:i4>
      </vt:variant>
      <vt:variant>
        <vt:i4>5</vt:i4>
      </vt:variant>
      <vt:variant>
        <vt:lpwstr/>
      </vt:variant>
      <vt:variant>
        <vt:lpwstr>_Determination_of_Death_2</vt:lpwstr>
      </vt:variant>
      <vt:variant>
        <vt:i4>1245203</vt:i4>
      </vt:variant>
      <vt:variant>
        <vt:i4>3366</vt:i4>
      </vt:variant>
      <vt:variant>
        <vt:i4>0</vt:i4>
      </vt:variant>
      <vt:variant>
        <vt:i4>5</vt:i4>
      </vt:variant>
      <vt:variant>
        <vt:lpwstr/>
      </vt:variant>
      <vt:variant>
        <vt:lpwstr>_Determination_of_death_1</vt:lpwstr>
      </vt:variant>
      <vt:variant>
        <vt:i4>5046299</vt:i4>
      </vt:variant>
      <vt:variant>
        <vt:i4>3363</vt:i4>
      </vt:variant>
      <vt:variant>
        <vt:i4>0</vt:i4>
      </vt:variant>
      <vt:variant>
        <vt:i4>5</vt:i4>
      </vt:variant>
      <vt:variant>
        <vt:lpwstr>C:\Users\martindo\Desktop\dead</vt:lpwstr>
      </vt:variant>
      <vt:variant>
        <vt:lpwstr>_Understanding_the_</vt:lpwstr>
      </vt:variant>
      <vt:variant>
        <vt:i4>3211268</vt:i4>
      </vt:variant>
      <vt:variant>
        <vt:i4>3360</vt:i4>
      </vt:variant>
      <vt:variant>
        <vt:i4>0</vt:i4>
      </vt:variant>
      <vt:variant>
        <vt:i4>5</vt:i4>
      </vt:variant>
      <vt:variant>
        <vt:lpwstr/>
      </vt:variant>
      <vt:variant>
        <vt:lpwstr>_Management_of_potential</vt:lpwstr>
      </vt:variant>
      <vt:variant>
        <vt:i4>917540</vt:i4>
      </vt:variant>
      <vt:variant>
        <vt:i4>3351</vt:i4>
      </vt:variant>
      <vt:variant>
        <vt:i4>0</vt:i4>
      </vt:variant>
      <vt:variant>
        <vt:i4>5</vt:i4>
      </vt:variant>
      <vt:variant>
        <vt:lpwstr/>
      </vt:variant>
      <vt:variant>
        <vt:lpwstr>_Donation_after_voluntary</vt:lpwstr>
      </vt:variant>
      <vt:variant>
        <vt:i4>3604486</vt:i4>
      </vt:variant>
      <vt:variant>
        <vt:i4>3348</vt:i4>
      </vt:variant>
      <vt:variant>
        <vt:i4>0</vt:i4>
      </vt:variant>
      <vt:variant>
        <vt:i4>5</vt:i4>
      </vt:variant>
      <vt:variant>
        <vt:lpwstr/>
      </vt:variant>
      <vt:variant>
        <vt:lpwstr>_Deceased_donation_by</vt:lpwstr>
      </vt:variant>
      <vt:variant>
        <vt:i4>1245203</vt:i4>
      </vt:variant>
      <vt:variant>
        <vt:i4>3345</vt:i4>
      </vt:variant>
      <vt:variant>
        <vt:i4>0</vt:i4>
      </vt:variant>
      <vt:variant>
        <vt:i4>5</vt:i4>
      </vt:variant>
      <vt:variant>
        <vt:lpwstr/>
      </vt:variant>
      <vt:variant>
        <vt:lpwstr>_Determination_of_death_1</vt:lpwstr>
      </vt:variant>
      <vt:variant>
        <vt:i4>1441893</vt:i4>
      </vt:variant>
      <vt:variant>
        <vt:i4>3339</vt:i4>
      </vt:variant>
      <vt:variant>
        <vt:i4>0</vt:i4>
      </vt:variant>
      <vt:variant>
        <vt:i4>5</vt:i4>
      </vt:variant>
      <vt:variant>
        <vt:lpwstr/>
      </vt:variant>
      <vt:variant>
        <vt:lpwstr>_Appendix_3_–</vt:lpwstr>
      </vt:variant>
      <vt:variant>
        <vt:i4>1441814</vt:i4>
      </vt:variant>
      <vt:variant>
        <vt:i4>3336</vt:i4>
      </vt:variant>
      <vt:variant>
        <vt:i4>0</vt:i4>
      </vt:variant>
      <vt:variant>
        <vt:i4>5</vt:i4>
      </vt:variant>
      <vt:variant>
        <vt:lpwstr/>
      </vt:variant>
      <vt:variant>
        <vt:lpwstr>_Directed_deceased_donation_1</vt:lpwstr>
      </vt:variant>
      <vt:variant>
        <vt:i4>1704020</vt:i4>
      </vt:variant>
      <vt:variant>
        <vt:i4>3333</vt:i4>
      </vt:variant>
      <vt:variant>
        <vt:i4>0</vt:i4>
      </vt:variant>
      <vt:variant>
        <vt:i4>5</vt:i4>
      </vt:variant>
      <vt:variant>
        <vt:lpwstr/>
      </vt:variant>
      <vt:variant>
        <vt:lpwstr>_Miscellaneous_issues_in_1</vt:lpwstr>
      </vt:variant>
      <vt:variant>
        <vt:i4>5111901</vt:i4>
      </vt:variant>
      <vt:variant>
        <vt:i4>3330</vt:i4>
      </vt:variant>
      <vt:variant>
        <vt:i4>0</vt:i4>
      </vt:variant>
      <vt:variant>
        <vt:i4>5</vt:i4>
      </vt:variant>
      <vt:variant>
        <vt:lpwstr/>
      </vt:variant>
      <vt:variant>
        <vt:lpwstr>_Organ_and_tissue_1</vt:lpwstr>
      </vt:variant>
      <vt:variant>
        <vt:i4>917540</vt:i4>
      </vt:variant>
      <vt:variant>
        <vt:i4>3327</vt:i4>
      </vt:variant>
      <vt:variant>
        <vt:i4>0</vt:i4>
      </vt:variant>
      <vt:variant>
        <vt:i4>5</vt:i4>
      </vt:variant>
      <vt:variant>
        <vt:lpwstr/>
      </vt:variant>
      <vt:variant>
        <vt:lpwstr>_Donation_after_voluntary</vt:lpwstr>
      </vt:variant>
      <vt:variant>
        <vt:i4>3604486</vt:i4>
      </vt:variant>
      <vt:variant>
        <vt:i4>3324</vt:i4>
      </vt:variant>
      <vt:variant>
        <vt:i4>0</vt:i4>
      </vt:variant>
      <vt:variant>
        <vt:i4>5</vt:i4>
      </vt:variant>
      <vt:variant>
        <vt:lpwstr/>
      </vt:variant>
      <vt:variant>
        <vt:lpwstr>_Deceased_donation_by</vt:lpwstr>
      </vt:variant>
      <vt:variant>
        <vt:i4>5570649</vt:i4>
      </vt:variant>
      <vt:variant>
        <vt:i4>3321</vt:i4>
      </vt:variant>
      <vt:variant>
        <vt:i4>0</vt:i4>
      </vt:variant>
      <vt:variant>
        <vt:i4>5</vt:i4>
      </vt:variant>
      <vt:variant>
        <vt:lpwstr/>
      </vt:variant>
      <vt:variant>
        <vt:lpwstr>_Deceased_donation_</vt:lpwstr>
      </vt:variant>
      <vt:variant>
        <vt:i4>4915200</vt:i4>
      </vt:variant>
      <vt:variant>
        <vt:i4>3318</vt:i4>
      </vt:variant>
      <vt:variant>
        <vt:i4>0</vt:i4>
      </vt:variant>
      <vt:variant>
        <vt:i4>5</vt:i4>
      </vt:variant>
      <vt:variant>
        <vt:lpwstr/>
      </vt:variant>
      <vt:variant>
        <vt:lpwstr>_Pre-mortem_interventions_for_1</vt:lpwstr>
      </vt:variant>
      <vt:variant>
        <vt:i4>3211268</vt:i4>
      </vt:variant>
      <vt:variant>
        <vt:i4>3315</vt:i4>
      </vt:variant>
      <vt:variant>
        <vt:i4>0</vt:i4>
      </vt:variant>
      <vt:variant>
        <vt:i4>5</vt:i4>
      </vt:variant>
      <vt:variant>
        <vt:lpwstr/>
      </vt:variant>
      <vt:variant>
        <vt:lpwstr>_Management_of_potential</vt:lpwstr>
      </vt:variant>
      <vt:variant>
        <vt:i4>6619176</vt:i4>
      </vt:variant>
      <vt:variant>
        <vt:i4>3312</vt:i4>
      </vt:variant>
      <vt:variant>
        <vt:i4>0</vt:i4>
      </vt:variant>
      <vt:variant>
        <vt:i4>5</vt:i4>
      </vt:variant>
      <vt:variant>
        <vt:lpwstr/>
      </vt:variant>
      <vt:variant>
        <vt:lpwstr>_Ethical_considerations_in_1</vt:lpwstr>
      </vt:variant>
      <vt:variant>
        <vt:i4>5046299</vt:i4>
      </vt:variant>
      <vt:variant>
        <vt:i4>3309</vt:i4>
      </vt:variant>
      <vt:variant>
        <vt:i4>0</vt:i4>
      </vt:variant>
      <vt:variant>
        <vt:i4>5</vt:i4>
      </vt:variant>
      <vt:variant>
        <vt:lpwstr>C:\Users\martindo\Desktop\dead</vt:lpwstr>
      </vt:variant>
      <vt:variant>
        <vt:lpwstr>_Understanding_the_</vt:lpwstr>
      </vt:variant>
      <vt:variant>
        <vt:i4>1835072</vt:i4>
      </vt:variant>
      <vt:variant>
        <vt:i4>3306</vt:i4>
      </vt:variant>
      <vt:variant>
        <vt:i4>0</vt:i4>
      </vt:variant>
      <vt:variant>
        <vt:i4>5</vt:i4>
      </vt:variant>
      <vt:variant>
        <vt:lpwstr/>
      </vt:variant>
      <vt:variant>
        <vt:lpwstr>_Data_collection_and_1</vt:lpwstr>
      </vt:variant>
      <vt:variant>
        <vt:i4>3735635</vt:i4>
      </vt:variant>
      <vt:variant>
        <vt:i4>3303</vt:i4>
      </vt:variant>
      <vt:variant>
        <vt:i4>0</vt:i4>
      </vt:variant>
      <vt:variant>
        <vt:i4>5</vt:i4>
      </vt:variant>
      <vt:variant>
        <vt:lpwstr/>
      </vt:variant>
      <vt:variant>
        <vt:lpwstr>_Decision-making_for_living</vt:lpwstr>
      </vt:variant>
      <vt:variant>
        <vt:i4>7340085</vt:i4>
      </vt:variant>
      <vt:variant>
        <vt:i4>3297</vt:i4>
      </vt:variant>
      <vt:variant>
        <vt:i4>0</vt:i4>
      </vt:variant>
      <vt:variant>
        <vt:i4>5</vt:i4>
      </vt:variant>
      <vt:variant>
        <vt:lpwstr/>
      </vt:variant>
      <vt:variant>
        <vt:lpwstr>_General_considerations_in_1</vt:lpwstr>
      </vt:variant>
      <vt:variant>
        <vt:i4>5505111</vt:i4>
      </vt:variant>
      <vt:variant>
        <vt:i4>3294</vt:i4>
      </vt:variant>
      <vt:variant>
        <vt:i4>0</vt:i4>
      </vt:variant>
      <vt:variant>
        <vt:i4>5</vt:i4>
      </vt:variant>
      <vt:variant>
        <vt:lpwstr/>
      </vt:variant>
      <vt:variant>
        <vt:lpwstr>_Reporting_transplant-related_crimes_1</vt:lpwstr>
      </vt:variant>
      <vt:variant>
        <vt:i4>7864415</vt:i4>
      </vt:variant>
      <vt:variant>
        <vt:i4>3285</vt:i4>
      </vt:variant>
      <vt:variant>
        <vt:i4>0</vt:i4>
      </vt:variant>
      <vt:variant>
        <vt:i4>5</vt:i4>
      </vt:variant>
      <vt:variant>
        <vt:lpwstr/>
      </vt:variant>
      <vt:variant>
        <vt:lpwstr>_Australians_traveling_overseas</vt:lpwstr>
      </vt:variant>
      <vt:variant>
        <vt:i4>3932179</vt:i4>
      </vt:variant>
      <vt:variant>
        <vt:i4>3276</vt:i4>
      </vt:variant>
      <vt:variant>
        <vt:i4>0</vt:i4>
      </vt:variant>
      <vt:variant>
        <vt:i4>5</vt:i4>
      </vt:variant>
      <vt:variant>
        <vt:lpwstr/>
      </vt:variant>
      <vt:variant>
        <vt:lpwstr>_Trafficking_in_human</vt:lpwstr>
      </vt:variant>
      <vt:variant>
        <vt:i4>4784180</vt:i4>
      </vt:variant>
      <vt:variant>
        <vt:i4>3273</vt:i4>
      </vt:variant>
      <vt:variant>
        <vt:i4>0</vt:i4>
      </vt:variant>
      <vt:variant>
        <vt:i4>5</vt:i4>
      </vt:variant>
      <vt:variant>
        <vt:lpwstr/>
      </vt:variant>
      <vt:variant>
        <vt:lpwstr>_Organ_trafficking_1</vt:lpwstr>
      </vt:variant>
      <vt:variant>
        <vt:i4>262205</vt:i4>
      </vt:variant>
      <vt:variant>
        <vt:i4>3264</vt:i4>
      </vt:variant>
      <vt:variant>
        <vt:i4>0</vt:i4>
      </vt:variant>
      <vt:variant>
        <vt:i4>5</vt:i4>
      </vt:variant>
      <vt:variant>
        <vt:lpwstr/>
      </vt:variant>
      <vt:variant>
        <vt:lpwstr>_Managing_profits_in</vt:lpwstr>
      </vt:variant>
      <vt:variant>
        <vt:i4>262205</vt:i4>
      </vt:variant>
      <vt:variant>
        <vt:i4>3261</vt:i4>
      </vt:variant>
      <vt:variant>
        <vt:i4>0</vt:i4>
      </vt:variant>
      <vt:variant>
        <vt:i4>5</vt:i4>
      </vt:variant>
      <vt:variant>
        <vt:lpwstr/>
      </vt:variant>
      <vt:variant>
        <vt:lpwstr>_Managing_profits_in</vt:lpwstr>
      </vt:variant>
      <vt:variant>
        <vt:i4>7733325</vt:i4>
      </vt:variant>
      <vt:variant>
        <vt:i4>3258</vt:i4>
      </vt:variant>
      <vt:variant>
        <vt:i4>0</vt:i4>
      </vt:variant>
      <vt:variant>
        <vt:i4>5</vt:i4>
      </vt:variant>
      <vt:variant>
        <vt:lpwstr/>
      </vt:variant>
      <vt:variant>
        <vt:lpwstr>_Determining_ethically_appropriate</vt:lpwstr>
      </vt:variant>
      <vt:variant>
        <vt:i4>6881371</vt:i4>
      </vt:variant>
      <vt:variant>
        <vt:i4>3255</vt:i4>
      </vt:variant>
      <vt:variant>
        <vt:i4>0</vt:i4>
      </vt:variant>
      <vt:variant>
        <vt:i4>5</vt:i4>
      </vt:variant>
      <vt:variant>
        <vt:lpwstr/>
      </vt:variant>
      <vt:variant>
        <vt:lpwstr>_Requirement_for_financial</vt:lpwstr>
      </vt:variant>
      <vt:variant>
        <vt:i4>6881371</vt:i4>
      </vt:variant>
      <vt:variant>
        <vt:i4>3252</vt:i4>
      </vt:variant>
      <vt:variant>
        <vt:i4>0</vt:i4>
      </vt:variant>
      <vt:variant>
        <vt:i4>5</vt:i4>
      </vt:variant>
      <vt:variant>
        <vt:lpwstr/>
      </vt:variant>
      <vt:variant>
        <vt:lpwstr>_Requirement_for_financial</vt:lpwstr>
      </vt:variant>
      <vt:variant>
        <vt:i4>2359297</vt:i4>
      </vt:variant>
      <vt:variant>
        <vt:i4>3249</vt:i4>
      </vt:variant>
      <vt:variant>
        <vt:i4>0</vt:i4>
      </vt:variant>
      <vt:variant>
        <vt:i4>5</vt:i4>
      </vt:variant>
      <vt:variant>
        <vt:lpwstr/>
      </vt:variant>
      <vt:variant>
        <vt:lpwstr>_Conditions_in_which</vt:lpwstr>
      </vt:variant>
      <vt:variant>
        <vt:i4>3932182</vt:i4>
      </vt:variant>
      <vt:variant>
        <vt:i4>3246</vt:i4>
      </vt:variant>
      <vt:variant>
        <vt:i4>0</vt:i4>
      </vt:variant>
      <vt:variant>
        <vt:i4>5</vt:i4>
      </vt:variant>
      <vt:variant>
        <vt:lpwstr/>
      </vt:variant>
      <vt:variant>
        <vt:lpwstr>_Difficulties_in_defining</vt:lpwstr>
      </vt:variant>
      <vt:variant>
        <vt:i4>2359297</vt:i4>
      </vt:variant>
      <vt:variant>
        <vt:i4>3243</vt:i4>
      </vt:variant>
      <vt:variant>
        <vt:i4>0</vt:i4>
      </vt:variant>
      <vt:variant>
        <vt:i4>5</vt:i4>
      </vt:variant>
      <vt:variant>
        <vt:lpwstr/>
      </vt:variant>
      <vt:variant>
        <vt:lpwstr>_Conditions_in_which</vt:lpwstr>
      </vt:variant>
      <vt:variant>
        <vt:i4>6750248</vt:i4>
      </vt:variant>
      <vt:variant>
        <vt:i4>3240</vt:i4>
      </vt:variant>
      <vt:variant>
        <vt:i4>0</vt:i4>
      </vt:variant>
      <vt:variant>
        <vt:i4>5</vt:i4>
      </vt:variant>
      <vt:variant>
        <vt:lpwstr/>
      </vt:variant>
      <vt:variant>
        <vt:lpwstr>_Ethical_considerations_in_3</vt:lpwstr>
      </vt:variant>
      <vt:variant>
        <vt:i4>3932182</vt:i4>
      </vt:variant>
      <vt:variant>
        <vt:i4>3234</vt:i4>
      </vt:variant>
      <vt:variant>
        <vt:i4>0</vt:i4>
      </vt:variant>
      <vt:variant>
        <vt:i4>5</vt:i4>
      </vt:variant>
      <vt:variant>
        <vt:lpwstr/>
      </vt:variant>
      <vt:variant>
        <vt:lpwstr>_Difficulties_in_defining</vt:lpwstr>
      </vt:variant>
      <vt:variant>
        <vt:i4>262205</vt:i4>
      </vt:variant>
      <vt:variant>
        <vt:i4>3231</vt:i4>
      </vt:variant>
      <vt:variant>
        <vt:i4>0</vt:i4>
      </vt:variant>
      <vt:variant>
        <vt:i4>5</vt:i4>
      </vt:variant>
      <vt:variant>
        <vt:lpwstr/>
      </vt:variant>
      <vt:variant>
        <vt:lpwstr>_Managing_profits_in</vt:lpwstr>
      </vt:variant>
      <vt:variant>
        <vt:i4>7733325</vt:i4>
      </vt:variant>
      <vt:variant>
        <vt:i4>3228</vt:i4>
      </vt:variant>
      <vt:variant>
        <vt:i4>0</vt:i4>
      </vt:variant>
      <vt:variant>
        <vt:i4>5</vt:i4>
      </vt:variant>
      <vt:variant>
        <vt:lpwstr/>
      </vt:variant>
      <vt:variant>
        <vt:lpwstr>_Determining_ethically_appropriate</vt:lpwstr>
      </vt:variant>
      <vt:variant>
        <vt:i4>3932182</vt:i4>
      </vt:variant>
      <vt:variant>
        <vt:i4>3225</vt:i4>
      </vt:variant>
      <vt:variant>
        <vt:i4>0</vt:i4>
      </vt:variant>
      <vt:variant>
        <vt:i4>5</vt:i4>
      </vt:variant>
      <vt:variant>
        <vt:lpwstr/>
      </vt:variant>
      <vt:variant>
        <vt:lpwstr>_Difficulties_in_defining</vt:lpwstr>
      </vt:variant>
      <vt:variant>
        <vt:i4>4587617</vt:i4>
      </vt:variant>
      <vt:variant>
        <vt:i4>3222</vt:i4>
      </vt:variant>
      <vt:variant>
        <vt:i4>0</vt:i4>
      </vt:variant>
      <vt:variant>
        <vt:i4>5</vt:i4>
      </vt:variant>
      <vt:variant>
        <vt:lpwstr/>
      </vt:variant>
      <vt:variant>
        <vt:lpwstr>_How_cost_recovery</vt:lpwstr>
      </vt:variant>
      <vt:variant>
        <vt:i4>4128866</vt:i4>
      </vt:variant>
      <vt:variant>
        <vt:i4>3219</vt:i4>
      </vt:variant>
      <vt:variant>
        <vt:i4>0</vt:i4>
      </vt:variant>
      <vt:variant>
        <vt:i4>5</vt:i4>
      </vt:variant>
      <vt:variant>
        <vt:lpwstr/>
      </vt:variant>
      <vt:variant>
        <vt:lpwstr>_Distinguishing_trade_in_1</vt:lpwstr>
      </vt:variant>
      <vt:variant>
        <vt:i4>1769494</vt:i4>
      </vt:variant>
      <vt:variant>
        <vt:i4>3216</vt:i4>
      </vt:variant>
      <vt:variant>
        <vt:i4>0</vt:i4>
      </vt:variant>
      <vt:variant>
        <vt:i4>5</vt:i4>
      </vt:variant>
      <vt:variant>
        <vt:lpwstr/>
      </vt:variant>
      <vt:variant>
        <vt:lpwstr>_Acknowledging_donors</vt:lpwstr>
      </vt:variant>
      <vt:variant>
        <vt:i4>917536</vt:i4>
      </vt:variant>
      <vt:variant>
        <vt:i4>3213</vt:i4>
      </vt:variant>
      <vt:variant>
        <vt:i4>0</vt:i4>
      </vt:variant>
      <vt:variant>
        <vt:i4>5</vt:i4>
      </vt:variant>
      <vt:variant>
        <vt:lpwstr/>
      </vt:variant>
      <vt:variant>
        <vt:lpwstr>_Incentives_for_donation</vt:lpwstr>
      </vt:variant>
      <vt:variant>
        <vt:i4>4718715</vt:i4>
      </vt:variant>
      <vt:variant>
        <vt:i4>3210</vt:i4>
      </vt:variant>
      <vt:variant>
        <vt:i4>0</vt:i4>
      </vt:variant>
      <vt:variant>
        <vt:i4>5</vt:i4>
      </vt:variant>
      <vt:variant>
        <vt:lpwstr/>
      </vt:variant>
      <vt:variant>
        <vt:lpwstr>_Distinguishing_coverage_of</vt:lpwstr>
      </vt:variant>
      <vt:variant>
        <vt:i4>4718715</vt:i4>
      </vt:variant>
      <vt:variant>
        <vt:i4>3207</vt:i4>
      </vt:variant>
      <vt:variant>
        <vt:i4>0</vt:i4>
      </vt:variant>
      <vt:variant>
        <vt:i4>5</vt:i4>
      </vt:variant>
      <vt:variant>
        <vt:lpwstr/>
      </vt:variant>
      <vt:variant>
        <vt:lpwstr>_Distinguishing_coverage_of</vt:lpwstr>
      </vt:variant>
      <vt:variant>
        <vt:i4>1245205</vt:i4>
      </vt:variant>
      <vt:variant>
        <vt:i4>3204</vt:i4>
      </vt:variant>
      <vt:variant>
        <vt:i4>0</vt:i4>
      </vt:variant>
      <vt:variant>
        <vt:i4>5</vt:i4>
      </vt:variant>
      <vt:variant>
        <vt:lpwstr>https://www.health.gov.au/initiatives-and-programs/supporting-living-organ-donors-program</vt:lpwstr>
      </vt:variant>
      <vt:variant>
        <vt:lpwstr/>
      </vt:variant>
      <vt:variant>
        <vt:i4>6029408</vt:i4>
      </vt:variant>
      <vt:variant>
        <vt:i4>3195</vt:i4>
      </vt:variant>
      <vt:variant>
        <vt:i4>0</vt:i4>
      </vt:variant>
      <vt:variant>
        <vt:i4>5</vt:i4>
      </vt:variant>
      <vt:variant>
        <vt:lpwstr/>
      </vt:variant>
      <vt:variant>
        <vt:lpwstr>_Cost_recovery_and</vt:lpwstr>
      </vt:variant>
      <vt:variant>
        <vt:i4>2293763</vt:i4>
      </vt:variant>
      <vt:variant>
        <vt:i4>3192</vt:i4>
      </vt:variant>
      <vt:variant>
        <vt:i4>0</vt:i4>
      </vt:variant>
      <vt:variant>
        <vt:i4>5</vt:i4>
      </vt:variant>
      <vt:variant>
        <vt:lpwstr/>
      </vt:variant>
      <vt:variant>
        <vt:lpwstr>_Financial_neutrality_in</vt:lpwstr>
      </vt:variant>
      <vt:variant>
        <vt:i4>196732</vt:i4>
      </vt:variant>
      <vt:variant>
        <vt:i4>3189</vt:i4>
      </vt:variant>
      <vt:variant>
        <vt:i4>0</vt:i4>
      </vt:variant>
      <vt:variant>
        <vt:i4>5</vt:i4>
      </vt:variant>
      <vt:variant>
        <vt:lpwstr/>
      </vt:variant>
      <vt:variant>
        <vt:lpwstr>_Overview_of_cell,</vt:lpwstr>
      </vt:variant>
      <vt:variant>
        <vt:i4>2293763</vt:i4>
      </vt:variant>
      <vt:variant>
        <vt:i4>3186</vt:i4>
      </vt:variant>
      <vt:variant>
        <vt:i4>0</vt:i4>
      </vt:variant>
      <vt:variant>
        <vt:i4>5</vt:i4>
      </vt:variant>
      <vt:variant>
        <vt:lpwstr/>
      </vt:variant>
      <vt:variant>
        <vt:lpwstr>_Financial_neutrality_in</vt:lpwstr>
      </vt:variant>
      <vt:variant>
        <vt:i4>4128866</vt:i4>
      </vt:variant>
      <vt:variant>
        <vt:i4>3183</vt:i4>
      </vt:variant>
      <vt:variant>
        <vt:i4>0</vt:i4>
      </vt:variant>
      <vt:variant>
        <vt:i4>5</vt:i4>
      </vt:variant>
      <vt:variant>
        <vt:lpwstr/>
      </vt:variant>
      <vt:variant>
        <vt:lpwstr>_Distinguishing_trade_in_1</vt:lpwstr>
      </vt:variant>
      <vt:variant>
        <vt:i4>3997723</vt:i4>
      </vt:variant>
      <vt:variant>
        <vt:i4>3180</vt:i4>
      </vt:variant>
      <vt:variant>
        <vt:i4>0</vt:i4>
      </vt:variant>
      <vt:variant>
        <vt:i4>5</vt:i4>
      </vt:variant>
      <vt:variant>
        <vt:lpwstr/>
      </vt:variant>
      <vt:variant>
        <vt:lpwstr>_Human_tissue_legislation</vt:lpwstr>
      </vt:variant>
      <vt:variant>
        <vt:i4>2293763</vt:i4>
      </vt:variant>
      <vt:variant>
        <vt:i4>3177</vt:i4>
      </vt:variant>
      <vt:variant>
        <vt:i4>0</vt:i4>
      </vt:variant>
      <vt:variant>
        <vt:i4>5</vt:i4>
      </vt:variant>
      <vt:variant>
        <vt:lpwstr/>
      </vt:variant>
      <vt:variant>
        <vt:lpwstr>_Financial_neutrality_in</vt:lpwstr>
      </vt:variant>
      <vt:variant>
        <vt:i4>917536</vt:i4>
      </vt:variant>
      <vt:variant>
        <vt:i4>3174</vt:i4>
      </vt:variant>
      <vt:variant>
        <vt:i4>0</vt:i4>
      </vt:variant>
      <vt:variant>
        <vt:i4>5</vt:i4>
      </vt:variant>
      <vt:variant>
        <vt:lpwstr/>
      </vt:variant>
      <vt:variant>
        <vt:lpwstr>_Incentives_for_donation</vt:lpwstr>
      </vt:variant>
      <vt:variant>
        <vt:i4>5636191</vt:i4>
      </vt:variant>
      <vt:variant>
        <vt:i4>3171</vt:i4>
      </vt:variant>
      <vt:variant>
        <vt:i4>0</vt:i4>
      </vt:variant>
      <vt:variant>
        <vt:i4>5</vt:i4>
      </vt:variant>
      <vt:variant>
        <vt:lpwstr/>
      </vt:variant>
      <vt:variant>
        <vt:lpwstr>_Legal_aspects_of_1</vt:lpwstr>
      </vt:variant>
      <vt:variant>
        <vt:i4>2359409</vt:i4>
      </vt:variant>
      <vt:variant>
        <vt:i4>3168</vt:i4>
      </vt:variant>
      <vt:variant>
        <vt:i4>0</vt:i4>
      </vt:variant>
      <vt:variant>
        <vt:i4>5</vt:i4>
      </vt:variant>
      <vt:variant>
        <vt:lpwstr/>
      </vt:variant>
      <vt:variant>
        <vt:lpwstr>_Respect_for_the_1</vt:lpwstr>
      </vt:variant>
      <vt:variant>
        <vt:i4>1441893</vt:i4>
      </vt:variant>
      <vt:variant>
        <vt:i4>3165</vt:i4>
      </vt:variant>
      <vt:variant>
        <vt:i4>0</vt:i4>
      </vt:variant>
      <vt:variant>
        <vt:i4>5</vt:i4>
      </vt:variant>
      <vt:variant>
        <vt:lpwstr/>
      </vt:variant>
      <vt:variant>
        <vt:lpwstr>_Appendix_3_–</vt:lpwstr>
      </vt:variant>
      <vt:variant>
        <vt:i4>7340068</vt:i4>
      </vt:variant>
      <vt:variant>
        <vt:i4>3162</vt:i4>
      </vt:variant>
      <vt:variant>
        <vt:i4>0</vt:i4>
      </vt:variant>
      <vt:variant>
        <vt:i4>5</vt:i4>
      </vt:variant>
      <vt:variant>
        <vt:lpwstr/>
      </vt:variant>
      <vt:variant>
        <vt:lpwstr>Principle 10. Human organs, tissues and cells should not be treated as ordinary commodities that can be sold or exchanged for profit: any profits arising the removal, processing, distribution, storage, transfer or use of donated cells, tissues or organs s</vt:lpwstr>
      </vt:variant>
      <vt:variant>
        <vt:i4>2359409</vt:i4>
      </vt:variant>
      <vt:variant>
        <vt:i4>3159</vt:i4>
      </vt:variant>
      <vt:variant>
        <vt:i4>0</vt:i4>
      </vt:variant>
      <vt:variant>
        <vt:i4>5</vt:i4>
      </vt:variant>
      <vt:variant>
        <vt:lpwstr/>
      </vt:variant>
      <vt:variant>
        <vt:lpwstr>_Respect_for_the_1</vt:lpwstr>
      </vt:variant>
      <vt:variant>
        <vt:i4>5636184</vt:i4>
      </vt:variant>
      <vt:variant>
        <vt:i4>3156</vt:i4>
      </vt:variant>
      <vt:variant>
        <vt:i4>0</vt:i4>
      </vt:variant>
      <vt:variant>
        <vt:i4>5</vt:i4>
      </vt:variant>
      <vt:variant>
        <vt:lpwstr/>
      </vt:variant>
      <vt:variant>
        <vt:lpwstr>_Glossary_2</vt:lpwstr>
      </vt:variant>
      <vt:variant>
        <vt:i4>3538956</vt:i4>
      </vt:variant>
      <vt:variant>
        <vt:i4>3153</vt:i4>
      </vt:variant>
      <vt:variant>
        <vt:i4>0</vt:i4>
      </vt:variant>
      <vt:variant>
        <vt:i4>5</vt:i4>
      </vt:variant>
      <vt:variant>
        <vt:lpwstr/>
      </vt:variant>
      <vt:variant>
        <vt:lpwstr>_Compassionate_access_for</vt:lpwstr>
      </vt:variant>
      <vt:variant>
        <vt:i4>5636184</vt:i4>
      </vt:variant>
      <vt:variant>
        <vt:i4>3150</vt:i4>
      </vt:variant>
      <vt:variant>
        <vt:i4>0</vt:i4>
      </vt:variant>
      <vt:variant>
        <vt:i4>5</vt:i4>
      </vt:variant>
      <vt:variant>
        <vt:lpwstr/>
      </vt:variant>
      <vt:variant>
        <vt:lpwstr>_Glossary_2</vt:lpwstr>
      </vt:variant>
      <vt:variant>
        <vt:i4>8061053</vt:i4>
      </vt:variant>
      <vt:variant>
        <vt:i4>3147</vt:i4>
      </vt:variant>
      <vt:variant>
        <vt:i4>0</vt:i4>
      </vt:variant>
      <vt:variant>
        <vt:i4>5</vt:i4>
      </vt:variant>
      <vt:variant>
        <vt:lpwstr/>
      </vt:variant>
      <vt:variant>
        <vt:lpwstr>_Equity_in_access_1</vt:lpwstr>
      </vt:variant>
      <vt:variant>
        <vt:i4>7864415</vt:i4>
      </vt:variant>
      <vt:variant>
        <vt:i4>3144</vt:i4>
      </vt:variant>
      <vt:variant>
        <vt:i4>0</vt:i4>
      </vt:variant>
      <vt:variant>
        <vt:i4>5</vt:i4>
      </vt:variant>
      <vt:variant>
        <vt:lpwstr/>
      </vt:variant>
      <vt:variant>
        <vt:lpwstr>_Australians_traveling_overseas</vt:lpwstr>
      </vt:variant>
      <vt:variant>
        <vt:i4>3407889</vt:i4>
      </vt:variant>
      <vt:variant>
        <vt:i4>3141</vt:i4>
      </vt:variant>
      <vt:variant>
        <vt:i4>0</vt:i4>
      </vt:variant>
      <vt:variant>
        <vt:i4>5</vt:i4>
      </vt:variant>
      <vt:variant>
        <vt:lpwstr/>
      </vt:variant>
      <vt:variant>
        <vt:lpwstr>_Prevention_of_organ</vt:lpwstr>
      </vt:variant>
      <vt:variant>
        <vt:i4>5111924</vt:i4>
      </vt:variant>
      <vt:variant>
        <vt:i4>3138</vt:i4>
      </vt:variant>
      <vt:variant>
        <vt:i4>0</vt:i4>
      </vt:variant>
      <vt:variant>
        <vt:i4>5</vt:i4>
      </vt:variant>
      <vt:variant>
        <vt:lpwstr/>
      </vt:variant>
      <vt:variant>
        <vt:lpwstr>_Foreign_transplant_candidates</vt:lpwstr>
      </vt:variant>
      <vt:variant>
        <vt:i4>6619144</vt:i4>
      </vt:variant>
      <vt:variant>
        <vt:i4>3132</vt:i4>
      </vt:variant>
      <vt:variant>
        <vt:i4>0</vt:i4>
      </vt:variant>
      <vt:variant>
        <vt:i4>5</vt:i4>
      </vt:variant>
      <vt:variant>
        <vt:lpwstr/>
      </vt:variant>
      <vt:variant>
        <vt:lpwstr>_Reporting_transplant-related_crimes</vt:lpwstr>
      </vt:variant>
      <vt:variant>
        <vt:i4>7602224</vt:i4>
      </vt:variant>
      <vt:variant>
        <vt:i4>3129</vt:i4>
      </vt:variant>
      <vt:variant>
        <vt:i4>0</vt:i4>
      </vt:variant>
      <vt:variant>
        <vt:i4>5</vt:i4>
      </vt:variant>
      <vt:variant>
        <vt:lpwstr/>
      </vt:variant>
      <vt:variant>
        <vt:lpwstr>_Provision_of_care_1</vt:lpwstr>
      </vt:variant>
      <vt:variant>
        <vt:i4>4661271</vt:i4>
      </vt:variant>
      <vt:variant>
        <vt:i4>3126</vt:i4>
      </vt:variant>
      <vt:variant>
        <vt:i4>0</vt:i4>
      </vt:variant>
      <vt:variant>
        <vt:i4>5</vt:i4>
      </vt:variant>
      <vt:variant>
        <vt:lpwstr/>
      </vt:variant>
      <vt:variant>
        <vt:lpwstr>_Hazards_of_‘transplant</vt:lpwstr>
      </vt:variant>
      <vt:variant>
        <vt:i4>4784180</vt:i4>
      </vt:variant>
      <vt:variant>
        <vt:i4>3102</vt:i4>
      </vt:variant>
      <vt:variant>
        <vt:i4>0</vt:i4>
      </vt:variant>
      <vt:variant>
        <vt:i4>5</vt:i4>
      </vt:variant>
      <vt:variant>
        <vt:lpwstr/>
      </vt:variant>
      <vt:variant>
        <vt:lpwstr>_Organ_trafficking_1</vt:lpwstr>
      </vt:variant>
      <vt:variant>
        <vt:i4>5111901</vt:i4>
      </vt:variant>
      <vt:variant>
        <vt:i4>3096</vt:i4>
      </vt:variant>
      <vt:variant>
        <vt:i4>0</vt:i4>
      </vt:variant>
      <vt:variant>
        <vt:i4>5</vt:i4>
      </vt:variant>
      <vt:variant>
        <vt:lpwstr/>
      </vt:variant>
      <vt:variant>
        <vt:lpwstr>_Organ_and_tissue_2</vt:lpwstr>
      </vt:variant>
      <vt:variant>
        <vt:i4>7077929</vt:i4>
      </vt:variant>
      <vt:variant>
        <vt:i4>3093</vt:i4>
      </vt:variant>
      <vt:variant>
        <vt:i4>0</vt:i4>
      </vt:variant>
      <vt:variant>
        <vt:i4>5</vt:i4>
      </vt:variant>
      <vt:variant>
        <vt:lpwstr/>
      </vt:variant>
      <vt:variant>
        <vt:lpwstr>_Obligations_of_health_1</vt:lpwstr>
      </vt:variant>
      <vt:variant>
        <vt:i4>4522095</vt:i4>
      </vt:variant>
      <vt:variant>
        <vt:i4>3090</vt:i4>
      </vt:variant>
      <vt:variant>
        <vt:i4>0</vt:i4>
      </vt:variant>
      <vt:variant>
        <vt:i4>5</vt:i4>
      </vt:variant>
      <vt:variant>
        <vt:lpwstr/>
      </vt:variant>
      <vt:variant>
        <vt:lpwstr>_Provision_of_care</vt:lpwstr>
      </vt:variant>
      <vt:variant>
        <vt:i4>4325490</vt:i4>
      </vt:variant>
      <vt:variant>
        <vt:i4>3087</vt:i4>
      </vt:variant>
      <vt:variant>
        <vt:i4>0</vt:i4>
      </vt:variant>
      <vt:variant>
        <vt:i4>5</vt:i4>
      </vt:variant>
      <vt:variant>
        <vt:lpwstr/>
      </vt:variant>
      <vt:variant>
        <vt:lpwstr>_Ethical_travel_for</vt:lpwstr>
      </vt:variant>
      <vt:variant>
        <vt:i4>4456551</vt:i4>
      </vt:variant>
      <vt:variant>
        <vt:i4>3078</vt:i4>
      </vt:variant>
      <vt:variant>
        <vt:i4>0</vt:i4>
      </vt:variant>
      <vt:variant>
        <vt:i4>5</vt:i4>
      </vt:variant>
      <vt:variant>
        <vt:lpwstr/>
      </vt:variant>
      <vt:variant>
        <vt:lpwstr>_Implications_of_import</vt:lpwstr>
      </vt:variant>
      <vt:variant>
        <vt:i4>6357032</vt:i4>
      </vt:variant>
      <vt:variant>
        <vt:i4>3075</vt:i4>
      </vt:variant>
      <vt:variant>
        <vt:i4>0</vt:i4>
      </vt:variant>
      <vt:variant>
        <vt:i4>5</vt:i4>
      </vt:variant>
      <vt:variant>
        <vt:lpwstr/>
      </vt:variant>
      <vt:variant>
        <vt:lpwstr>_Ethical_considerations_in_5</vt:lpwstr>
      </vt:variant>
      <vt:variant>
        <vt:i4>720945</vt:i4>
      </vt:variant>
      <vt:variant>
        <vt:i4>3072</vt:i4>
      </vt:variant>
      <vt:variant>
        <vt:i4>0</vt:i4>
      </vt:variant>
      <vt:variant>
        <vt:i4>5</vt:i4>
      </vt:variant>
      <vt:variant>
        <vt:lpwstr/>
      </vt:variant>
      <vt:variant>
        <vt:lpwstr>_Consent_for_deceased</vt:lpwstr>
      </vt:variant>
      <vt:variant>
        <vt:i4>6881365</vt:i4>
      </vt:variant>
      <vt:variant>
        <vt:i4>3069</vt:i4>
      </vt:variant>
      <vt:variant>
        <vt:i4>0</vt:i4>
      </vt:variant>
      <vt:variant>
        <vt:i4>5</vt:i4>
      </vt:variant>
      <vt:variant>
        <vt:lpwstr/>
      </vt:variant>
      <vt:variant>
        <vt:lpwstr>_Information_and_understanding</vt:lpwstr>
      </vt:variant>
      <vt:variant>
        <vt:i4>4063260</vt:i4>
      </vt:variant>
      <vt:variant>
        <vt:i4>3066</vt:i4>
      </vt:variant>
      <vt:variant>
        <vt:i4>0</vt:i4>
      </vt:variant>
      <vt:variant>
        <vt:i4>5</vt:i4>
      </vt:variant>
      <vt:variant>
        <vt:lpwstr/>
      </vt:variant>
      <vt:variant>
        <vt:lpwstr>_Equity_in_opportunities</vt:lpwstr>
      </vt:variant>
      <vt:variant>
        <vt:i4>4849775</vt:i4>
      </vt:variant>
      <vt:variant>
        <vt:i4>3063</vt:i4>
      </vt:variant>
      <vt:variant>
        <vt:i4>0</vt:i4>
      </vt:variant>
      <vt:variant>
        <vt:i4>5</vt:i4>
      </vt:variant>
      <vt:variant>
        <vt:lpwstr/>
      </vt:variant>
      <vt:variant>
        <vt:lpwstr>_Determining__ethically</vt:lpwstr>
      </vt:variant>
      <vt:variant>
        <vt:i4>4456551</vt:i4>
      </vt:variant>
      <vt:variant>
        <vt:i4>3060</vt:i4>
      </vt:variant>
      <vt:variant>
        <vt:i4>0</vt:i4>
      </vt:variant>
      <vt:variant>
        <vt:i4>5</vt:i4>
      </vt:variant>
      <vt:variant>
        <vt:lpwstr/>
      </vt:variant>
      <vt:variant>
        <vt:lpwstr>_Implications_of_import</vt:lpwstr>
      </vt:variant>
      <vt:variant>
        <vt:i4>5832802</vt:i4>
      </vt:variant>
      <vt:variant>
        <vt:i4>3057</vt:i4>
      </vt:variant>
      <vt:variant>
        <vt:i4>0</vt:i4>
      </vt:variant>
      <vt:variant>
        <vt:i4>5</vt:i4>
      </vt:variant>
      <vt:variant>
        <vt:lpwstr/>
      </vt:variant>
      <vt:variant>
        <vt:lpwstr>_Unplanned_donation_by</vt:lpwstr>
      </vt:variant>
      <vt:variant>
        <vt:i4>1966134</vt:i4>
      </vt:variant>
      <vt:variant>
        <vt:i4>3054</vt:i4>
      </vt:variant>
      <vt:variant>
        <vt:i4>0</vt:i4>
      </vt:variant>
      <vt:variant>
        <vt:i4>5</vt:i4>
      </vt:variant>
      <vt:variant>
        <vt:lpwstr/>
      </vt:variant>
      <vt:variant>
        <vt:lpwstr>_Reciprocity</vt:lpwstr>
      </vt:variant>
      <vt:variant>
        <vt:i4>6029408</vt:i4>
      </vt:variant>
      <vt:variant>
        <vt:i4>3051</vt:i4>
      </vt:variant>
      <vt:variant>
        <vt:i4>0</vt:i4>
      </vt:variant>
      <vt:variant>
        <vt:i4>5</vt:i4>
      </vt:variant>
      <vt:variant>
        <vt:lpwstr/>
      </vt:variant>
      <vt:variant>
        <vt:lpwstr>_Cost_recovery_and</vt:lpwstr>
      </vt:variant>
      <vt:variant>
        <vt:i4>4063272</vt:i4>
      </vt:variant>
      <vt:variant>
        <vt:i4>3042</vt:i4>
      </vt:variant>
      <vt:variant>
        <vt:i4>0</vt:i4>
      </vt:variant>
      <vt:variant>
        <vt:i4>5</vt:i4>
      </vt:variant>
      <vt:variant>
        <vt:lpwstr/>
      </vt:variant>
      <vt:variant>
        <vt:lpwstr>_Ethical_obligations_of_1</vt:lpwstr>
      </vt:variant>
      <vt:variant>
        <vt:i4>7405654</vt:i4>
      </vt:variant>
      <vt:variant>
        <vt:i4>3039</vt:i4>
      </vt:variant>
      <vt:variant>
        <vt:i4>0</vt:i4>
      </vt:variant>
      <vt:variant>
        <vt:i4>5</vt:i4>
      </vt:variant>
      <vt:variant>
        <vt:lpwstr/>
      </vt:variant>
      <vt:variant>
        <vt:lpwstr>_Global_sufficiency_in</vt:lpwstr>
      </vt:variant>
      <vt:variant>
        <vt:i4>6291496</vt:i4>
      </vt:variant>
      <vt:variant>
        <vt:i4>3036</vt:i4>
      </vt:variant>
      <vt:variant>
        <vt:i4>0</vt:i4>
      </vt:variant>
      <vt:variant>
        <vt:i4>5</vt:i4>
      </vt:variant>
      <vt:variant>
        <vt:lpwstr/>
      </vt:variant>
      <vt:variant>
        <vt:lpwstr>_Ethical_considerations_in_4</vt:lpwstr>
      </vt:variant>
      <vt:variant>
        <vt:i4>6750248</vt:i4>
      </vt:variant>
      <vt:variant>
        <vt:i4>3033</vt:i4>
      </vt:variant>
      <vt:variant>
        <vt:i4>0</vt:i4>
      </vt:variant>
      <vt:variant>
        <vt:i4>5</vt:i4>
      </vt:variant>
      <vt:variant>
        <vt:lpwstr/>
      </vt:variant>
      <vt:variant>
        <vt:lpwstr>_Ethical_considerations_in_3</vt:lpwstr>
      </vt:variant>
      <vt:variant>
        <vt:i4>6684712</vt:i4>
      </vt:variant>
      <vt:variant>
        <vt:i4>3030</vt:i4>
      </vt:variant>
      <vt:variant>
        <vt:i4>0</vt:i4>
      </vt:variant>
      <vt:variant>
        <vt:i4>5</vt:i4>
      </vt:variant>
      <vt:variant>
        <vt:lpwstr/>
      </vt:variant>
      <vt:variant>
        <vt:lpwstr>_Ethical_considerations_in_2</vt:lpwstr>
      </vt:variant>
      <vt:variant>
        <vt:i4>1572908</vt:i4>
      </vt:variant>
      <vt:variant>
        <vt:i4>3027</vt:i4>
      </vt:variant>
      <vt:variant>
        <vt:i4>0</vt:i4>
      </vt:variant>
      <vt:variant>
        <vt:i4>5</vt:i4>
      </vt:variant>
      <vt:variant>
        <vt:lpwstr/>
      </vt:variant>
      <vt:variant>
        <vt:lpwstr>_Legislation_governing_import</vt:lpwstr>
      </vt:variant>
      <vt:variant>
        <vt:i4>5308537</vt:i4>
      </vt:variant>
      <vt:variant>
        <vt:i4>3024</vt:i4>
      </vt:variant>
      <vt:variant>
        <vt:i4>0</vt:i4>
      </vt:variant>
      <vt:variant>
        <vt:i4>5</vt:i4>
      </vt:variant>
      <vt:variant>
        <vt:lpwstr/>
      </vt:variant>
      <vt:variant>
        <vt:lpwstr>_Ethical_conditions_for</vt:lpwstr>
      </vt:variant>
      <vt:variant>
        <vt:i4>5439609</vt:i4>
      </vt:variant>
      <vt:variant>
        <vt:i4>3021</vt:i4>
      </vt:variant>
      <vt:variant>
        <vt:i4>0</vt:i4>
      </vt:variant>
      <vt:variant>
        <vt:i4>5</vt:i4>
      </vt:variant>
      <vt:variant>
        <vt:lpwstr/>
      </vt:variant>
      <vt:variant>
        <vt:lpwstr>_Stewardship_of_the</vt:lpwstr>
      </vt:variant>
      <vt:variant>
        <vt:i4>8061053</vt:i4>
      </vt:variant>
      <vt:variant>
        <vt:i4>3018</vt:i4>
      </vt:variant>
      <vt:variant>
        <vt:i4>0</vt:i4>
      </vt:variant>
      <vt:variant>
        <vt:i4>5</vt:i4>
      </vt:variant>
      <vt:variant>
        <vt:lpwstr/>
      </vt:variant>
      <vt:variant>
        <vt:lpwstr>_Equity_in_access_2</vt:lpwstr>
      </vt:variant>
      <vt:variant>
        <vt:i4>2752541</vt:i4>
      </vt:variant>
      <vt:variant>
        <vt:i4>3009</vt:i4>
      </vt:variant>
      <vt:variant>
        <vt:i4>0</vt:i4>
      </vt:variant>
      <vt:variant>
        <vt:i4>5</vt:i4>
      </vt:variant>
      <vt:variant>
        <vt:lpwstr/>
      </vt:variant>
      <vt:variant>
        <vt:lpwstr>_Justice_in_donation</vt:lpwstr>
      </vt:variant>
      <vt:variant>
        <vt:i4>7405654</vt:i4>
      </vt:variant>
      <vt:variant>
        <vt:i4>3006</vt:i4>
      </vt:variant>
      <vt:variant>
        <vt:i4>0</vt:i4>
      </vt:variant>
      <vt:variant>
        <vt:i4>5</vt:i4>
      </vt:variant>
      <vt:variant>
        <vt:lpwstr/>
      </vt:variant>
      <vt:variant>
        <vt:lpwstr>_Global_sufficiency_in</vt:lpwstr>
      </vt:variant>
      <vt:variant>
        <vt:i4>1441893</vt:i4>
      </vt:variant>
      <vt:variant>
        <vt:i4>3000</vt:i4>
      </vt:variant>
      <vt:variant>
        <vt:i4>0</vt:i4>
      </vt:variant>
      <vt:variant>
        <vt:i4>5</vt:i4>
      </vt:variant>
      <vt:variant>
        <vt:lpwstr/>
      </vt:variant>
      <vt:variant>
        <vt:lpwstr>_Appendix_3_–</vt:lpwstr>
      </vt:variant>
      <vt:variant>
        <vt:i4>7405654</vt:i4>
      </vt:variant>
      <vt:variant>
        <vt:i4>2997</vt:i4>
      </vt:variant>
      <vt:variant>
        <vt:i4>0</vt:i4>
      </vt:variant>
      <vt:variant>
        <vt:i4>5</vt:i4>
      </vt:variant>
      <vt:variant>
        <vt:lpwstr/>
      </vt:variant>
      <vt:variant>
        <vt:lpwstr>_Global_sufficiency_in</vt:lpwstr>
      </vt:variant>
      <vt:variant>
        <vt:i4>1835072</vt:i4>
      </vt:variant>
      <vt:variant>
        <vt:i4>2994</vt:i4>
      </vt:variant>
      <vt:variant>
        <vt:i4>0</vt:i4>
      </vt:variant>
      <vt:variant>
        <vt:i4>5</vt:i4>
      </vt:variant>
      <vt:variant>
        <vt:lpwstr/>
      </vt:variant>
      <vt:variant>
        <vt:lpwstr>_Data_collection_and_1</vt:lpwstr>
      </vt:variant>
      <vt:variant>
        <vt:i4>6029408</vt:i4>
      </vt:variant>
      <vt:variant>
        <vt:i4>2991</vt:i4>
      </vt:variant>
      <vt:variant>
        <vt:i4>0</vt:i4>
      </vt:variant>
      <vt:variant>
        <vt:i4>5</vt:i4>
      </vt:variant>
      <vt:variant>
        <vt:lpwstr/>
      </vt:variant>
      <vt:variant>
        <vt:lpwstr>_Cost_recovery_and</vt:lpwstr>
      </vt:variant>
      <vt:variant>
        <vt:i4>3670018</vt:i4>
      </vt:variant>
      <vt:variant>
        <vt:i4>2988</vt:i4>
      </vt:variant>
      <vt:variant>
        <vt:i4>0</vt:i4>
      </vt:variant>
      <vt:variant>
        <vt:i4>5</vt:i4>
      </vt:variant>
      <vt:variant>
        <vt:lpwstr/>
      </vt:variant>
      <vt:variant>
        <vt:lpwstr>_Duty_of_care</vt:lpwstr>
      </vt:variant>
      <vt:variant>
        <vt:i4>1966116</vt:i4>
      </vt:variant>
      <vt:variant>
        <vt:i4>2985</vt:i4>
      </vt:variant>
      <vt:variant>
        <vt:i4>0</vt:i4>
      </vt:variant>
      <vt:variant>
        <vt:i4>5</vt:i4>
      </vt:variant>
      <vt:variant>
        <vt:lpwstr/>
      </vt:variant>
      <vt:variant>
        <vt:lpwstr>_Legislation</vt:lpwstr>
      </vt:variant>
      <vt:variant>
        <vt:i4>6029408</vt:i4>
      </vt:variant>
      <vt:variant>
        <vt:i4>2982</vt:i4>
      </vt:variant>
      <vt:variant>
        <vt:i4>0</vt:i4>
      </vt:variant>
      <vt:variant>
        <vt:i4>5</vt:i4>
      </vt:variant>
      <vt:variant>
        <vt:lpwstr/>
      </vt:variant>
      <vt:variant>
        <vt:lpwstr>_Cost_recovery_and</vt:lpwstr>
      </vt:variant>
      <vt:variant>
        <vt:i4>5177464</vt:i4>
      </vt:variant>
      <vt:variant>
        <vt:i4>2979</vt:i4>
      </vt:variant>
      <vt:variant>
        <vt:i4>0</vt:i4>
      </vt:variant>
      <vt:variant>
        <vt:i4>5</vt:i4>
      </vt:variant>
      <vt:variant>
        <vt:lpwstr/>
      </vt:variant>
      <vt:variant>
        <vt:lpwstr>_Informal_approaches_to</vt:lpwstr>
      </vt:variant>
      <vt:variant>
        <vt:i4>3538970</vt:i4>
      </vt:variant>
      <vt:variant>
        <vt:i4>2976</vt:i4>
      </vt:variant>
      <vt:variant>
        <vt:i4>0</vt:i4>
      </vt:variant>
      <vt:variant>
        <vt:i4>5</vt:i4>
      </vt:variant>
      <vt:variant>
        <vt:lpwstr/>
      </vt:variant>
      <vt:variant>
        <vt:lpwstr>_Potential_inequities_in</vt:lpwstr>
      </vt:variant>
      <vt:variant>
        <vt:i4>5177464</vt:i4>
      </vt:variant>
      <vt:variant>
        <vt:i4>2970</vt:i4>
      </vt:variant>
      <vt:variant>
        <vt:i4>0</vt:i4>
      </vt:variant>
      <vt:variant>
        <vt:i4>5</vt:i4>
      </vt:variant>
      <vt:variant>
        <vt:lpwstr/>
      </vt:variant>
      <vt:variant>
        <vt:lpwstr>_Informal_approaches_to</vt:lpwstr>
      </vt:variant>
      <vt:variant>
        <vt:i4>5177465</vt:i4>
      </vt:variant>
      <vt:variant>
        <vt:i4>2967</vt:i4>
      </vt:variant>
      <vt:variant>
        <vt:i4>0</vt:i4>
      </vt:variant>
      <vt:variant>
        <vt:i4>5</vt:i4>
      </vt:variant>
      <vt:variant>
        <vt:lpwstr/>
      </vt:variant>
      <vt:variant>
        <vt:lpwstr>_Allocation_of_deceased</vt:lpwstr>
      </vt:variant>
      <vt:variant>
        <vt:i4>3080197</vt:i4>
      </vt:variant>
      <vt:variant>
        <vt:i4>2958</vt:i4>
      </vt:variant>
      <vt:variant>
        <vt:i4>0</vt:i4>
      </vt:variant>
      <vt:variant>
        <vt:i4>5</vt:i4>
      </vt:variant>
      <vt:variant>
        <vt:lpwstr/>
      </vt:variant>
      <vt:variant>
        <vt:lpwstr>_Acceptance_of_organ</vt:lpwstr>
      </vt:variant>
      <vt:variant>
        <vt:i4>6488135</vt:i4>
      </vt:variant>
      <vt:variant>
        <vt:i4>2955</vt:i4>
      </vt:variant>
      <vt:variant>
        <vt:i4>0</vt:i4>
      </vt:variant>
      <vt:variant>
        <vt:i4>5</vt:i4>
      </vt:variant>
      <vt:variant>
        <vt:lpwstr/>
      </vt:variant>
      <vt:variant>
        <vt:lpwstr>_Considerations_for_procedural</vt:lpwstr>
      </vt:variant>
      <vt:variant>
        <vt:i4>3735582</vt:i4>
      </vt:variant>
      <vt:variant>
        <vt:i4>2952</vt:i4>
      </vt:variant>
      <vt:variant>
        <vt:i4>0</vt:i4>
      </vt:variant>
      <vt:variant>
        <vt:i4>5</vt:i4>
      </vt:variant>
      <vt:variant>
        <vt:lpwstr/>
      </vt:variant>
      <vt:variant>
        <vt:lpwstr>_Equality_of_opportunity</vt:lpwstr>
      </vt:variant>
      <vt:variant>
        <vt:i4>7012417</vt:i4>
      </vt:variant>
      <vt:variant>
        <vt:i4>2949</vt:i4>
      </vt:variant>
      <vt:variant>
        <vt:i4>0</vt:i4>
      </vt:variant>
      <vt:variant>
        <vt:i4>5</vt:i4>
      </vt:variant>
      <vt:variant>
        <vt:lpwstr/>
      </vt:variant>
      <vt:variant>
        <vt:lpwstr>_Eligibility_for_repeat</vt:lpwstr>
      </vt:variant>
      <vt:variant>
        <vt:i4>1703973</vt:i4>
      </vt:variant>
      <vt:variant>
        <vt:i4>2943</vt:i4>
      </vt:variant>
      <vt:variant>
        <vt:i4>0</vt:i4>
      </vt:variant>
      <vt:variant>
        <vt:i4>5</vt:i4>
      </vt:variant>
      <vt:variant>
        <vt:lpwstr/>
      </vt:variant>
      <vt:variant>
        <vt:lpwstr>_People_traveling_to</vt:lpwstr>
      </vt:variant>
      <vt:variant>
        <vt:i4>5636184</vt:i4>
      </vt:variant>
      <vt:variant>
        <vt:i4>2940</vt:i4>
      </vt:variant>
      <vt:variant>
        <vt:i4>0</vt:i4>
      </vt:variant>
      <vt:variant>
        <vt:i4>5</vt:i4>
      </vt:variant>
      <vt:variant>
        <vt:lpwstr/>
      </vt:variant>
      <vt:variant>
        <vt:lpwstr>_Glossary_2</vt:lpwstr>
      </vt:variant>
      <vt:variant>
        <vt:i4>2293770</vt:i4>
      </vt:variant>
      <vt:variant>
        <vt:i4>2925</vt:i4>
      </vt:variant>
      <vt:variant>
        <vt:i4>0</vt:i4>
      </vt:variant>
      <vt:variant>
        <vt:i4>5</vt:i4>
      </vt:variant>
      <vt:variant>
        <vt:lpwstr>C:\Users\martindo\Desktop\fair_innings</vt:lpwstr>
      </vt:variant>
      <vt:variant>
        <vt:lpwstr>_</vt:lpwstr>
      </vt:variant>
      <vt:variant>
        <vt:i4>1376310</vt:i4>
      </vt:variant>
      <vt:variant>
        <vt:i4>2919</vt:i4>
      </vt:variant>
      <vt:variant>
        <vt:i4>0</vt:i4>
      </vt:variant>
      <vt:variant>
        <vt:i4>5</vt:i4>
      </vt:variant>
      <vt:variant>
        <vt:lpwstr/>
      </vt:variant>
      <vt:variant>
        <vt:lpwstr>_Toc70415003</vt:lpwstr>
      </vt:variant>
      <vt:variant>
        <vt:i4>3735572</vt:i4>
      </vt:variant>
      <vt:variant>
        <vt:i4>2910</vt:i4>
      </vt:variant>
      <vt:variant>
        <vt:i4>0</vt:i4>
      </vt:variant>
      <vt:variant>
        <vt:i4>5</vt:i4>
      </vt:variant>
      <vt:variant>
        <vt:lpwstr/>
      </vt:variant>
      <vt:variant>
        <vt:lpwstr>_Potential_considerations_in</vt:lpwstr>
      </vt:variant>
      <vt:variant>
        <vt:i4>3670043</vt:i4>
      </vt:variant>
      <vt:variant>
        <vt:i4>2907</vt:i4>
      </vt:variant>
      <vt:variant>
        <vt:i4>0</vt:i4>
      </vt:variant>
      <vt:variant>
        <vt:i4>5</vt:i4>
      </vt:variant>
      <vt:variant>
        <vt:lpwstr/>
      </vt:variant>
      <vt:variant>
        <vt:lpwstr>_TSANZ_guidelines_for</vt:lpwstr>
      </vt:variant>
      <vt:variant>
        <vt:i4>1703973</vt:i4>
      </vt:variant>
      <vt:variant>
        <vt:i4>2904</vt:i4>
      </vt:variant>
      <vt:variant>
        <vt:i4>0</vt:i4>
      </vt:variant>
      <vt:variant>
        <vt:i4>5</vt:i4>
      </vt:variant>
      <vt:variant>
        <vt:lpwstr/>
      </vt:variant>
      <vt:variant>
        <vt:lpwstr>_People_traveling_to</vt:lpwstr>
      </vt:variant>
      <vt:variant>
        <vt:i4>524348</vt:i4>
      </vt:variant>
      <vt:variant>
        <vt:i4>2895</vt:i4>
      </vt:variant>
      <vt:variant>
        <vt:i4>0</vt:i4>
      </vt:variant>
      <vt:variant>
        <vt:i4>5</vt:i4>
      </vt:variant>
      <vt:variant>
        <vt:lpwstr/>
      </vt:variant>
      <vt:variant>
        <vt:lpwstr>_Evaluating_general_risks</vt:lpwstr>
      </vt:variant>
      <vt:variant>
        <vt:i4>6422610</vt:i4>
      </vt:variant>
      <vt:variant>
        <vt:i4>2889</vt:i4>
      </vt:variant>
      <vt:variant>
        <vt:i4>0</vt:i4>
      </vt:variant>
      <vt:variant>
        <vt:i4>5</vt:i4>
      </vt:variant>
      <vt:variant>
        <vt:lpwstr/>
      </vt:variant>
      <vt:variant>
        <vt:lpwstr>_Distinguishing_suitability_to</vt:lpwstr>
      </vt:variant>
      <vt:variant>
        <vt:i4>524348</vt:i4>
      </vt:variant>
      <vt:variant>
        <vt:i4>2886</vt:i4>
      </vt:variant>
      <vt:variant>
        <vt:i4>0</vt:i4>
      </vt:variant>
      <vt:variant>
        <vt:i4>5</vt:i4>
      </vt:variant>
      <vt:variant>
        <vt:lpwstr/>
      </vt:variant>
      <vt:variant>
        <vt:lpwstr>_Evaluating_general_risks</vt:lpwstr>
      </vt:variant>
      <vt:variant>
        <vt:i4>5177465</vt:i4>
      </vt:variant>
      <vt:variant>
        <vt:i4>2883</vt:i4>
      </vt:variant>
      <vt:variant>
        <vt:i4>0</vt:i4>
      </vt:variant>
      <vt:variant>
        <vt:i4>5</vt:i4>
      </vt:variant>
      <vt:variant>
        <vt:lpwstr/>
      </vt:variant>
      <vt:variant>
        <vt:lpwstr>_Allocation_of_deceased</vt:lpwstr>
      </vt:variant>
      <vt:variant>
        <vt:i4>7405654</vt:i4>
      </vt:variant>
      <vt:variant>
        <vt:i4>2880</vt:i4>
      </vt:variant>
      <vt:variant>
        <vt:i4>0</vt:i4>
      </vt:variant>
      <vt:variant>
        <vt:i4>5</vt:i4>
      </vt:variant>
      <vt:variant>
        <vt:lpwstr/>
      </vt:variant>
      <vt:variant>
        <vt:lpwstr>_Global_sufficiency_in</vt:lpwstr>
      </vt:variant>
      <vt:variant>
        <vt:i4>4653178</vt:i4>
      </vt:variant>
      <vt:variant>
        <vt:i4>2877</vt:i4>
      </vt:variant>
      <vt:variant>
        <vt:i4>0</vt:i4>
      </vt:variant>
      <vt:variant>
        <vt:i4>5</vt:i4>
      </vt:variant>
      <vt:variant>
        <vt:lpwstr/>
      </vt:variant>
      <vt:variant>
        <vt:lpwstr>_Examples_of_potential</vt:lpwstr>
      </vt:variant>
      <vt:variant>
        <vt:i4>5767264</vt:i4>
      </vt:variant>
      <vt:variant>
        <vt:i4>2874</vt:i4>
      </vt:variant>
      <vt:variant>
        <vt:i4>0</vt:i4>
      </vt:variant>
      <vt:variant>
        <vt:i4>5</vt:i4>
      </vt:variant>
      <vt:variant>
        <vt:lpwstr/>
      </vt:variant>
      <vt:variant>
        <vt:lpwstr>_Structural_barriers_to</vt:lpwstr>
      </vt:variant>
      <vt:variant>
        <vt:i4>8061053</vt:i4>
      </vt:variant>
      <vt:variant>
        <vt:i4>2871</vt:i4>
      </vt:variant>
      <vt:variant>
        <vt:i4>0</vt:i4>
      </vt:variant>
      <vt:variant>
        <vt:i4>5</vt:i4>
      </vt:variant>
      <vt:variant>
        <vt:lpwstr/>
      </vt:variant>
      <vt:variant>
        <vt:lpwstr>_Equity_in_access_1</vt:lpwstr>
      </vt:variant>
      <vt:variant>
        <vt:i4>6225924</vt:i4>
      </vt:variant>
      <vt:variant>
        <vt:i4>2862</vt:i4>
      </vt:variant>
      <vt:variant>
        <vt:i4>0</vt:i4>
      </vt:variant>
      <vt:variant>
        <vt:i4>5</vt:i4>
      </vt:variant>
      <vt:variant>
        <vt:lpwstr/>
      </vt:variant>
      <vt:variant>
        <vt:lpwstr>_Evaluating_potential_benefits_1</vt:lpwstr>
      </vt:variant>
      <vt:variant>
        <vt:i4>8061053</vt:i4>
      </vt:variant>
      <vt:variant>
        <vt:i4>2859</vt:i4>
      </vt:variant>
      <vt:variant>
        <vt:i4>0</vt:i4>
      </vt:variant>
      <vt:variant>
        <vt:i4>5</vt:i4>
      </vt:variant>
      <vt:variant>
        <vt:lpwstr/>
      </vt:variant>
      <vt:variant>
        <vt:lpwstr>_Equity_in_access_1</vt:lpwstr>
      </vt:variant>
      <vt:variant>
        <vt:i4>8061053</vt:i4>
      </vt:variant>
      <vt:variant>
        <vt:i4>2856</vt:i4>
      </vt:variant>
      <vt:variant>
        <vt:i4>0</vt:i4>
      </vt:variant>
      <vt:variant>
        <vt:i4>5</vt:i4>
      </vt:variant>
      <vt:variant>
        <vt:lpwstr/>
      </vt:variant>
      <vt:variant>
        <vt:lpwstr>_Equity_in_access_2</vt:lpwstr>
      </vt:variant>
      <vt:variant>
        <vt:i4>2883647</vt:i4>
      </vt:variant>
      <vt:variant>
        <vt:i4>2853</vt:i4>
      </vt:variant>
      <vt:variant>
        <vt:i4>0</vt:i4>
      </vt:variant>
      <vt:variant>
        <vt:i4>5</vt:i4>
      </vt:variant>
      <vt:variant>
        <vt:lpwstr/>
      </vt:variant>
      <vt:variant>
        <vt:lpwstr>_Structural_barriers_</vt:lpwstr>
      </vt:variant>
      <vt:variant>
        <vt:i4>2883647</vt:i4>
      </vt:variant>
      <vt:variant>
        <vt:i4>2850</vt:i4>
      </vt:variant>
      <vt:variant>
        <vt:i4>0</vt:i4>
      </vt:variant>
      <vt:variant>
        <vt:i4>5</vt:i4>
      </vt:variant>
      <vt:variant>
        <vt:lpwstr/>
      </vt:variant>
      <vt:variant>
        <vt:lpwstr>_Structural_barriers_</vt:lpwstr>
      </vt:variant>
      <vt:variant>
        <vt:i4>2883647</vt:i4>
      </vt:variant>
      <vt:variant>
        <vt:i4>2847</vt:i4>
      </vt:variant>
      <vt:variant>
        <vt:i4>0</vt:i4>
      </vt:variant>
      <vt:variant>
        <vt:i4>5</vt:i4>
      </vt:variant>
      <vt:variant>
        <vt:lpwstr/>
      </vt:variant>
      <vt:variant>
        <vt:lpwstr>_Structural_barriers_</vt:lpwstr>
      </vt:variant>
      <vt:variant>
        <vt:i4>6619251</vt:i4>
      </vt:variant>
      <vt:variant>
        <vt:i4>2844</vt:i4>
      </vt:variant>
      <vt:variant>
        <vt:i4>0</vt:i4>
      </vt:variant>
      <vt:variant>
        <vt:i4>5</vt:i4>
      </vt:variant>
      <vt:variant>
        <vt:lpwstr/>
      </vt:variant>
      <vt:variant>
        <vt:lpwstr>_Prioritisation_of_living_1</vt:lpwstr>
      </vt:variant>
      <vt:variant>
        <vt:i4>4063235</vt:i4>
      </vt:variant>
      <vt:variant>
        <vt:i4>2841</vt:i4>
      </vt:variant>
      <vt:variant>
        <vt:i4>0</vt:i4>
      </vt:variant>
      <vt:variant>
        <vt:i4>5</vt:i4>
      </vt:variant>
      <vt:variant>
        <vt:lpwstr/>
      </vt:variant>
      <vt:variant>
        <vt:lpwstr>_The_role_and</vt:lpwstr>
      </vt:variant>
      <vt:variant>
        <vt:i4>3735582</vt:i4>
      </vt:variant>
      <vt:variant>
        <vt:i4>2838</vt:i4>
      </vt:variant>
      <vt:variant>
        <vt:i4>0</vt:i4>
      </vt:variant>
      <vt:variant>
        <vt:i4>5</vt:i4>
      </vt:variant>
      <vt:variant>
        <vt:lpwstr/>
      </vt:variant>
      <vt:variant>
        <vt:lpwstr>_Equality_of_opportunity</vt:lpwstr>
      </vt:variant>
      <vt:variant>
        <vt:i4>2687004</vt:i4>
      </vt:variant>
      <vt:variant>
        <vt:i4>2832</vt:i4>
      </vt:variant>
      <vt:variant>
        <vt:i4>0</vt:i4>
      </vt:variant>
      <vt:variant>
        <vt:i4>5</vt:i4>
      </vt:variant>
      <vt:variant>
        <vt:lpwstr/>
      </vt:variant>
      <vt:variant>
        <vt:lpwstr>_Use__of</vt:lpwstr>
      </vt:variant>
      <vt:variant>
        <vt:i4>6226045</vt:i4>
      </vt:variant>
      <vt:variant>
        <vt:i4>2829</vt:i4>
      </vt:variant>
      <vt:variant>
        <vt:i4>0</vt:i4>
      </vt:variant>
      <vt:variant>
        <vt:i4>5</vt:i4>
      </vt:variant>
      <vt:variant>
        <vt:lpwstr/>
      </vt:variant>
      <vt:variant>
        <vt:lpwstr>_Tensions__between</vt:lpwstr>
      </vt:variant>
      <vt:variant>
        <vt:i4>2621445</vt:i4>
      </vt:variant>
      <vt:variant>
        <vt:i4>2826</vt:i4>
      </vt:variant>
      <vt:variant>
        <vt:i4>0</vt:i4>
      </vt:variant>
      <vt:variant>
        <vt:i4>5</vt:i4>
      </vt:variant>
      <vt:variant>
        <vt:lpwstr/>
      </vt:variant>
      <vt:variant>
        <vt:lpwstr>_Avoidance_of_futile</vt:lpwstr>
      </vt:variant>
      <vt:variant>
        <vt:i4>3145759</vt:i4>
      </vt:variant>
      <vt:variant>
        <vt:i4>2823</vt:i4>
      </vt:variant>
      <vt:variant>
        <vt:i4>0</vt:i4>
      </vt:variant>
      <vt:variant>
        <vt:i4>5</vt:i4>
      </vt:variant>
      <vt:variant>
        <vt:lpwstr/>
      </vt:variant>
      <vt:variant>
        <vt:lpwstr>_Promotion_of_solidarity</vt:lpwstr>
      </vt:variant>
      <vt:variant>
        <vt:i4>1376310</vt:i4>
      </vt:variant>
      <vt:variant>
        <vt:i4>2817</vt:i4>
      </vt:variant>
      <vt:variant>
        <vt:i4>0</vt:i4>
      </vt:variant>
      <vt:variant>
        <vt:i4>5</vt:i4>
      </vt:variant>
      <vt:variant>
        <vt:lpwstr/>
      </vt:variant>
      <vt:variant>
        <vt:lpwstr>_Toc70415003</vt:lpwstr>
      </vt:variant>
      <vt:variant>
        <vt:i4>2883647</vt:i4>
      </vt:variant>
      <vt:variant>
        <vt:i4>2811</vt:i4>
      </vt:variant>
      <vt:variant>
        <vt:i4>0</vt:i4>
      </vt:variant>
      <vt:variant>
        <vt:i4>5</vt:i4>
      </vt:variant>
      <vt:variant>
        <vt:lpwstr/>
      </vt:variant>
      <vt:variant>
        <vt:lpwstr>_Structural_barriers_</vt:lpwstr>
      </vt:variant>
      <vt:variant>
        <vt:i4>7471160</vt:i4>
      </vt:variant>
      <vt:variant>
        <vt:i4>2808</vt:i4>
      </vt:variant>
      <vt:variant>
        <vt:i4>0</vt:i4>
      </vt:variant>
      <vt:variant>
        <vt:i4>5</vt:i4>
      </vt:variant>
      <vt:variant>
        <vt:lpwstr/>
      </vt:variant>
      <vt:variant>
        <vt:lpwstr>_Principles_of_justice_1</vt:lpwstr>
      </vt:variant>
      <vt:variant>
        <vt:i4>7733285</vt:i4>
      </vt:variant>
      <vt:variant>
        <vt:i4>2805</vt:i4>
      </vt:variant>
      <vt:variant>
        <vt:i4>0</vt:i4>
      </vt:variant>
      <vt:variant>
        <vt:i4>5</vt:i4>
      </vt:variant>
      <vt:variant>
        <vt:lpwstr/>
      </vt:variant>
      <vt:variant>
        <vt:lpwstr>_Examples_of_potential_1</vt:lpwstr>
      </vt:variant>
      <vt:variant>
        <vt:i4>4653178</vt:i4>
      </vt:variant>
      <vt:variant>
        <vt:i4>2802</vt:i4>
      </vt:variant>
      <vt:variant>
        <vt:i4>0</vt:i4>
      </vt:variant>
      <vt:variant>
        <vt:i4>5</vt:i4>
      </vt:variant>
      <vt:variant>
        <vt:lpwstr/>
      </vt:variant>
      <vt:variant>
        <vt:lpwstr>_Examples_of_potential</vt:lpwstr>
      </vt:variant>
      <vt:variant>
        <vt:i4>1441893</vt:i4>
      </vt:variant>
      <vt:variant>
        <vt:i4>2796</vt:i4>
      </vt:variant>
      <vt:variant>
        <vt:i4>0</vt:i4>
      </vt:variant>
      <vt:variant>
        <vt:i4>5</vt:i4>
      </vt:variant>
      <vt:variant>
        <vt:lpwstr/>
      </vt:variant>
      <vt:variant>
        <vt:lpwstr>_Appendix_3_–</vt:lpwstr>
      </vt:variant>
      <vt:variant>
        <vt:i4>2424850</vt:i4>
      </vt:variant>
      <vt:variant>
        <vt:i4>2793</vt:i4>
      </vt:variant>
      <vt:variant>
        <vt:i4>0</vt:i4>
      </vt:variant>
      <vt:variant>
        <vt:i4>5</vt:i4>
      </vt:variant>
      <vt:variant>
        <vt:lpwstr/>
      </vt:variant>
      <vt:variant>
        <vt:lpwstr>_Promotion_of_justice</vt:lpwstr>
      </vt:variant>
      <vt:variant>
        <vt:i4>5636184</vt:i4>
      </vt:variant>
      <vt:variant>
        <vt:i4>2790</vt:i4>
      </vt:variant>
      <vt:variant>
        <vt:i4>0</vt:i4>
      </vt:variant>
      <vt:variant>
        <vt:i4>5</vt:i4>
      </vt:variant>
      <vt:variant>
        <vt:lpwstr/>
      </vt:variant>
      <vt:variant>
        <vt:lpwstr>_Glossary_2</vt:lpwstr>
      </vt:variant>
      <vt:variant>
        <vt:i4>3211325</vt:i4>
      </vt:variant>
      <vt:variant>
        <vt:i4>2760</vt:i4>
      </vt:variant>
      <vt:variant>
        <vt:i4>0</vt:i4>
      </vt:variant>
      <vt:variant>
        <vt:i4>5</vt:i4>
      </vt:variant>
      <vt:variant>
        <vt:lpwstr/>
      </vt:variant>
      <vt:variant>
        <vt:lpwstr>_Intersections_between_donation_2</vt:lpwstr>
      </vt:variant>
      <vt:variant>
        <vt:i4>7929947</vt:i4>
      </vt:variant>
      <vt:variant>
        <vt:i4>2754</vt:i4>
      </vt:variant>
      <vt:variant>
        <vt:i4>0</vt:i4>
      </vt:variant>
      <vt:variant>
        <vt:i4>5</vt:i4>
      </vt:variant>
      <vt:variant>
        <vt:lpwstr/>
      </vt:variant>
      <vt:variant>
        <vt:lpwstr>_Vigilance_and_surveillance</vt:lpwstr>
      </vt:variant>
      <vt:variant>
        <vt:i4>5636184</vt:i4>
      </vt:variant>
      <vt:variant>
        <vt:i4>2751</vt:i4>
      </vt:variant>
      <vt:variant>
        <vt:i4>0</vt:i4>
      </vt:variant>
      <vt:variant>
        <vt:i4>5</vt:i4>
      </vt:variant>
      <vt:variant>
        <vt:lpwstr/>
      </vt:variant>
      <vt:variant>
        <vt:lpwstr>_Glossary_2</vt:lpwstr>
      </vt:variant>
      <vt:variant>
        <vt:i4>6684728</vt:i4>
      </vt:variant>
      <vt:variant>
        <vt:i4>2748</vt:i4>
      </vt:variant>
      <vt:variant>
        <vt:i4>0</vt:i4>
      </vt:variant>
      <vt:variant>
        <vt:i4>5</vt:i4>
      </vt:variant>
      <vt:variant>
        <vt:lpwstr>http://www.transplant-observatory.org/</vt:lpwstr>
      </vt:variant>
      <vt:variant>
        <vt:lpwstr/>
      </vt:variant>
      <vt:variant>
        <vt:i4>4259844</vt:i4>
      </vt:variant>
      <vt:variant>
        <vt:i4>2745</vt:i4>
      </vt:variant>
      <vt:variant>
        <vt:i4>0</vt:i4>
      </vt:variant>
      <vt:variant>
        <vt:i4>5</vt:i4>
      </vt:variant>
      <vt:variant>
        <vt:lpwstr>https://www.donatelife.gov.au/about-us/strategy-and-performance/our-data</vt:lpwstr>
      </vt:variant>
      <vt:variant>
        <vt:lpwstr/>
      </vt:variant>
      <vt:variant>
        <vt:i4>2490473</vt:i4>
      </vt:variant>
      <vt:variant>
        <vt:i4>2742</vt:i4>
      </vt:variant>
      <vt:variant>
        <vt:i4>0</vt:i4>
      </vt:variant>
      <vt:variant>
        <vt:i4>5</vt:i4>
      </vt:variant>
      <vt:variant>
        <vt:lpwstr>https://www.servicesaustralia.gov.au/individuals/services/medicare/australian-organ-donor-register</vt:lpwstr>
      </vt:variant>
      <vt:variant>
        <vt:lpwstr/>
      </vt:variant>
      <vt:variant>
        <vt:i4>2293794</vt:i4>
      </vt:variant>
      <vt:variant>
        <vt:i4>2739</vt:i4>
      </vt:variant>
      <vt:variant>
        <vt:i4>0</vt:i4>
      </vt:variant>
      <vt:variant>
        <vt:i4>5</vt:i4>
      </vt:variant>
      <vt:variant>
        <vt:lpwstr>https://www.servicesaustralia.gov.au/organisations/about-us/statistical-information-and-data/medicare-statistics/australian-organ-donor-register-statistics</vt:lpwstr>
      </vt:variant>
      <vt:variant>
        <vt:lpwstr/>
      </vt:variant>
      <vt:variant>
        <vt:i4>7405667</vt:i4>
      </vt:variant>
      <vt:variant>
        <vt:i4>2736</vt:i4>
      </vt:variant>
      <vt:variant>
        <vt:i4>0</vt:i4>
      </vt:variant>
      <vt:variant>
        <vt:i4>5</vt:i4>
      </vt:variant>
      <vt:variant>
        <vt:lpwstr>https://www.flinders.edu.au/fhmri-eye-vision/corneal-graft-registry</vt:lpwstr>
      </vt:variant>
      <vt:variant>
        <vt:lpwstr/>
      </vt:variant>
      <vt:variant>
        <vt:i4>5046344</vt:i4>
      </vt:variant>
      <vt:variant>
        <vt:i4>2733</vt:i4>
      </vt:variant>
      <vt:variant>
        <vt:i4>0</vt:i4>
      </vt:variant>
      <vt:variant>
        <vt:i4>5</vt:i4>
      </vt:variant>
      <vt:variant>
        <vt:lpwstr>https://www.anzlitr.org/</vt:lpwstr>
      </vt:variant>
      <vt:variant>
        <vt:lpwstr/>
      </vt:variant>
      <vt:variant>
        <vt:i4>3801126</vt:i4>
      </vt:variant>
      <vt:variant>
        <vt:i4>2730</vt:i4>
      </vt:variant>
      <vt:variant>
        <vt:i4>0</vt:i4>
      </vt:variant>
      <vt:variant>
        <vt:i4>5</vt:i4>
      </vt:variant>
      <vt:variant>
        <vt:lpwstr>http://anziptr.org/</vt:lpwstr>
      </vt:variant>
      <vt:variant>
        <vt:lpwstr/>
      </vt:variant>
      <vt:variant>
        <vt:i4>7405682</vt:i4>
      </vt:variant>
      <vt:variant>
        <vt:i4>2727</vt:i4>
      </vt:variant>
      <vt:variant>
        <vt:i4>0</vt:i4>
      </vt:variant>
      <vt:variant>
        <vt:i4>5</vt:i4>
      </vt:variant>
      <vt:variant>
        <vt:lpwstr>https://www.anzdata.org.au/anzetd/</vt:lpwstr>
      </vt:variant>
      <vt:variant>
        <vt:lpwstr/>
      </vt:variant>
      <vt:variant>
        <vt:i4>7209083</vt:i4>
      </vt:variant>
      <vt:variant>
        <vt:i4>2724</vt:i4>
      </vt:variant>
      <vt:variant>
        <vt:i4>0</vt:i4>
      </vt:variant>
      <vt:variant>
        <vt:i4>5</vt:i4>
      </vt:variant>
      <vt:variant>
        <vt:lpwstr>https://www.anzdata.org.au/anzlkd/</vt:lpwstr>
      </vt:variant>
      <vt:variant>
        <vt:lpwstr/>
      </vt:variant>
      <vt:variant>
        <vt:i4>5111836</vt:i4>
      </vt:variant>
      <vt:variant>
        <vt:i4>2721</vt:i4>
      </vt:variant>
      <vt:variant>
        <vt:i4>0</vt:i4>
      </vt:variant>
      <vt:variant>
        <vt:i4>5</vt:i4>
      </vt:variant>
      <vt:variant>
        <vt:lpwstr>https://www.anzdata.org.au/anzod/</vt:lpwstr>
      </vt:variant>
      <vt:variant>
        <vt:lpwstr/>
      </vt:variant>
      <vt:variant>
        <vt:i4>2752611</vt:i4>
      </vt:variant>
      <vt:variant>
        <vt:i4>2718</vt:i4>
      </vt:variant>
      <vt:variant>
        <vt:i4>0</vt:i4>
      </vt:variant>
      <vt:variant>
        <vt:i4>5</vt:i4>
      </vt:variant>
      <vt:variant>
        <vt:lpwstr>https://www.anzdata.org.au/anzdata/</vt:lpwstr>
      </vt:variant>
      <vt:variant>
        <vt:lpwstr/>
      </vt:variant>
      <vt:variant>
        <vt:i4>2752611</vt:i4>
      </vt:variant>
      <vt:variant>
        <vt:i4>2715</vt:i4>
      </vt:variant>
      <vt:variant>
        <vt:i4>0</vt:i4>
      </vt:variant>
      <vt:variant>
        <vt:i4>5</vt:i4>
      </vt:variant>
      <vt:variant>
        <vt:lpwstr>https://www.anzdata.org.au/anzdata/</vt:lpwstr>
      </vt:variant>
      <vt:variant>
        <vt:lpwstr/>
      </vt:variant>
      <vt:variant>
        <vt:i4>2424869</vt:i4>
      </vt:variant>
      <vt:variant>
        <vt:i4>2712</vt:i4>
      </vt:variant>
      <vt:variant>
        <vt:i4>0</vt:i4>
      </vt:variant>
      <vt:variant>
        <vt:i4>5</vt:i4>
      </vt:variant>
      <vt:variant>
        <vt:lpwstr>https://www.abmdr.org.au/abmdr/annual-reports/</vt:lpwstr>
      </vt:variant>
      <vt:variant>
        <vt:lpwstr/>
      </vt:variant>
      <vt:variant>
        <vt:i4>2359394</vt:i4>
      </vt:variant>
      <vt:variant>
        <vt:i4>2709</vt:i4>
      </vt:variant>
      <vt:variant>
        <vt:i4>0</vt:i4>
      </vt:variant>
      <vt:variant>
        <vt:i4>5</vt:i4>
      </vt:variant>
      <vt:variant>
        <vt:lpwstr>https://www.abmtrr.org/</vt:lpwstr>
      </vt:variant>
      <vt:variant>
        <vt:lpwstr/>
      </vt:variant>
      <vt:variant>
        <vt:i4>7929943</vt:i4>
      </vt:variant>
      <vt:variant>
        <vt:i4>2700</vt:i4>
      </vt:variant>
      <vt:variant>
        <vt:i4>0</vt:i4>
      </vt:variant>
      <vt:variant>
        <vt:i4>5</vt:i4>
      </vt:variant>
      <vt:variant>
        <vt:lpwstr/>
      </vt:variant>
      <vt:variant>
        <vt:lpwstr>_Monitoring_and_evaluation</vt:lpwstr>
      </vt:variant>
      <vt:variant>
        <vt:i4>4325481</vt:i4>
      </vt:variant>
      <vt:variant>
        <vt:i4>2697</vt:i4>
      </vt:variant>
      <vt:variant>
        <vt:i4>0</vt:i4>
      </vt:variant>
      <vt:variant>
        <vt:i4>5</vt:i4>
      </vt:variant>
      <vt:variant>
        <vt:lpwstr/>
      </vt:variant>
      <vt:variant>
        <vt:lpwstr>_Public_solicitation_of</vt:lpwstr>
      </vt:variant>
      <vt:variant>
        <vt:i4>6815797</vt:i4>
      </vt:variant>
      <vt:variant>
        <vt:i4>2691</vt:i4>
      </vt:variant>
      <vt:variant>
        <vt:i4>0</vt:i4>
      </vt:variant>
      <vt:variant>
        <vt:i4>5</vt:i4>
      </vt:variant>
      <vt:variant>
        <vt:lpwstr/>
      </vt:variant>
      <vt:variant>
        <vt:lpwstr>_Protection_of_privacy_1</vt:lpwstr>
      </vt:variant>
      <vt:variant>
        <vt:i4>6815797</vt:i4>
      </vt:variant>
      <vt:variant>
        <vt:i4>2688</vt:i4>
      </vt:variant>
      <vt:variant>
        <vt:i4>0</vt:i4>
      </vt:variant>
      <vt:variant>
        <vt:i4>5</vt:i4>
      </vt:variant>
      <vt:variant>
        <vt:lpwstr/>
      </vt:variant>
      <vt:variant>
        <vt:lpwstr>_Protection_of_privacy_1</vt:lpwstr>
      </vt:variant>
      <vt:variant>
        <vt:i4>1900605</vt:i4>
      </vt:variant>
      <vt:variant>
        <vt:i4>2685</vt:i4>
      </vt:variant>
      <vt:variant>
        <vt:i4>0</vt:i4>
      </vt:variant>
      <vt:variant>
        <vt:i4>5</vt:i4>
      </vt:variant>
      <vt:variant>
        <vt:lpwstr/>
      </vt:variant>
      <vt:variant>
        <vt:lpwstr>_News_and_social</vt:lpwstr>
      </vt:variant>
      <vt:variant>
        <vt:i4>1900605</vt:i4>
      </vt:variant>
      <vt:variant>
        <vt:i4>2682</vt:i4>
      </vt:variant>
      <vt:variant>
        <vt:i4>0</vt:i4>
      </vt:variant>
      <vt:variant>
        <vt:i4>5</vt:i4>
      </vt:variant>
      <vt:variant>
        <vt:lpwstr/>
      </vt:variant>
      <vt:variant>
        <vt:lpwstr>_News_and_social</vt:lpwstr>
      </vt:variant>
      <vt:variant>
        <vt:i4>131122</vt:i4>
      </vt:variant>
      <vt:variant>
        <vt:i4>2679</vt:i4>
      </vt:variant>
      <vt:variant>
        <vt:i4>0</vt:i4>
      </vt:variant>
      <vt:variant>
        <vt:i4>5</vt:i4>
      </vt:variant>
      <vt:variant>
        <vt:lpwstr/>
      </vt:variant>
      <vt:variant>
        <vt:lpwstr>_Children_who_may</vt:lpwstr>
      </vt:variant>
      <vt:variant>
        <vt:i4>4194404</vt:i4>
      </vt:variant>
      <vt:variant>
        <vt:i4>2676</vt:i4>
      </vt:variant>
      <vt:variant>
        <vt:i4>0</vt:i4>
      </vt:variant>
      <vt:variant>
        <vt:i4>5</vt:i4>
      </vt:variant>
      <vt:variant>
        <vt:lpwstr/>
      </vt:variant>
      <vt:variant>
        <vt:lpwstr>_Potential_benefits_and</vt:lpwstr>
      </vt:variant>
      <vt:variant>
        <vt:i4>7012472</vt:i4>
      </vt:variant>
      <vt:variant>
        <vt:i4>2673</vt:i4>
      </vt:variant>
      <vt:variant>
        <vt:i4>0</vt:i4>
      </vt:variant>
      <vt:variant>
        <vt:i4>5</vt:i4>
      </vt:variant>
      <vt:variant>
        <vt:lpwstr>https://donatelife.gov.au/sites/default/files/Information for donor families and transplant recipients.pdf</vt:lpwstr>
      </vt:variant>
      <vt:variant>
        <vt:lpwstr/>
      </vt:variant>
      <vt:variant>
        <vt:i4>6881372</vt:i4>
      </vt:variant>
      <vt:variant>
        <vt:i4>2670</vt:i4>
      </vt:variant>
      <vt:variant>
        <vt:i4>0</vt:i4>
      </vt:variant>
      <vt:variant>
        <vt:i4>5</vt:i4>
      </vt:variant>
      <vt:variant>
        <vt:lpwstr/>
      </vt:variant>
      <vt:variant>
        <vt:lpwstr>_Protecting_privacy_in</vt:lpwstr>
      </vt:variant>
      <vt:variant>
        <vt:i4>3211279</vt:i4>
      </vt:variant>
      <vt:variant>
        <vt:i4>2667</vt:i4>
      </vt:variant>
      <vt:variant>
        <vt:i4>0</vt:i4>
      </vt:variant>
      <vt:variant>
        <vt:i4>5</vt:i4>
      </vt:variant>
      <vt:variant>
        <vt:lpwstr/>
      </vt:variant>
      <vt:variant>
        <vt:lpwstr>_Legal_considerations_in</vt:lpwstr>
      </vt:variant>
      <vt:variant>
        <vt:i4>2949151</vt:i4>
      </vt:variant>
      <vt:variant>
        <vt:i4>2658</vt:i4>
      </vt:variant>
      <vt:variant>
        <vt:i4>0</vt:i4>
      </vt:variant>
      <vt:variant>
        <vt:i4>5</vt:i4>
      </vt:variant>
      <vt:variant>
        <vt:lpwstr/>
      </vt:variant>
      <vt:variant>
        <vt:lpwstr>_Data_collection_and</vt:lpwstr>
      </vt:variant>
      <vt:variant>
        <vt:i4>2424851</vt:i4>
      </vt:variant>
      <vt:variant>
        <vt:i4>2655</vt:i4>
      </vt:variant>
      <vt:variant>
        <vt:i4>0</vt:i4>
      </vt:variant>
      <vt:variant>
        <vt:i4>5</vt:i4>
      </vt:variant>
      <vt:variant>
        <vt:lpwstr/>
      </vt:variant>
      <vt:variant>
        <vt:lpwstr>_Waiver_of_anonymity</vt:lpwstr>
      </vt:variant>
      <vt:variant>
        <vt:i4>3211279</vt:i4>
      </vt:variant>
      <vt:variant>
        <vt:i4>2652</vt:i4>
      </vt:variant>
      <vt:variant>
        <vt:i4>0</vt:i4>
      </vt:variant>
      <vt:variant>
        <vt:i4>5</vt:i4>
      </vt:variant>
      <vt:variant>
        <vt:lpwstr/>
      </vt:variant>
      <vt:variant>
        <vt:lpwstr>_Legal_considerations_in</vt:lpwstr>
      </vt:variant>
      <vt:variant>
        <vt:i4>2949151</vt:i4>
      </vt:variant>
      <vt:variant>
        <vt:i4>2649</vt:i4>
      </vt:variant>
      <vt:variant>
        <vt:i4>0</vt:i4>
      </vt:variant>
      <vt:variant>
        <vt:i4>5</vt:i4>
      </vt:variant>
      <vt:variant>
        <vt:lpwstr/>
      </vt:variant>
      <vt:variant>
        <vt:lpwstr>_Data_collection_and</vt:lpwstr>
      </vt:variant>
      <vt:variant>
        <vt:i4>4194404</vt:i4>
      </vt:variant>
      <vt:variant>
        <vt:i4>2646</vt:i4>
      </vt:variant>
      <vt:variant>
        <vt:i4>0</vt:i4>
      </vt:variant>
      <vt:variant>
        <vt:i4>5</vt:i4>
      </vt:variant>
      <vt:variant>
        <vt:lpwstr/>
      </vt:variant>
      <vt:variant>
        <vt:lpwstr>_Potential_benefits_and</vt:lpwstr>
      </vt:variant>
      <vt:variant>
        <vt:i4>6881372</vt:i4>
      </vt:variant>
      <vt:variant>
        <vt:i4>2643</vt:i4>
      </vt:variant>
      <vt:variant>
        <vt:i4>0</vt:i4>
      </vt:variant>
      <vt:variant>
        <vt:i4>5</vt:i4>
      </vt:variant>
      <vt:variant>
        <vt:lpwstr/>
      </vt:variant>
      <vt:variant>
        <vt:lpwstr>_Protecting_privacy_in</vt:lpwstr>
      </vt:variant>
      <vt:variant>
        <vt:i4>7274589</vt:i4>
      </vt:variant>
      <vt:variant>
        <vt:i4>2640</vt:i4>
      </vt:variant>
      <vt:variant>
        <vt:i4>0</vt:i4>
      </vt:variant>
      <vt:variant>
        <vt:i4>5</vt:i4>
      </vt:variant>
      <vt:variant>
        <vt:lpwstr/>
      </vt:variant>
      <vt:variant>
        <vt:lpwstr>_Protecting_the_privacy</vt:lpwstr>
      </vt:variant>
      <vt:variant>
        <vt:i4>2424851</vt:i4>
      </vt:variant>
      <vt:variant>
        <vt:i4>2637</vt:i4>
      </vt:variant>
      <vt:variant>
        <vt:i4>0</vt:i4>
      </vt:variant>
      <vt:variant>
        <vt:i4>5</vt:i4>
      </vt:variant>
      <vt:variant>
        <vt:lpwstr/>
      </vt:variant>
      <vt:variant>
        <vt:lpwstr>_Waiver_of_anonymity</vt:lpwstr>
      </vt:variant>
      <vt:variant>
        <vt:i4>1310796</vt:i4>
      </vt:variant>
      <vt:variant>
        <vt:i4>2634</vt:i4>
      </vt:variant>
      <vt:variant>
        <vt:i4>0</vt:i4>
      </vt:variant>
      <vt:variant>
        <vt:i4>5</vt:i4>
      </vt:variant>
      <vt:variant>
        <vt:lpwstr/>
      </vt:variant>
      <vt:variant>
        <vt:lpwstr>_Waiver_of_anonymity_1</vt:lpwstr>
      </vt:variant>
      <vt:variant>
        <vt:i4>6815797</vt:i4>
      </vt:variant>
      <vt:variant>
        <vt:i4>2631</vt:i4>
      </vt:variant>
      <vt:variant>
        <vt:i4>0</vt:i4>
      </vt:variant>
      <vt:variant>
        <vt:i4>5</vt:i4>
      </vt:variant>
      <vt:variant>
        <vt:lpwstr/>
      </vt:variant>
      <vt:variant>
        <vt:lpwstr>_Protection_of_privacy_1</vt:lpwstr>
      </vt:variant>
      <vt:variant>
        <vt:i4>7274589</vt:i4>
      </vt:variant>
      <vt:variant>
        <vt:i4>2628</vt:i4>
      </vt:variant>
      <vt:variant>
        <vt:i4>0</vt:i4>
      </vt:variant>
      <vt:variant>
        <vt:i4>5</vt:i4>
      </vt:variant>
      <vt:variant>
        <vt:lpwstr/>
      </vt:variant>
      <vt:variant>
        <vt:lpwstr>_Protecting_the_privacy</vt:lpwstr>
      </vt:variant>
      <vt:variant>
        <vt:i4>2424851</vt:i4>
      </vt:variant>
      <vt:variant>
        <vt:i4>2625</vt:i4>
      </vt:variant>
      <vt:variant>
        <vt:i4>0</vt:i4>
      </vt:variant>
      <vt:variant>
        <vt:i4>5</vt:i4>
      </vt:variant>
      <vt:variant>
        <vt:lpwstr/>
      </vt:variant>
      <vt:variant>
        <vt:lpwstr>_Waiver_of_anonymity</vt:lpwstr>
      </vt:variant>
      <vt:variant>
        <vt:i4>1310796</vt:i4>
      </vt:variant>
      <vt:variant>
        <vt:i4>2622</vt:i4>
      </vt:variant>
      <vt:variant>
        <vt:i4>0</vt:i4>
      </vt:variant>
      <vt:variant>
        <vt:i4>5</vt:i4>
      </vt:variant>
      <vt:variant>
        <vt:lpwstr/>
      </vt:variant>
      <vt:variant>
        <vt:lpwstr>_Waiver_of_anonymity_1</vt:lpwstr>
      </vt:variant>
      <vt:variant>
        <vt:i4>4194404</vt:i4>
      </vt:variant>
      <vt:variant>
        <vt:i4>2619</vt:i4>
      </vt:variant>
      <vt:variant>
        <vt:i4>0</vt:i4>
      </vt:variant>
      <vt:variant>
        <vt:i4>5</vt:i4>
      </vt:variant>
      <vt:variant>
        <vt:lpwstr/>
      </vt:variant>
      <vt:variant>
        <vt:lpwstr>_Potential_benefits_and</vt:lpwstr>
      </vt:variant>
      <vt:variant>
        <vt:i4>6553627</vt:i4>
      </vt:variant>
      <vt:variant>
        <vt:i4>2616</vt:i4>
      </vt:variant>
      <vt:variant>
        <vt:i4>0</vt:i4>
      </vt:variant>
      <vt:variant>
        <vt:i4>5</vt:i4>
      </vt:variant>
      <vt:variant>
        <vt:lpwstr/>
      </vt:variant>
      <vt:variant>
        <vt:lpwstr>_Directed,_restricted_or</vt:lpwstr>
      </vt:variant>
      <vt:variant>
        <vt:i4>6881372</vt:i4>
      </vt:variant>
      <vt:variant>
        <vt:i4>2610</vt:i4>
      </vt:variant>
      <vt:variant>
        <vt:i4>0</vt:i4>
      </vt:variant>
      <vt:variant>
        <vt:i4>5</vt:i4>
      </vt:variant>
      <vt:variant>
        <vt:lpwstr/>
      </vt:variant>
      <vt:variant>
        <vt:lpwstr>_Protecting_privacy_in</vt:lpwstr>
      </vt:variant>
      <vt:variant>
        <vt:i4>6815797</vt:i4>
      </vt:variant>
      <vt:variant>
        <vt:i4>2607</vt:i4>
      </vt:variant>
      <vt:variant>
        <vt:i4>0</vt:i4>
      </vt:variant>
      <vt:variant>
        <vt:i4>5</vt:i4>
      </vt:variant>
      <vt:variant>
        <vt:lpwstr/>
      </vt:variant>
      <vt:variant>
        <vt:lpwstr>_Protection_of_privacy_1</vt:lpwstr>
      </vt:variant>
      <vt:variant>
        <vt:i4>3211279</vt:i4>
      </vt:variant>
      <vt:variant>
        <vt:i4>2604</vt:i4>
      </vt:variant>
      <vt:variant>
        <vt:i4>0</vt:i4>
      </vt:variant>
      <vt:variant>
        <vt:i4>5</vt:i4>
      </vt:variant>
      <vt:variant>
        <vt:lpwstr/>
      </vt:variant>
      <vt:variant>
        <vt:lpwstr>_Legal_considerations_in</vt:lpwstr>
      </vt:variant>
      <vt:variant>
        <vt:i4>2949143</vt:i4>
      </vt:variant>
      <vt:variant>
        <vt:i4>2601</vt:i4>
      </vt:variant>
      <vt:variant>
        <vt:i4>0</vt:i4>
      </vt:variant>
      <vt:variant>
        <vt:i4>5</vt:i4>
      </vt:variant>
      <vt:variant>
        <vt:lpwstr/>
      </vt:variant>
      <vt:variant>
        <vt:lpwstr>_Disclosure_of_clinically</vt:lpwstr>
      </vt:variant>
      <vt:variant>
        <vt:i4>2949151</vt:i4>
      </vt:variant>
      <vt:variant>
        <vt:i4>2598</vt:i4>
      </vt:variant>
      <vt:variant>
        <vt:i4>0</vt:i4>
      </vt:variant>
      <vt:variant>
        <vt:i4>5</vt:i4>
      </vt:variant>
      <vt:variant>
        <vt:lpwstr/>
      </vt:variant>
      <vt:variant>
        <vt:lpwstr>_Data_collection_and</vt:lpwstr>
      </vt:variant>
      <vt:variant>
        <vt:i4>6226025</vt:i4>
      </vt:variant>
      <vt:variant>
        <vt:i4>2577</vt:i4>
      </vt:variant>
      <vt:variant>
        <vt:i4>0</vt:i4>
      </vt:variant>
      <vt:variant>
        <vt:i4>5</vt:i4>
      </vt:variant>
      <vt:variant>
        <vt:lpwstr/>
      </vt:variant>
      <vt:variant>
        <vt:lpwstr>_Strategies_to_support</vt:lpwstr>
      </vt:variant>
      <vt:variant>
        <vt:i4>2621455</vt:i4>
      </vt:variant>
      <vt:variant>
        <vt:i4>2574</vt:i4>
      </vt:variant>
      <vt:variant>
        <vt:i4>0</vt:i4>
      </vt:variant>
      <vt:variant>
        <vt:i4>5</vt:i4>
      </vt:variant>
      <vt:variant>
        <vt:lpwstr/>
      </vt:variant>
      <vt:variant>
        <vt:lpwstr>_Voluntariness_of_consent</vt:lpwstr>
      </vt:variant>
      <vt:variant>
        <vt:i4>6946910</vt:i4>
      </vt:variant>
      <vt:variant>
        <vt:i4>2571</vt:i4>
      </vt:variant>
      <vt:variant>
        <vt:i4>0</vt:i4>
      </vt:variant>
      <vt:variant>
        <vt:i4>5</vt:i4>
      </vt:variant>
      <vt:variant>
        <vt:lpwstr/>
      </vt:variant>
      <vt:variant>
        <vt:lpwstr>_Voluntariness</vt:lpwstr>
      </vt:variant>
      <vt:variant>
        <vt:i4>2687095</vt:i4>
      </vt:variant>
      <vt:variant>
        <vt:i4>2568</vt:i4>
      </vt:variant>
      <vt:variant>
        <vt:i4>0</vt:i4>
      </vt:variant>
      <vt:variant>
        <vt:i4>5</vt:i4>
      </vt:variant>
      <vt:variant>
        <vt:lpwstr/>
      </vt:variant>
      <vt:variant>
        <vt:lpwstr>_Misattributed_genetic_relationships_1</vt:lpwstr>
      </vt:variant>
      <vt:variant>
        <vt:i4>2162705</vt:i4>
      </vt:variant>
      <vt:variant>
        <vt:i4>2565</vt:i4>
      </vt:variant>
      <vt:variant>
        <vt:i4>0</vt:i4>
      </vt:variant>
      <vt:variant>
        <vt:i4>5</vt:i4>
      </vt:variant>
      <vt:variant>
        <vt:lpwstr/>
      </vt:variant>
      <vt:variant>
        <vt:lpwstr>_Evaluation_of_risks</vt:lpwstr>
      </vt:variant>
      <vt:variant>
        <vt:i4>655392</vt:i4>
      </vt:variant>
      <vt:variant>
        <vt:i4>2562</vt:i4>
      </vt:variant>
      <vt:variant>
        <vt:i4>0</vt:i4>
      </vt:variant>
      <vt:variant>
        <vt:i4>5</vt:i4>
      </vt:variant>
      <vt:variant>
        <vt:lpwstr/>
      </vt:variant>
      <vt:variant>
        <vt:lpwstr>_Consent_for_transplantation</vt:lpwstr>
      </vt:variant>
      <vt:variant>
        <vt:i4>3538985</vt:i4>
      </vt:variant>
      <vt:variant>
        <vt:i4>2559</vt:i4>
      </vt:variant>
      <vt:variant>
        <vt:i4>0</vt:i4>
      </vt:variant>
      <vt:variant>
        <vt:i4>5</vt:i4>
      </vt:variant>
      <vt:variant>
        <vt:lpwstr/>
      </vt:variant>
      <vt:variant>
        <vt:lpwstr>_Risks_and_benefits_1</vt:lpwstr>
      </vt:variant>
      <vt:variant>
        <vt:i4>4522083</vt:i4>
      </vt:variant>
      <vt:variant>
        <vt:i4>2556</vt:i4>
      </vt:variant>
      <vt:variant>
        <vt:i4>0</vt:i4>
      </vt:variant>
      <vt:variant>
        <vt:i4>5</vt:i4>
      </vt:variant>
      <vt:variant>
        <vt:lpwstr/>
      </vt:variant>
      <vt:variant>
        <vt:lpwstr>_Screening_of_potential</vt:lpwstr>
      </vt:variant>
      <vt:variant>
        <vt:i4>4391019</vt:i4>
      </vt:variant>
      <vt:variant>
        <vt:i4>2553</vt:i4>
      </vt:variant>
      <vt:variant>
        <vt:i4>0</vt:i4>
      </vt:variant>
      <vt:variant>
        <vt:i4>5</vt:i4>
      </vt:variant>
      <vt:variant>
        <vt:lpwstr/>
      </vt:variant>
      <vt:variant>
        <vt:lpwstr>_Management_of_private</vt:lpwstr>
      </vt:variant>
      <vt:variant>
        <vt:i4>7602295</vt:i4>
      </vt:variant>
      <vt:variant>
        <vt:i4>2547</vt:i4>
      </vt:variant>
      <vt:variant>
        <vt:i4>0</vt:i4>
      </vt:variant>
      <vt:variant>
        <vt:i4>5</vt:i4>
      </vt:variant>
      <vt:variant>
        <vt:lpwstr/>
      </vt:variant>
      <vt:variant>
        <vt:lpwstr>_Lawful_disclosure_of_1</vt:lpwstr>
      </vt:variant>
      <vt:variant>
        <vt:i4>2818065</vt:i4>
      </vt:variant>
      <vt:variant>
        <vt:i4>2544</vt:i4>
      </vt:variant>
      <vt:variant>
        <vt:i4>0</vt:i4>
      </vt:variant>
      <vt:variant>
        <vt:i4>5</vt:i4>
      </vt:variant>
      <vt:variant>
        <vt:lpwstr/>
      </vt:variant>
      <vt:variant>
        <vt:lpwstr>_Lawful_disclosure_of</vt:lpwstr>
      </vt:variant>
      <vt:variant>
        <vt:i4>1179699</vt:i4>
      </vt:variant>
      <vt:variant>
        <vt:i4>2541</vt:i4>
      </vt:variant>
      <vt:variant>
        <vt:i4>0</vt:i4>
      </vt:variant>
      <vt:variant>
        <vt:i4>5</vt:i4>
      </vt:variant>
      <vt:variant>
        <vt:lpwstr/>
      </vt:variant>
      <vt:variant>
        <vt:lpwstr>_Respect_for_autonomy</vt:lpwstr>
      </vt:variant>
      <vt:variant>
        <vt:i4>7602295</vt:i4>
      </vt:variant>
      <vt:variant>
        <vt:i4>2538</vt:i4>
      </vt:variant>
      <vt:variant>
        <vt:i4>0</vt:i4>
      </vt:variant>
      <vt:variant>
        <vt:i4>5</vt:i4>
      </vt:variant>
      <vt:variant>
        <vt:lpwstr/>
      </vt:variant>
      <vt:variant>
        <vt:lpwstr>_Lawful_disclosure_of_1</vt:lpwstr>
      </vt:variant>
      <vt:variant>
        <vt:i4>2818065</vt:i4>
      </vt:variant>
      <vt:variant>
        <vt:i4>2535</vt:i4>
      </vt:variant>
      <vt:variant>
        <vt:i4>0</vt:i4>
      </vt:variant>
      <vt:variant>
        <vt:i4>5</vt:i4>
      </vt:variant>
      <vt:variant>
        <vt:lpwstr/>
      </vt:variant>
      <vt:variant>
        <vt:lpwstr>_Lawful_disclosure_of</vt:lpwstr>
      </vt:variant>
      <vt:variant>
        <vt:i4>3997723</vt:i4>
      </vt:variant>
      <vt:variant>
        <vt:i4>2526</vt:i4>
      </vt:variant>
      <vt:variant>
        <vt:i4>0</vt:i4>
      </vt:variant>
      <vt:variant>
        <vt:i4>5</vt:i4>
      </vt:variant>
      <vt:variant>
        <vt:lpwstr/>
      </vt:variant>
      <vt:variant>
        <vt:lpwstr>_Human_tissue_legislation</vt:lpwstr>
      </vt:variant>
      <vt:variant>
        <vt:i4>4390988</vt:i4>
      </vt:variant>
      <vt:variant>
        <vt:i4>2523</vt:i4>
      </vt:variant>
      <vt:variant>
        <vt:i4>0</vt:i4>
      </vt:variant>
      <vt:variant>
        <vt:i4>5</vt:i4>
      </vt:variant>
      <vt:variant>
        <vt:lpwstr>https://www.legislation.vic.gov.au/in-force/acts/health-records-act-2001/046</vt:lpwstr>
      </vt:variant>
      <vt:variant>
        <vt:lpwstr/>
      </vt:variant>
      <vt:variant>
        <vt:i4>4390988</vt:i4>
      </vt:variant>
      <vt:variant>
        <vt:i4>2520</vt:i4>
      </vt:variant>
      <vt:variant>
        <vt:i4>0</vt:i4>
      </vt:variant>
      <vt:variant>
        <vt:i4>5</vt:i4>
      </vt:variant>
      <vt:variant>
        <vt:lpwstr>https://www.legislation.vic.gov.au/in-force/acts/health-records-act-2001/046</vt:lpwstr>
      </vt:variant>
      <vt:variant>
        <vt:lpwstr/>
      </vt:variant>
      <vt:variant>
        <vt:i4>4784142</vt:i4>
      </vt:variant>
      <vt:variant>
        <vt:i4>2517</vt:i4>
      </vt:variant>
      <vt:variant>
        <vt:i4>0</vt:i4>
      </vt:variant>
      <vt:variant>
        <vt:i4>5</vt:i4>
      </vt:variant>
      <vt:variant>
        <vt:lpwstr>https://www.legislation.vic.gov.au/in-force/acts/privacy-and-data-protection-act-2014/027</vt:lpwstr>
      </vt:variant>
      <vt:variant>
        <vt:lpwstr/>
      </vt:variant>
      <vt:variant>
        <vt:i4>4784142</vt:i4>
      </vt:variant>
      <vt:variant>
        <vt:i4>2514</vt:i4>
      </vt:variant>
      <vt:variant>
        <vt:i4>0</vt:i4>
      </vt:variant>
      <vt:variant>
        <vt:i4>5</vt:i4>
      </vt:variant>
      <vt:variant>
        <vt:lpwstr>https://www.legislation.vic.gov.au/in-force/acts/privacy-and-data-protection-act-2014/027</vt:lpwstr>
      </vt:variant>
      <vt:variant>
        <vt:lpwstr/>
      </vt:variant>
      <vt:variant>
        <vt:i4>5898320</vt:i4>
      </vt:variant>
      <vt:variant>
        <vt:i4>2511</vt:i4>
      </vt:variant>
      <vt:variant>
        <vt:i4>0</vt:i4>
      </vt:variant>
      <vt:variant>
        <vt:i4>5</vt:i4>
      </vt:variant>
      <vt:variant>
        <vt:lpwstr>https://www.legislation.tas.gov.au/view/html/inforce/</vt:lpwstr>
      </vt:variant>
      <vt:variant>
        <vt:lpwstr/>
      </vt:variant>
      <vt:variant>
        <vt:i4>5505091</vt:i4>
      </vt:variant>
      <vt:variant>
        <vt:i4>2508</vt:i4>
      </vt:variant>
      <vt:variant>
        <vt:i4>0</vt:i4>
      </vt:variant>
      <vt:variant>
        <vt:i4>5</vt:i4>
      </vt:variant>
      <vt:variant>
        <vt:lpwstr>https://www.legislation.tas.gov.au/view/html/inforce/current/act-2004-046</vt:lpwstr>
      </vt:variant>
      <vt:variant>
        <vt:lpwstr/>
      </vt:variant>
      <vt:variant>
        <vt:i4>6029404</vt:i4>
      </vt:variant>
      <vt:variant>
        <vt:i4>2505</vt:i4>
      </vt:variant>
      <vt:variant>
        <vt:i4>0</vt:i4>
      </vt:variant>
      <vt:variant>
        <vt:i4>5</vt:i4>
      </vt:variant>
      <vt:variant>
        <vt:lpwstr>https://www.legislation.qld.gov.au/view/html/inforce/current/act-2009-013</vt:lpwstr>
      </vt:variant>
      <vt:variant>
        <vt:lpwstr/>
      </vt:variant>
      <vt:variant>
        <vt:i4>6029404</vt:i4>
      </vt:variant>
      <vt:variant>
        <vt:i4>2502</vt:i4>
      </vt:variant>
      <vt:variant>
        <vt:i4>0</vt:i4>
      </vt:variant>
      <vt:variant>
        <vt:i4>5</vt:i4>
      </vt:variant>
      <vt:variant>
        <vt:lpwstr>https://www.legislation.qld.gov.au/view/html/inforce/current/act-2009-013</vt:lpwstr>
      </vt:variant>
      <vt:variant>
        <vt:lpwstr/>
      </vt:variant>
      <vt:variant>
        <vt:i4>5701698</vt:i4>
      </vt:variant>
      <vt:variant>
        <vt:i4>2499</vt:i4>
      </vt:variant>
      <vt:variant>
        <vt:i4>0</vt:i4>
      </vt:variant>
      <vt:variant>
        <vt:i4>5</vt:i4>
      </vt:variant>
      <vt:variant>
        <vt:lpwstr>https://www.legislation.qld.gov.au/view/html/inforce/</vt:lpwstr>
      </vt:variant>
      <vt:variant>
        <vt:lpwstr/>
      </vt:variant>
      <vt:variant>
        <vt:i4>6029404</vt:i4>
      </vt:variant>
      <vt:variant>
        <vt:i4>2496</vt:i4>
      </vt:variant>
      <vt:variant>
        <vt:i4>0</vt:i4>
      </vt:variant>
      <vt:variant>
        <vt:i4>5</vt:i4>
      </vt:variant>
      <vt:variant>
        <vt:lpwstr>https://www.legislation.qld.gov.au/view/html/inforce/current/act-2009-014</vt:lpwstr>
      </vt:variant>
      <vt:variant>
        <vt:lpwstr/>
      </vt:variant>
      <vt:variant>
        <vt:i4>2949176</vt:i4>
      </vt:variant>
      <vt:variant>
        <vt:i4>2493</vt:i4>
      </vt:variant>
      <vt:variant>
        <vt:i4>0</vt:i4>
      </vt:variant>
      <vt:variant>
        <vt:i4>5</vt:i4>
      </vt:variant>
      <vt:variant>
        <vt:lpwstr>https://legislation.nt.gov.au/Legislation/INFORMATION-ACT-2002</vt:lpwstr>
      </vt:variant>
      <vt:variant>
        <vt:lpwstr/>
      </vt:variant>
      <vt:variant>
        <vt:i4>1835099</vt:i4>
      </vt:variant>
      <vt:variant>
        <vt:i4>2490</vt:i4>
      </vt:variant>
      <vt:variant>
        <vt:i4>0</vt:i4>
      </vt:variant>
      <vt:variant>
        <vt:i4>5</vt:i4>
      </vt:variant>
      <vt:variant>
        <vt:lpwstr>https://legislation.nsw.gov.au/view/html/inforce/current/act-2002-071</vt:lpwstr>
      </vt:variant>
      <vt:variant>
        <vt:lpwstr/>
      </vt:variant>
      <vt:variant>
        <vt:i4>1835099</vt:i4>
      </vt:variant>
      <vt:variant>
        <vt:i4>2487</vt:i4>
      </vt:variant>
      <vt:variant>
        <vt:i4>0</vt:i4>
      </vt:variant>
      <vt:variant>
        <vt:i4>5</vt:i4>
      </vt:variant>
      <vt:variant>
        <vt:lpwstr>https://legislation.nsw.gov.au/view/html/inforce/current/act-2002-071</vt:lpwstr>
      </vt:variant>
      <vt:variant>
        <vt:lpwstr/>
      </vt:variant>
      <vt:variant>
        <vt:i4>1179737</vt:i4>
      </vt:variant>
      <vt:variant>
        <vt:i4>2484</vt:i4>
      </vt:variant>
      <vt:variant>
        <vt:i4>0</vt:i4>
      </vt:variant>
      <vt:variant>
        <vt:i4>5</vt:i4>
      </vt:variant>
      <vt:variant>
        <vt:lpwstr>https://legislation.nsw.gov.au/view/html/inforce/current/act-1998-133</vt:lpwstr>
      </vt:variant>
      <vt:variant>
        <vt:lpwstr/>
      </vt:variant>
      <vt:variant>
        <vt:i4>1179737</vt:i4>
      </vt:variant>
      <vt:variant>
        <vt:i4>2481</vt:i4>
      </vt:variant>
      <vt:variant>
        <vt:i4>0</vt:i4>
      </vt:variant>
      <vt:variant>
        <vt:i4>5</vt:i4>
      </vt:variant>
      <vt:variant>
        <vt:lpwstr>https://legislation.nsw.gov.au/view/html/inforce/current/act-1998-133</vt:lpwstr>
      </vt:variant>
      <vt:variant>
        <vt:lpwstr/>
      </vt:variant>
      <vt:variant>
        <vt:i4>3997745</vt:i4>
      </vt:variant>
      <vt:variant>
        <vt:i4>2478</vt:i4>
      </vt:variant>
      <vt:variant>
        <vt:i4>0</vt:i4>
      </vt:variant>
      <vt:variant>
        <vt:i4>5</vt:i4>
      </vt:variant>
      <vt:variant>
        <vt:lpwstr>https://www.legislation.act.gov.au/a/1997-125/</vt:lpwstr>
      </vt:variant>
      <vt:variant>
        <vt:lpwstr/>
      </vt:variant>
      <vt:variant>
        <vt:i4>3211279</vt:i4>
      </vt:variant>
      <vt:variant>
        <vt:i4>2475</vt:i4>
      </vt:variant>
      <vt:variant>
        <vt:i4>0</vt:i4>
      </vt:variant>
      <vt:variant>
        <vt:i4>5</vt:i4>
      </vt:variant>
      <vt:variant>
        <vt:lpwstr/>
      </vt:variant>
      <vt:variant>
        <vt:lpwstr>_Legal_considerations_in</vt:lpwstr>
      </vt:variant>
      <vt:variant>
        <vt:i4>7602295</vt:i4>
      </vt:variant>
      <vt:variant>
        <vt:i4>2472</vt:i4>
      </vt:variant>
      <vt:variant>
        <vt:i4>0</vt:i4>
      </vt:variant>
      <vt:variant>
        <vt:i4>5</vt:i4>
      </vt:variant>
      <vt:variant>
        <vt:lpwstr/>
      </vt:variant>
      <vt:variant>
        <vt:lpwstr>_Lawful_disclosure_of_1</vt:lpwstr>
      </vt:variant>
      <vt:variant>
        <vt:i4>2818065</vt:i4>
      </vt:variant>
      <vt:variant>
        <vt:i4>2469</vt:i4>
      </vt:variant>
      <vt:variant>
        <vt:i4>0</vt:i4>
      </vt:variant>
      <vt:variant>
        <vt:i4>5</vt:i4>
      </vt:variant>
      <vt:variant>
        <vt:lpwstr/>
      </vt:variant>
      <vt:variant>
        <vt:lpwstr>_Lawful_disclosure_of</vt:lpwstr>
      </vt:variant>
      <vt:variant>
        <vt:i4>2949151</vt:i4>
      </vt:variant>
      <vt:variant>
        <vt:i4>2466</vt:i4>
      </vt:variant>
      <vt:variant>
        <vt:i4>0</vt:i4>
      </vt:variant>
      <vt:variant>
        <vt:i4>5</vt:i4>
      </vt:variant>
      <vt:variant>
        <vt:lpwstr/>
      </vt:variant>
      <vt:variant>
        <vt:lpwstr>_Data_collection_and</vt:lpwstr>
      </vt:variant>
      <vt:variant>
        <vt:i4>5636184</vt:i4>
      </vt:variant>
      <vt:variant>
        <vt:i4>2460</vt:i4>
      </vt:variant>
      <vt:variant>
        <vt:i4>0</vt:i4>
      </vt:variant>
      <vt:variant>
        <vt:i4>5</vt:i4>
      </vt:variant>
      <vt:variant>
        <vt:lpwstr/>
      </vt:variant>
      <vt:variant>
        <vt:lpwstr>_Glossary_2</vt:lpwstr>
      </vt:variant>
      <vt:variant>
        <vt:i4>3014723</vt:i4>
      </vt:variant>
      <vt:variant>
        <vt:i4>2457</vt:i4>
      </vt:variant>
      <vt:variant>
        <vt:i4>0</vt:i4>
      </vt:variant>
      <vt:variant>
        <vt:i4>5</vt:i4>
      </vt:variant>
      <vt:variant>
        <vt:lpwstr/>
      </vt:variant>
      <vt:variant>
        <vt:lpwstr>_Privacy_legislation_1</vt:lpwstr>
      </vt:variant>
      <vt:variant>
        <vt:i4>5636184</vt:i4>
      </vt:variant>
      <vt:variant>
        <vt:i4>2454</vt:i4>
      </vt:variant>
      <vt:variant>
        <vt:i4>0</vt:i4>
      </vt:variant>
      <vt:variant>
        <vt:i4>5</vt:i4>
      </vt:variant>
      <vt:variant>
        <vt:lpwstr/>
      </vt:variant>
      <vt:variant>
        <vt:lpwstr>_Glossary_2</vt:lpwstr>
      </vt:variant>
      <vt:variant>
        <vt:i4>1441893</vt:i4>
      </vt:variant>
      <vt:variant>
        <vt:i4>2451</vt:i4>
      </vt:variant>
      <vt:variant>
        <vt:i4>0</vt:i4>
      </vt:variant>
      <vt:variant>
        <vt:i4>5</vt:i4>
      </vt:variant>
      <vt:variant>
        <vt:lpwstr/>
      </vt:variant>
      <vt:variant>
        <vt:lpwstr>_Appendix_3_–</vt:lpwstr>
      </vt:variant>
      <vt:variant>
        <vt:i4>2097179</vt:i4>
      </vt:variant>
      <vt:variant>
        <vt:i4>2445</vt:i4>
      </vt:variant>
      <vt:variant>
        <vt:i4>0</vt:i4>
      </vt:variant>
      <vt:variant>
        <vt:i4>5</vt:i4>
      </vt:variant>
      <vt:variant>
        <vt:lpwstr/>
      </vt:variant>
      <vt:variant>
        <vt:lpwstr>_Disclosure__and</vt:lpwstr>
      </vt:variant>
      <vt:variant>
        <vt:i4>458787</vt:i4>
      </vt:variant>
      <vt:variant>
        <vt:i4>2442</vt:i4>
      </vt:variant>
      <vt:variant>
        <vt:i4>0</vt:i4>
      </vt:variant>
      <vt:variant>
        <vt:i4>5</vt:i4>
      </vt:variant>
      <vt:variant>
        <vt:lpwstr/>
      </vt:variant>
      <vt:variant>
        <vt:lpwstr>_Planning_for_transplant</vt:lpwstr>
      </vt:variant>
      <vt:variant>
        <vt:i4>2949147</vt:i4>
      </vt:variant>
      <vt:variant>
        <vt:i4>2436</vt:i4>
      </vt:variant>
      <vt:variant>
        <vt:i4>0</vt:i4>
      </vt:variant>
      <vt:variant>
        <vt:i4>5</vt:i4>
      </vt:variant>
      <vt:variant>
        <vt:lpwstr/>
      </vt:variant>
      <vt:variant>
        <vt:lpwstr>_Acceptance_of_transplant</vt:lpwstr>
      </vt:variant>
      <vt:variant>
        <vt:i4>53</vt:i4>
      </vt:variant>
      <vt:variant>
        <vt:i4>2427</vt:i4>
      </vt:variant>
      <vt:variant>
        <vt:i4>0</vt:i4>
      </vt:variant>
      <vt:variant>
        <vt:i4>5</vt:i4>
      </vt:variant>
      <vt:variant>
        <vt:lpwstr/>
      </vt:variant>
      <vt:variant>
        <vt:lpwstr>_Disclosure_and_communication</vt:lpwstr>
      </vt:variant>
      <vt:variant>
        <vt:i4>4390955</vt:i4>
      </vt:variant>
      <vt:variant>
        <vt:i4>2418</vt:i4>
      </vt:variant>
      <vt:variant>
        <vt:i4>0</vt:i4>
      </vt:variant>
      <vt:variant>
        <vt:i4>5</vt:i4>
      </vt:variant>
      <vt:variant>
        <vt:lpwstr/>
      </vt:variant>
      <vt:variant>
        <vt:lpwstr>_Use_of_decision-making</vt:lpwstr>
      </vt:variant>
      <vt:variant>
        <vt:i4>1376289</vt:i4>
      </vt:variant>
      <vt:variant>
        <vt:i4>2415</vt:i4>
      </vt:variant>
      <vt:variant>
        <vt:i4>0</vt:i4>
      </vt:variant>
      <vt:variant>
        <vt:i4>5</vt:i4>
      </vt:variant>
      <vt:variant>
        <vt:lpwstr/>
      </vt:variant>
      <vt:variant>
        <vt:lpwstr>_Factors_potentially_influencing</vt:lpwstr>
      </vt:variant>
      <vt:variant>
        <vt:i4>2621462</vt:i4>
      </vt:variant>
      <vt:variant>
        <vt:i4>2412</vt:i4>
      </vt:variant>
      <vt:variant>
        <vt:i4>0</vt:i4>
      </vt:variant>
      <vt:variant>
        <vt:i4>5</vt:i4>
      </vt:variant>
      <vt:variant>
        <vt:lpwstr/>
      </vt:variant>
      <vt:variant>
        <vt:lpwstr>_Acceptance_of_a</vt:lpwstr>
      </vt:variant>
      <vt:variant>
        <vt:i4>2752527</vt:i4>
      </vt:variant>
      <vt:variant>
        <vt:i4>2409</vt:i4>
      </vt:variant>
      <vt:variant>
        <vt:i4>0</vt:i4>
      </vt:variant>
      <vt:variant>
        <vt:i4>5</vt:i4>
      </vt:variant>
      <vt:variant>
        <vt:lpwstr/>
      </vt:variant>
      <vt:variant>
        <vt:lpwstr>_Transplantation_of_children</vt:lpwstr>
      </vt:variant>
      <vt:variant>
        <vt:i4>655392</vt:i4>
      </vt:variant>
      <vt:variant>
        <vt:i4>2406</vt:i4>
      </vt:variant>
      <vt:variant>
        <vt:i4>0</vt:i4>
      </vt:variant>
      <vt:variant>
        <vt:i4>5</vt:i4>
      </vt:variant>
      <vt:variant>
        <vt:lpwstr/>
      </vt:variant>
      <vt:variant>
        <vt:lpwstr>_Consent_for_transplantation</vt:lpwstr>
      </vt:variant>
      <vt:variant>
        <vt:i4>7077917</vt:i4>
      </vt:variant>
      <vt:variant>
        <vt:i4>2403</vt:i4>
      </vt:variant>
      <vt:variant>
        <vt:i4>0</vt:i4>
      </vt:variant>
      <vt:variant>
        <vt:i4>5</vt:i4>
      </vt:variant>
      <vt:variant>
        <vt:lpwstr/>
      </vt:variant>
      <vt:variant>
        <vt:lpwstr>_Supporting_decision-making_by</vt:lpwstr>
      </vt:variant>
      <vt:variant>
        <vt:i4>2686996</vt:i4>
      </vt:variant>
      <vt:variant>
        <vt:i4>2394</vt:i4>
      </vt:variant>
      <vt:variant>
        <vt:i4>0</vt:i4>
      </vt:variant>
      <vt:variant>
        <vt:i4>5</vt:i4>
      </vt:variant>
      <vt:variant>
        <vt:lpwstr/>
      </vt:variant>
      <vt:variant>
        <vt:lpwstr>_Defining_acceptable_risk</vt:lpwstr>
      </vt:variant>
      <vt:variant>
        <vt:i4>5636184</vt:i4>
      </vt:variant>
      <vt:variant>
        <vt:i4>2388</vt:i4>
      </vt:variant>
      <vt:variant>
        <vt:i4>0</vt:i4>
      </vt:variant>
      <vt:variant>
        <vt:i4>5</vt:i4>
      </vt:variant>
      <vt:variant>
        <vt:lpwstr/>
      </vt:variant>
      <vt:variant>
        <vt:lpwstr>_Glossary_2</vt:lpwstr>
      </vt:variant>
      <vt:variant>
        <vt:i4>7077917</vt:i4>
      </vt:variant>
      <vt:variant>
        <vt:i4>2385</vt:i4>
      </vt:variant>
      <vt:variant>
        <vt:i4>0</vt:i4>
      </vt:variant>
      <vt:variant>
        <vt:i4>5</vt:i4>
      </vt:variant>
      <vt:variant>
        <vt:lpwstr/>
      </vt:variant>
      <vt:variant>
        <vt:lpwstr>_Supporting_decision-making_by</vt:lpwstr>
      </vt:variant>
      <vt:variant>
        <vt:i4>3932229</vt:i4>
      </vt:variant>
      <vt:variant>
        <vt:i4>2376</vt:i4>
      </vt:variant>
      <vt:variant>
        <vt:i4>0</vt:i4>
      </vt:variant>
      <vt:variant>
        <vt:i4>5</vt:i4>
      </vt:variant>
      <vt:variant>
        <vt:lpwstr/>
      </vt:variant>
      <vt:variant>
        <vt:lpwstr>_Re-evaluating_suitability_for</vt:lpwstr>
      </vt:variant>
      <vt:variant>
        <vt:i4>2424849</vt:i4>
      </vt:variant>
      <vt:variant>
        <vt:i4>2373</vt:i4>
      </vt:variant>
      <vt:variant>
        <vt:i4>0</vt:i4>
      </vt:variant>
      <vt:variant>
        <vt:i4>5</vt:i4>
      </vt:variant>
      <vt:variant>
        <vt:lpwstr/>
      </vt:variant>
      <vt:variant>
        <vt:lpwstr>_International_travel_for</vt:lpwstr>
      </vt:variant>
      <vt:variant>
        <vt:i4>1245311</vt:i4>
      </vt:variant>
      <vt:variant>
        <vt:i4>2370</vt:i4>
      </vt:variant>
      <vt:variant>
        <vt:i4>0</vt:i4>
      </vt:variant>
      <vt:variant>
        <vt:i4>5</vt:i4>
      </vt:variant>
      <vt:variant>
        <vt:lpwstr/>
      </vt:variant>
      <vt:variant>
        <vt:lpwstr>_Holistic_and_person-centred</vt:lpwstr>
      </vt:variant>
      <vt:variant>
        <vt:i4>524331</vt:i4>
      </vt:variant>
      <vt:variant>
        <vt:i4>2367</vt:i4>
      </vt:variant>
      <vt:variant>
        <vt:i4>0</vt:i4>
      </vt:variant>
      <vt:variant>
        <vt:i4>5</vt:i4>
      </vt:variant>
      <vt:variant>
        <vt:lpwstr/>
      </vt:variant>
      <vt:variant>
        <vt:lpwstr>_Promoting_objectivity_in</vt:lpwstr>
      </vt:variant>
      <vt:variant>
        <vt:i4>1966135</vt:i4>
      </vt:variant>
      <vt:variant>
        <vt:i4>2361</vt:i4>
      </vt:variant>
      <vt:variant>
        <vt:i4>0</vt:i4>
      </vt:variant>
      <vt:variant>
        <vt:i4>5</vt:i4>
      </vt:variant>
      <vt:variant>
        <vt:lpwstr/>
      </vt:variant>
      <vt:variant>
        <vt:lpwstr>_Assessment_for_organ</vt:lpwstr>
      </vt:variant>
      <vt:variant>
        <vt:i4>6422623</vt:i4>
      </vt:variant>
      <vt:variant>
        <vt:i4>2358</vt:i4>
      </vt:variant>
      <vt:variant>
        <vt:i4>0</vt:i4>
      </vt:variant>
      <vt:variant>
        <vt:i4>5</vt:i4>
      </vt:variant>
      <vt:variant>
        <vt:lpwstr/>
      </vt:variant>
      <vt:variant>
        <vt:lpwstr>_Evaluating_proportionality_of</vt:lpwstr>
      </vt:variant>
      <vt:variant>
        <vt:i4>2293784</vt:i4>
      </vt:variant>
      <vt:variant>
        <vt:i4>2355</vt:i4>
      </vt:variant>
      <vt:variant>
        <vt:i4>0</vt:i4>
      </vt:variant>
      <vt:variant>
        <vt:i4>5</vt:i4>
      </vt:variant>
      <vt:variant>
        <vt:lpwstr/>
      </vt:variant>
      <vt:variant>
        <vt:lpwstr>_Recipient_evaluation_of</vt:lpwstr>
      </vt:variant>
      <vt:variant>
        <vt:i4>4718693</vt:i4>
      </vt:variant>
      <vt:variant>
        <vt:i4>2352</vt:i4>
      </vt:variant>
      <vt:variant>
        <vt:i4>0</vt:i4>
      </vt:variant>
      <vt:variant>
        <vt:i4>5</vt:i4>
      </vt:variant>
      <vt:variant>
        <vt:lpwstr/>
      </vt:variant>
      <vt:variant>
        <vt:lpwstr>_Approach_to_substitute</vt:lpwstr>
      </vt:variant>
      <vt:variant>
        <vt:i4>4915200</vt:i4>
      </vt:variant>
      <vt:variant>
        <vt:i4>2346</vt:i4>
      </vt:variant>
      <vt:variant>
        <vt:i4>0</vt:i4>
      </vt:variant>
      <vt:variant>
        <vt:i4>5</vt:i4>
      </vt:variant>
      <vt:variant>
        <vt:lpwstr/>
      </vt:variant>
      <vt:variant>
        <vt:lpwstr>_Pre-mortem_interventions_for_1</vt:lpwstr>
      </vt:variant>
      <vt:variant>
        <vt:i4>1835067</vt:i4>
      </vt:variant>
      <vt:variant>
        <vt:i4>2340</vt:i4>
      </vt:variant>
      <vt:variant>
        <vt:i4>0</vt:i4>
      </vt:variant>
      <vt:variant>
        <vt:i4>5</vt:i4>
      </vt:variant>
      <vt:variant>
        <vt:lpwstr/>
      </vt:variant>
      <vt:variant>
        <vt:lpwstr>_Assessing_proportionality_in</vt:lpwstr>
      </vt:variant>
      <vt:variant>
        <vt:i4>8257591</vt:i4>
      </vt:variant>
      <vt:variant>
        <vt:i4>2337</vt:i4>
      </vt:variant>
      <vt:variant>
        <vt:i4>0</vt:i4>
      </vt:variant>
      <vt:variant>
        <vt:i4>5</vt:i4>
      </vt:variant>
      <vt:variant>
        <vt:lpwstr/>
      </vt:variant>
      <vt:variant>
        <vt:lpwstr>_Consent_in_living_3</vt:lpwstr>
      </vt:variant>
      <vt:variant>
        <vt:i4>5636184</vt:i4>
      </vt:variant>
      <vt:variant>
        <vt:i4>2331</vt:i4>
      </vt:variant>
      <vt:variant>
        <vt:i4>0</vt:i4>
      </vt:variant>
      <vt:variant>
        <vt:i4>5</vt:i4>
      </vt:variant>
      <vt:variant>
        <vt:lpwstr/>
      </vt:variant>
      <vt:variant>
        <vt:lpwstr>_Glossary_2</vt:lpwstr>
      </vt:variant>
      <vt:variant>
        <vt:i4>1572920</vt:i4>
      </vt:variant>
      <vt:variant>
        <vt:i4>2325</vt:i4>
      </vt:variant>
      <vt:variant>
        <vt:i4>0</vt:i4>
      </vt:variant>
      <vt:variant>
        <vt:i4>5</vt:i4>
      </vt:variant>
      <vt:variant>
        <vt:lpwstr/>
      </vt:variant>
      <vt:variant>
        <vt:lpwstr>_Assessing_risks_and</vt:lpwstr>
      </vt:variant>
      <vt:variant>
        <vt:i4>1835067</vt:i4>
      </vt:variant>
      <vt:variant>
        <vt:i4>2313</vt:i4>
      </vt:variant>
      <vt:variant>
        <vt:i4>0</vt:i4>
      </vt:variant>
      <vt:variant>
        <vt:i4>5</vt:i4>
      </vt:variant>
      <vt:variant>
        <vt:lpwstr/>
      </vt:variant>
      <vt:variant>
        <vt:lpwstr>_Assessing_proportionality_in</vt:lpwstr>
      </vt:variant>
      <vt:variant>
        <vt:i4>1835067</vt:i4>
      </vt:variant>
      <vt:variant>
        <vt:i4>2310</vt:i4>
      </vt:variant>
      <vt:variant>
        <vt:i4>0</vt:i4>
      </vt:variant>
      <vt:variant>
        <vt:i4>5</vt:i4>
      </vt:variant>
      <vt:variant>
        <vt:lpwstr/>
      </vt:variant>
      <vt:variant>
        <vt:lpwstr>_Assessing_proportionality_in</vt:lpwstr>
      </vt:variant>
      <vt:variant>
        <vt:i4>3145729</vt:i4>
      </vt:variant>
      <vt:variant>
        <vt:i4>2307</vt:i4>
      </vt:variant>
      <vt:variant>
        <vt:i4>0</vt:i4>
      </vt:variant>
      <vt:variant>
        <vt:i4>5</vt:i4>
      </vt:variant>
      <vt:variant>
        <vt:lpwstr/>
      </vt:variant>
      <vt:variant>
        <vt:lpwstr>_Selecting_from_multiple</vt:lpwstr>
      </vt:variant>
      <vt:variant>
        <vt:i4>5046299</vt:i4>
      </vt:variant>
      <vt:variant>
        <vt:i4>2295</vt:i4>
      </vt:variant>
      <vt:variant>
        <vt:i4>0</vt:i4>
      </vt:variant>
      <vt:variant>
        <vt:i4>5</vt:i4>
      </vt:variant>
      <vt:variant>
        <vt:lpwstr>C:\Users\martindo\Desktop\dead</vt:lpwstr>
      </vt:variant>
      <vt:variant>
        <vt:lpwstr>_Understanding_the_</vt:lpwstr>
      </vt:variant>
      <vt:variant>
        <vt:i4>1835067</vt:i4>
      </vt:variant>
      <vt:variant>
        <vt:i4>2292</vt:i4>
      </vt:variant>
      <vt:variant>
        <vt:i4>0</vt:i4>
      </vt:variant>
      <vt:variant>
        <vt:i4>5</vt:i4>
      </vt:variant>
      <vt:variant>
        <vt:lpwstr/>
      </vt:variant>
      <vt:variant>
        <vt:lpwstr>_Assessing_proportionality_in</vt:lpwstr>
      </vt:variant>
      <vt:variant>
        <vt:i4>4915231</vt:i4>
      </vt:variant>
      <vt:variant>
        <vt:i4>2289</vt:i4>
      </vt:variant>
      <vt:variant>
        <vt:i4>0</vt:i4>
      </vt:variant>
      <vt:variant>
        <vt:i4>5</vt:i4>
      </vt:variant>
      <vt:variant>
        <vt:lpwstr/>
      </vt:variant>
      <vt:variant>
        <vt:lpwstr>_Shared_decision-making</vt:lpwstr>
      </vt:variant>
      <vt:variant>
        <vt:i4>1966116</vt:i4>
      </vt:variant>
      <vt:variant>
        <vt:i4>2286</vt:i4>
      </vt:variant>
      <vt:variant>
        <vt:i4>0</vt:i4>
      </vt:variant>
      <vt:variant>
        <vt:i4>5</vt:i4>
      </vt:variant>
      <vt:variant>
        <vt:lpwstr/>
      </vt:variant>
      <vt:variant>
        <vt:lpwstr>_Legislation</vt:lpwstr>
      </vt:variant>
      <vt:variant>
        <vt:i4>1835067</vt:i4>
      </vt:variant>
      <vt:variant>
        <vt:i4>2283</vt:i4>
      </vt:variant>
      <vt:variant>
        <vt:i4>0</vt:i4>
      </vt:variant>
      <vt:variant>
        <vt:i4>5</vt:i4>
      </vt:variant>
      <vt:variant>
        <vt:lpwstr/>
      </vt:variant>
      <vt:variant>
        <vt:lpwstr>_Assessing_proportionality_in</vt:lpwstr>
      </vt:variant>
      <vt:variant>
        <vt:i4>7209043</vt:i4>
      </vt:variant>
      <vt:variant>
        <vt:i4>2280</vt:i4>
      </vt:variant>
      <vt:variant>
        <vt:i4>0</vt:i4>
      </vt:variant>
      <vt:variant>
        <vt:i4>5</vt:i4>
      </vt:variant>
      <vt:variant>
        <vt:lpwstr/>
      </vt:variant>
      <vt:variant>
        <vt:lpwstr>_Assessing_necessity_of</vt:lpwstr>
      </vt:variant>
      <vt:variant>
        <vt:i4>2686996</vt:i4>
      </vt:variant>
      <vt:variant>
        <vt:i4>2277</vt:i4>
      </vt:variant>
      <vt:variant>
        <vt:i4>0</vt:i4>
      </vt:variant>
      <vt:variant>
        <vt:i4>5</vt:i4>
      </vt:variant>
      <vt:variant>
        <vt:lpwstr/>
      </vt:variant>
      <vt:variant>
        <vt:lpwstr>_Defining_acceptable_risk</vt:lpwstr>
      </vt:variant>
      <vt:variant>
        <vt:i4>2687095</vt:i4>
      </vt:variant>
      <vt:variant>
        <vt:i4>2268</vt:i4>
      </vt:variant>
      <vt:variant>
        <vt:i4>0</vt:i4>
      </vt:variant>
      <vt:variant>
        <vt:i4>5</vt:i4>
      </vt:variant>
      <vt:variant>
        <vt:lpwstr/>
      </vt:variant>
      <vt:variant>
        <vt:lpwstr>_Misattributed_genetic_relationships_1</vt:lpwstr>
      </vt:variant>
      <vt:variant>
        <vt:i4>4063260</vt:i4>
      </vt:variant>
      <vt:variant>
        <vt:i4>2250</vt:i4>
      </vt:variant>
      <vt:variant>
        <vt:i4>0</vt:i4>
      </vt:variant>
      <vt:variant>
        <vt:i4>5</vt:i4>
      </vt:variant>
      <vt:variant>
        <vt:lpwstr/>
      </vt:variant>
      <vt:variant>
        <vt:lpwstr>_Equity_in_opportunities</vt:lpwstr>
      </vt:variant>
      <vt:variant>
        <vt:i4>8323161</vt:i4>
      </vt:variant>
      <vt:variant>
        <vt:i4>2247</vt:i4>
      </vt:variant>
      <vt:variant>
        <vt:i4>0</vt:i4>
      </vt:variant>
      <vt:variant>
        <vt:i4>5</vt:i4>
      </vt:variant>
      <vt:variant>
        <vt:lpwstr/>
      </vt:variant>
      <vt:variant>
        <vt:lpwstr>_Therapeutics_Goods_Administration</vt:lpwstr>
      </vt:variant>
      <vt:variant>
        <vt:i4>5111922</vt:i4>
      </vt:variant>
      <vt:variant>
        <vt:i4>2244</vt:i4>
      </vt:variant>
      <vt:variant>
        <vt:i4>0</vt:i4>
      </vt:variant>
      <vt:variant>
        <vt:i4>5</vt:i4>
      </vt:variant>
      <vt:variant>
        <vt:lpwstr/>
      </vt:variant>
      <vt:variant>
        <vt:lpwstr>_Risk_acceptance_in</vt:lpwstr>
      </vt:variant>
      <vt:variant>
        <vt:i4>4194422</vt:i4>
      </vt:variant>
      <vt:variant>
        <vt:i4>2241</vt:i4>
      </vt:variant>
      <vt:variant>
        <vt:i4>0</vt:i4>
      </vt:variant>
      <vt:variant>
        <vt:i4>5</vt:i4>
      </vt:variant>
      <vt:variant>
        <vt:lpwstr/>
      </vt:variant>
      <vt:variant>
        <vt:lpwstr>_Living_donation_by</vt:lpwstr>
      </vt:variant>
      <vt:variant>
        <vt:i4>524331</vt:i4>
      </vt:variant>
      <vt:variant>
        <vt:i4>2238</vt:i4>
      </vt:variant>
      <vt:variant>
        <vt:i4>0</vt:i4>
      </vt:variant>
      <vt:variant>
        <vt:i4>5</vt:i4>
      </vt:variant>
      <vt:variant>
        <vt:lpwstr/>
      </vt:variant>
      <vt:variant>
        <vt:lpwstr>_Promoting_objectivity_in</vt:lpwstr>
      </vt:variant>
      <vt:variant>
        <vt:i4>3670018</vt:i4>
      </vt:variant>
      <vt:variant>
        <vt:i4>2235</vt:i4>
      </vt:variant>
      <vt:variant>
        <vt:i4>0</vt:i4>
      </vt:variant>
      <vt:variant>
        <vt:i4>5</vt:i4>
      </vt:variant>
      <vt:variant>
        <vt:lpwstr/>
      </vt:variant>
      <vt:variant>
        <vt:lpwstr>_Duty_of_care</vt:lpwstr>
      </vt:variant>
      <vt:variant>
        <vt:i4>196651</vt:i4>
      </vt:variant>
      <vt:variant>
        <vt:i4>2229</vt:i4>
      </vt:variant>
      <vt:variant>
        <vt:i4>0</vt:i4>
      </vt:variant>
      <vt:variant>
        <vt:i4>5</vt:i4>
      </vt:variant>
      <vt:variant>
        <vt:lpwstr/>
      </vt:variant>
      <vt:variant>
        <vt:lpwstr>_Misconceptions_regarding_the</vt:lpwstr>
      </vt:variant>
      <vt:variant>
        <vt:i4>5046389</vt:i4>
      </vt:variant>
      <vt:variant>
        <vt:i4>2223</vt:i4>
      </vt:variant>
      <vt:variant>
        <vt:i4>0</vt:i4>
      </vt:variant>
      <vt:variant>
        <vt:i4>5</vt:i4>
      </vt:variant>
      <vt:variant>
        <vt:lpwstr/>
      </vt:variant>
      <vt:variant>
        <vt:lpwstr>_Limits_of_risk</vt:lpwstr>
      </vt:variant>
      <vt:variant>
        <vt:i4>7012433</vt:i4>
      </vt:variant>
      <vt:variant>
        <vt:i4>2220</vt:i4>
      </vt:variant>
      <vt:variant>
        <vt:i4>0</vt:i4>
      </vt:variant>
      <vt:variant>
        <vt:i4>5</vt:i4>
      </vt:variant>
      <vt:variant>
        <vt:lpwstr/>
      </vt:variant>
      <vt:variant>
        <vt:lpwstr>_Balancing_quality_and</vt:lpwstr>
      </vt:variant>
      <vt:variant>
        <vt:i4>4325493</vt:i4>
      </vt:variant>
      <vt:variant>
        <vt:i4>2217</vt:i4>
      </vt:variant>
      <vt:variant>
        <vt:i4>0</vt:i4>
      </vt:variant>
      <vt:variant>
        <vt:i4>5</vt:i4>
      </vt:variant>
      <vt:variant>
        <vt:lpwstr/>
      </vt:variant>
      <vt:variant>
        <vt:lpwstr>_Withdrawal_of_consent</vt:lpwstr>
      </vt:variant>
      <vt:variant>
        <vt:i4>5636184</vt:i4>
      </vt:variant>
      <vt:variant>
        <vt:i4>2214</vt:i4>
      </vt:variant>
      <vt:variant>
        <vt:i4>0</vt:i4>
      </vt:variant>
      <vt:variant>
        <vt:i4>5</vt:i4>
      </vt:variant>
      <vt:variant>
        <vt:lpwstr/>
      </vt:variant>
      <vt:variant>
        <vt:lpwstr>_Glossary_2</vt:lpwstr>
      </vt:variant>
      <vt:variant>
        <vt:i4>3538957</vt:i4>
      </vt:variant>
      <vt:variant>
        <vt:i4>2208</vt:i4>
      </vt:variant>
      <vt:variant>
        <vt:i4>0</vt:i4>
      </vt:variant>
      <vt:variant>
        <vt:i4>5</vt:i4>
      </vt:variant>
      <vt:variant>
        <vt:lpwstr/>
      </vt:variant>
      <vt:variant>
        <vt:lpwstr>_The_role_of</vt:lpwstr>
      </vt:variant>
      <vt:variant>
        <vt:i4>3538957</vt:i4>
      </vt:variant>
      <vt:variant>
        <vt:i4>2205</vt:i4>
      </vt:variant>
      <vt:variant>
        <vt:i4>0</vt:i4>
      </vt:variant>
      <vt:variant>
        <vt:i4>5</vt:i4>
      </vt:variant>
      <vt:variant>
        <vt:lpwstr/>
      </vt:variant>
      <vt:variant>
        <vt:lpwstr>_The_role_of</vt:lpwstr>
      </vt:variant>
      <vt:variant>
        <vt:i4>3670018</vt:i4>
      </vt:variant>
      <vt:variant>
        <vt:i4>2193</vt:i4>
      </vt:variant>
      <vt:variant>
        <vt:i4>0</vt:i4>
      </vt:variant>
      <vt:variant>
        <vt:i4>5</vt:i4>
      </vt:variant>
      <vt:variant>
        <vt:lpwstr/>
      </vt:variant>
      <vt:variant>
        <vt:lpwstr>_Duty_of_care</vt:lpwstr>
      </vt:variant>
      <vt:variant>
        <vt:i4>5242987</vt:i4>
      </vt:variant>
      <vt:variant>
        <vt:i4>2190</vt:i4>
      </vt:variant>
      <vt:variant>
        <vt:i4>0</vt:i4>
      </vt:variant>
      <vt:variant>
        <vt:i4>5</vt:i4>
      </vt:variant>
      <vt:variant>
        <vt:lpwstr/>
      </vt:variant>
      <vt:variant>
        <vt:lpwstr>_Care_of_donors</vt:lpwstr>
      </vt:variant>
      <vt:variant>
        <vt:i4>3276833</vt:i4>
      </vt:variant>
      <vt:variant>
        <vt:i4>2187</vt:i4>
      </vt:variant>
      <vt:variant>
        <vt:i4>0</vt:i4>
      </vt:variant>
      <vt:variant>
        <vt:i4>5</vt:i4>
      </vt:variant>
      <vt:variant>
        <vt:lpwstr>http://www.ebaanz.org/</vt:lpwstr>
      </vt:variant>
      <vt:variant>
        <vt:lpwstr/>
      </vt:variant>
      <vt:variant>
        <vt:i4>4784215</vt:i4>
      </vt:variant>
      <vt:variant>
        <vt:i4>2184</vt:i4>
      </vt:variant>
      <vt:variant>
        <vt:i4>0</vt:i4>
      </vt:variant>
      <vt:variant>
        <vt:i4>5</vt:i4>
      </vt:variant>
      <vt:variant>
        <vt:lpwstr>https://www.abmdr.org.au/</vt:lpwstr>
      </vt:variant>
      <vt:variant>
        <vt:lpwstr/>
      </vt:variant>
      <vt:variant>
        <vt:i4>3014691</vt:i4>
      </vt:variant>
      <vt:variant>
        <vt:i4>2181</vt:i4>
      </vt:variant>
      <vt:variant>
        <vt:i4>0</vt:i4>
      </vt:variant>
      <vt:variant>
        <vt:i4>5</vt:i4>
      </vt:variant>
      <vt:variant>
        <vt:lpwstr>https://transplant.org.au/</vt:lpwstr>
      </vt:variant>
      <vt:variant>
        <vt:lpwstr/>
      </vt:variant>
      <vt:variant>
        <vt:i4>1704005</vt:i4>
      </vt:variant>
      <vt:variant>
        <vt:i4>2178</vt:i4>
      </vt:variant>
      <vt:variant>
        <vt:i4>0</vt:i4>
      </vt:variant>
      <vt:variant>
        <vt:i4>5</vt:i4>
      </vt:variant>
      <vt:variant>
        <vt:lpwstr>https://donatelife.gov.au/about-donation</vt:lpwstr>
      </vt:variant>
      <vt:variant>
        <vt:lpwstr/>
      </vt:variant>
      <vt:variant>
        <vt:i4>1441893</vt:i4>
      </vt:variant>
      <vt:variant>
        <vt:i4>2175</vt:i4>
      </vt:variant>
      <vt:variant>
        <vt:i4>0</vt:i4>
      </vt:variant>
      <vt:variant>
        <vt:i4>5</vt:i4>
      </vt:variant>
      <vt:variant>
        <vt:lpwstr/>
      </vt:variant>
      <vt:variant>
        <vt:lpwstr>_Appendix_3_–</vt:lpwstr>
      </vt:variant>
      <vt:variant>
        <vt:i4>3080214</vt:i4>
      </vt:variant>
      <vt:variant>
        <vt:i4>2172</vt:i4>
      </vt:variant>
      <vt:variant>
        <vt:i4>0</vt:i4>
      </vt:variant>
      <vt:variant>
        <vt:i4>5</vt:i4>
      </vt:variant>
      <vt:variant>
        <vt:lpwstr/>
      </vt:variant>
      <vt:variant>
        <vt:lpwstr>_Promotion_of_the</vt:lpwstr>
      </vt:variant>
      <vt:variant>
        <vt:i4>6881365</vt:i4>
      </vt:variant>
      <vt:variant>
        <vt:i4>2169</vt:i4>
      </vt:variant>
      <vt:variant>
        <vt:i4>0</vt:i4>
      </vt:variant>
      <vt:variant>
        <vt:i4>5</vt:i4>
      </vt:variant>
      <vt:variant>
        <vt:lpwstr/>
      </vt:variant>
      <vt:variant>
        <vt:lpwstr>_Information_and_understanding</vt:lpwstr>
      </vt:variant>
      <vt:variant>
        <vt:i4>720945</vt:i4>
      </vt:variant>
      <vt:variant>
        <vt:i4>2166</vt:i4>
      </vt:variant>
      <vt:variant>
        <vt:i4>0</vt:i4>
      </vt:variant>
      <vt:variant>
        <vt:i4>5</vt:i4>
      </vt:variant>
      <vt:variant>
        <vt:lpwstr/>
      </vt:variant>
      <vt:variant>
        <vt:lpwstr>_Consent_for_deceased</vt:lpwstr>
      </vt:variant>
      <vt:variant>
        <vt:i4>589881</vt:i4>
      </vt:variant>
      <vt:variant>
        <vt:i4>2163</vt:i4>
      </vt:variant>
      <vt:variant>
        <vt:i4>0</vt:i4>
      </vt:variant>
      <vt:variant>
        <vt:i4>5</vt:i4>
      </vt:variant>
      <vt:variant>
        <vt:lpwstr/>
      </vt:variant>
      <vt:variant>
        <vt:lpwstr>_Legal_aspects_of</vt:lpwstr>
      </vt:variant>
      <vt:variant>
        <vt:i4>3080207</vt:i4>
      </vt:variant>
      <vt:variant>
        <vt:i4>2160</vt:i4>
      </vt:variant>
      <vt:variant>
        <vt:i4>0</vt:i4>
      </vt:variant>
      <vt:variant>
        <vt:i4>5</vt:i4>
      </vt:variant>
      <vt:variant>
        <vt:lpwstr/>
      </vt:variant>
      <vt:variant>
        <vt:lpwstr>_Management_of_conflicts</vt:lpwstr>
      </vt:variant>
      <vt:variant>
        <vt:i4>1966116</vt:i4>
      </vt:variant>
      <vt:variant>
        <vt:i4>2157</vt:i4>
      </vt:variant>
      <vt:variant>
        <vt:i4>0</vt:i4>
      </vt:variant>
      <vt:variant>
        <vt:i4>5</vt:i4>
      </vt:variant>
      <vt:variant>
        <vt:lpwstr/>
      </vt:variant>
      <vt:variant>
        <vt:lpwstr>_Legislation</vt:lpwstr>
      </vt:variant>
      <vt:variant>
        <vt:i4>3538957</vt:i4>
      </vt:variant>
      <vt:variant>
        <vt:i4>2154</vt:i4>
      </vt:variant>
      <vt:variant>
        <vt:i4>0</vt:i4>
      </vt:variant>
      <vt:variant>
        <vt:i4>5</vt:i4>
      </vt:variant>
      <vt:variant>
        <vt:lpwstr/>
      </vt:variant>
      <vt:variant>
        <vt:lpwstr>_The_role_of</vt:lpwstr>
      </vt:variant>
      <vt:variant>
        <vt:i4>1572934</vt:i4>
      </vt:variant>
      <vt:variant>
        <vt:i4>2151</vt:i4>
      </vt:variant>
      <vt:variant>
        <vt:i4>0</vt:i4>
      </vt:variant>
      <vt:variant>
        <vt:i4>5</vt:i4>
      </vt:variant>
      <vt:variant>
        <vt:lpwstr/>
      </vt:variant>
      <vt:variant>
        <vt:lpwstr>_Assessment_of_risks_1</vt:lpwstr>
      </vt:variant>
      <vt:variant>
        <vt:i4>131122</vt:i4>
      </vt:variant>
      <vt:variant>
        <vt:i4>2148</vt:i4>
      </vt:variant>
      <vt:variant>
        <vt:i4>0</vt:i4>
      </vt:variant>
      <vt:variant>
        <vt:i4>5</vt:i4>
      </vt:variant>
      <vt:variant>
        <vt:lpwstr/>
      </vt:variant>
      <vt:variant>
        <vt:lpwstr>_Children_who_may</vt:lpwstr>
      </vt:variant>
      <vt:variant>
        <vt:i4>3080217</vt:i4>
      </vt:variant>
      <vt:variant>
        <vt:i4>2145</vt:i4>
      </vt:variant>
      <vt:variant>
        <vt:i4>0</vt:i4>
      </vt:variant>
      <vt:variant>
        <vt:i4>5</vt:i4>
      </vt:variant>
      <vt:variant>
        <vt:lpwstr/>
      </vt:variant>
      <vt:variant>
        <vt:lpwstr>_Involvement_of_children</vt:lpwstr>
      </vt:variant>
      <vt:variant>
        <vt:i4>4259962</vt:i4>
      </vt:variant>
      <vt:variant>
        <vt:i4>2142</vt:i4>
      </vt:variant>
      <vt:variant>
        <vt:i4>0</vt:i4>
      </vt:variant>
      <vt:variant>
        <vt:i4>5</vt:i4>
      </vt:variant>
      <vt:variant>
        <vt:lpwstr/>
      </vt:variant>
      <vt:variant>
        <vt:lpwstr>_The_importance_of</vt:lpwstr>
      </vt:variant>
      <vt:variant>
        <vt:i4>6225924</vt:i4>
      </vt:variant>
      <vt:variant>
        <vt:i4>2139</vt:i4>
      </vt:variant>
      <vt:variant>
        <vt:i4>0</vt:i4>
      </vt:variant>
      <vt:variant>
        <vt:i4>5</vt:i4>
      </vt:variant>
      <vt:variant>
        <vt:lpwstr/>
      </vt:variant>
      <vt:variant>
        <vt:lpwstr>_Evaluating_potential_benefits_1</vt:lpwstr>
      </vt:variant>
      <vt:variant>
        <vt:i4>6225924</vt:i4>
      </vt:variant>
      <vt:variant>
        <vt:i4>2136</vt:i4>
      </vt:variant>
      <vt:variant>
        <vt:i4>0</vt:i4>
      </vt:variant>
      <vt:variant>
        <vt:i4>5</vt:i4>
      </vt:variant>
      <vt:variant>
        <vt:lpwstr/>
      </vt:variant>
      <vt:variant>
        <vt:lpwstr>_Evaluating_potential_benefits_1</vt:lpwstr>
      </vt:variant>
      <vt:variant>
        <vt:i4>1769494</vt:i4>
      </vt:variant>
      <vt:variant>
        <vt:i4>2133</vt:i4>
      </vt:variant>
      <vt:variant>
        <vt:i4>0</vt:i4>
      </vt:variant>
      <vt:variant>
        <vt:i4>5</vt:i4>
      </vt:variant>
      <vt:variant>
        <vt:lpwstr/>
      </vt:variant>
      <vt:variant>
        <vt:lpwstr>_Acknowledging_donors</vt:lpwstr>
      </vt:variant>
      <vt:variant>
        <vt:i4>6029419</vt:i4>
      </vt:variant>
      <vt:variant>
        <vt:i4>2130</vt:i4>
      </vt:variant>
      <vt:variant>
        <vt:i4>0</vt:i4>
      </vt:variant>
      <vt:variant>
        <vt:i4>5</vt:i4>
      </vt:variant>
      <vt:variant>
        <vt:lpwstr/>
      </vt:variant>
      <vt:variant>
        <vt:lpwstr>_Care_of_living</vt:lpwstr>
      </vt:variant>
      <vt:variant>
        <vt:i4>3997723</vt:i4>
      </vt:variant>
      <vt:variant>
        <vt:i4>2124</vt:i4>
      </vt:variant>
      <vt:variant>
        <vt:i4>0</vt:i4>
      </vt:variant>
      <vt:variant>
        <vt:i4>5</vt:i4>
      </vt:variant>
      <vt:variant>
        <vt:lpwstr/>
      </vt:variant>
      <vt:variant>
        <vt:lpwstr>_Human_tissue_legislation</vt:lpwstr>
      </vt:variant>
      <vt:variant>
        <vt:i4>6815768</vt:i4>
      </vt:variant>
      <vt:variant>
        <vt:i4>2121</vt:i4>
      </vt:variant>
      <vt:variant>
        <vt:i4>0</vt:i4>
      </vt:variant>
      <vt:variant>
        <vt:i4>5</vt:i4>
      </vt:variant>
      <vt:variant>
        <vt:lpwstr/>
      </vt:variant>
      <vt:variant>
        <vt:lpwstr>_Substitute_decision-making_and</vt:lpwstr>
      </vt:variant>
      <vt:variant>
        <vt:i4>6750235</vt:i4>
      </vt:variant>
      <vt:variant>
        <vt:i4>2118</vt:i4>
      </vt:variant>
      <vt:variant>
        <vt:i4>0</vt:i4>
      </vt:variant>
      <vt:variant>
        <vt:i4>5</vt:i4>
      </vt:variant>
      <vt:variant>
        <vt:lpwstr/>
      </vt:variant>
      <vt:variant>
        <vt:lpwstr>_Adults_lacking_decision-making</vt:lpwstr>
      </vt:variant>
      <vt:variant>
        <vt:i4>2359409</vt:i4>
      </vt:variant>
      <vt:variant>
        <vt:i4>2106</vt:i4>
      </vt:variant>
      <vt:variant>
        <vt:i4>0</vt:i4>
      </vt:variant>
      <vt:variant>
        <vt:i4>5</vt:i4>
      </vt:variant>
      <vt:variant>
        <vt:lpwstr/>
      </vt:variant>
      <vt:variant>
        <vt:lpwstr>_Respect_for_the_1</vt:lpwstr>
      </vt:variant>
      <vt:variant>
        <vt:i4>1769494</vt:i4>
      </vt:variant>
      <vt:variant>
        <vt:i4>2103</vt:i4>
      </vt:variant>
      <vt:variant>
        <vt:i4>0</vt:i4>
      </vt:variant>
      <vt:variant>
        <vt:i4>5</vt:i4>
      </vt:variant>
      <vt:variant>
        <vt:lpwstr/>
      </vt:variant>
      <vt:variant>
        <vt:lpwstr>_Acknowledging_donors</vt:lpwstr>
      </vt:variant>
      <vt:variant>
        <vt:i4>5046389</vt:i4>
      </vt:variant>
      <vt:variant>
        <vt:i4>2100</vt:i4>
      </vt:variant>
      <vt:variant>
        <vt:i4>0</vt:i4>
      </vt:variant>
      <vt:variant>
        <vt:i4>5</vt:i4>
      </vt:variant>
      <vt:variant>
        <vt:lpwstr/>
      </vt:variant>
      <vt:variant>
        <vt:lpwstr>_Limits_of_risk</vt:lpwstr>
      </vt:variant>
      <vt:variant>
        <vt:i4>5636184</vt:i4>
      </vt:variant>
      <vt:variant>
        <vt:i4>2097</vt:i4>
      </vt:variant>
      <vt:variant>
        <vt:i4>0</vt:i4>
      </vt:variant>
      <vt:variant>
        <vt:i4>5</vt:i4>
      </vt:variant>
      <vt:variant>
        <vt:lpwstr/>
      </vt:variant>
      <vt:variant>
        <vt:lpwstr>_Glossary_2</vt:lpwstr>
      </vt:variant>
      <vt:variant>
        <vt:i4>6815859</vt:i4>
      </vt:variant>
      <vt:variant>
        <vt:i4>2094</vt:i4>
      </vt:variant>
      <vt:variant>
        <vt:i4>0</vt:i4>
      </vt:variant>
      <vt:variant>
        <vt:i4>5</vt:i4>
      </vt:variant>
      <vt:variant>
        <vt:lpwstr/>
      </vt:variant>
      <vt:variant>
        <vt:lpwstr>_Mechanisms_of_substitute_1</vt:lpwstr>
      </vt:variant>
      <vt:variant>
        <vt:i4>6815859</vt:i4>
      </vt:variant>
      <vt:variant>
        <vt:i4>2091</vt:i4>
      </vt:variant>
      <vt:variant>
        <vt:i4>0</vt:i4>
      </vt:variant>
      <vt:variant>
        <vt:i4>5</vt:i4>
      </vt:variant>
      <vt:variant>
        <vt:lpwstr/>
      </vt:variant>
      <vt:variant>
        <vt:lpwstr>_Mechanisms_of_substitute_1</vt:lpwstr>
      </vt:variant>
      <vt:variant>
        <vt:i4>6750235</vt:i4>
      </vt:variant>
      <vt:variant>
        <vt:i4>2088</vt:i4>
      </vt:variant>
      <vt:variant>
        <vt:i4>0</vt:i4>
      </vt:variant>
      <vt:variant>
        <vt:i4>5</vt:i4>
      </vt:variant>
      <vt:variant>
        <vt:lpwstr/>
      </vt:variant>
      <vt:variant>
        <vt:lpwstr>_Adults_lacking_decision-making</vt:lpwstr>
      </vt:variant>
      <vt:variant>
        <vt:i4>524331</vt:i4>
      </vt:variant>
      <vt:variant>
        <vt:i4>2085</vt:i4>
      </vt:variant>
      <vt:variant>
        <vt:i4>0</vt:i4>
      </vt:variant>
      <vt:variant>
        <vt:i4>5</vt:i4>
      </vt:variant>
      <vt:variant>
        <vt:lpwstr/>
      </vt:variant>
      <vt:variant>
        <vt:lpwstr>_Promoting_objectivity_in</vt:lpwstr>
      </vt:variant>
      <vt:variant>
        <vt:i4>6815766</vt:i4>
      </vt:variant>
      <vt:variant>
        <vt:i4>2082</vt:i4>
      </vt:variant>
      <vt:variant>
        <vt:i4>0</vt:i4>
      </vt:variant>
      <vt:variant>
        <vt:i4>5</vt:i4>
      </vt:variant>
      <vt:variant>
        <vt:lpwstr/>
      </vt:variant>
      <vt:variant>
        <vt:lpwstr>_Substitute_decision-making_on</vt:lpwstr>
      </vt:variant>
      <vt:variant>
        <vt:i4>4718694</vt:i4>
      </vt:variant>
      <vt:variant>
        <vt:i4>2076</vt:i4>
      </vt:variant>
      <vt:variant>
        <vt:i4>0</vt:i4>
      </vt:variant>
      <vt:variant>
        <vt:i4>5</vt:i4>
      </vt:variant>
      <vt:variant>
        <vt:lpwstr/>
      </vt:variant>
      <vt:variant>
        <vt:lpwstr>_Children_as_potential</vt:lpwstr>
      </vt:variant>
      <vt:variant>
        <vt:i4>1572934</vt:i4>
      </vt:variant>
      <vt:variant>
        <vt:i4>2073</vt:i4>
      </vt:variant>
      <vt:variant>
        <vt:i4>0</vt:i4>
      </vt:variant>
      <vt:variant>
        <vt:i4>5</vt:i4>
      </vt:variant>
      <vt:variant>
        <vt:lpwstr/>
      </vt:variant>
      <vt:variant>
        <vt:lpwstr>_Assessment_of_risks_1</vt:lpwstr>
      </vt:variant>
      <vt:variant>
        <vt:i4>3801190</vt:i4>
      </vt:variant>
      <vt:variant>
        <vt:i4>2070</vt:i4>
      </vt:variant>
      <vt:variant>
        <vt:i4>0</vt:i4>
      </vt:variant>
      <vt:variant>
        <vt:i4>5</vt:i4>
      </vt:variant>
      <vt:variant>
        <vt:lpwstr/>
      </vt:variant>
      <vt:variant>
        <vt:lpwstr>_Children:_Best_interests_1</vt:lpwstr>
      </vt:variant>
      <vt:variant>
        <vt:i4>6225924</vt:i4>
      </vt:variant>
      <vt:variant>
        <vt:i4>2067</vt:i4>
      </vt:variant>
      <vt:variant>
        <vt:i4>0</vt:i4>
      </vt:variant>
      <vt:variant>
        <vt:i4>5</vt:i4>
      </vt:variant>
      <vt:variant>
        <vt:lpwstr/>
      </vt:variant>
      <vt:variant>
        <vt:lpwstr>_Evaluating_potential_benefits_1</vt:lpwstr>
      </vt:variant>
      <vt:variant>
        <vt:i4>3538957</vt:i4>
      </vt:variant>
      <vt:variant>
        <vt:i4>2064</vt:i4>
      </vt:variant>
      <vt:variant>
        <vt:i4>0</vt:i4>
      </vt:variant>
      <vt:variant>
        <vt:i4>5</vt:i4>
      </vt:variant>
      <vt:variant>
        <vt:lpwstr/>
      </vt:variant>
      <vt:variant>
        <vt:lpwstr>_The_role_of</vt:lpwstr>
      </vt:variant>
      <vt:variant>
        <vt:i4>4194422</vt:i4>
      </vt:variant>
      <vt:variant>
        <vt:i4>2061</vt:i4>
      </vt:variant>
      <vt:variant>
        <vt:i4>0</vt:i4>
      </vt:variant>
      <vt:variant>
        <vt:i4>5</vt:i4>
      </vt:variant>
      <vt:variant>
        <vt:lpwstr/>
      </vt:variant>
      <vt:variant>
        <vt:lpwstr>_Living_donation_by</vt:lpwstr>
      </vt:variant>
      <vt:variant>
        <vt:i4>3473412</vt:i4>
      </vt:variant>
      <vt:variant>
        <vt:i4>2058</vt:i4>
      </vt:variant>
      <vt:variant>
        <vt:i4>0</vt:i4>
      </vt:variant>
      <vt:variant>
        <vt:i4>5</vt:i4>
      </vt:variant>
      <vt:variant>
        <vt:lpwstr/>
      </vt:variant>
      <vt:variant>
        <vt:lpwstr>_Disputes_in_deceased</vt:lpwstr>
      </vt:variant>
      <vt:variant>
        <vt:i4>131122</vt:i4>
      </vt:variant>
      <vt:variant>
        <vt:i4>2052</vt:i4>
      </vt:variant>
      <vt:variant>
        <vt:i4>0</vt:i4>
      </vt:variant>
      <vt:variant>
        <vt:i4>5</vt:i4>
      </vt:variant>
      <vt:variant>
        <vt:lpwstr/>
      </vt:variant>
      <vt:variant>
        <vt:lpwstr>_Children_who_may</vt:lpwstr>
      </vt:variant>
      <vt:variant>
        <vt:i4>3801190</vt:i4>
      </vt:variant>
      <vt:variant>
        <vt:i4>2049</vt:i4>
      </vt:variant>
      <vt:variant>
        <vt:i4>0</vt:i4>
      </vt:variant>
      <vt:variant>
        <vt:i4>5</vt:i4>
      </vt:variant>
      <vt:variant>
        <vt:lpwstr/>
      </vt:variant>
      <vt:variant>
        <vt:lpwstr>_Children:_Best_interests_1</vt:lpwstr>
      </vt:variant>
      <vt:variant>
        <vt:i4>458851</vt:i4>
      </vt:variant>
      <vt:variant>
        <vt:i4>2046</vt:i4>
      </vt:variant>
      <vt:variant>
        <vt:i4>0</vt:i4>
      </vt:variant>
      <vt:variant>
        <vt:i4>5</vt:i4>
      </vt:variant>
      <vt:variant>
        <vt:lpwstr>https://www.legislation.wa.gov.au/legislation/statutes.nsf/law_a336.html</vt:lpwstr>
      </vt:variant>
      <vt:variant>
        <vt:lpwstr/>
      </vt:variant>
      <vt:variant>
        <vt:i4>7471140</vt:i4>
      </vt:variant>
      <vt:variant>
        <vt:i4>2043</vt:i4>
      </vt:variant>
      <vt:variant>
        <vt:i4>0</vt:i4>
      </vt:variant>
      <vt:variant>
        <vt:i4>5</vt:i4>
      </vt:variant>
      <vt:variant>
        <vt:lpwstr>https://www.legislation.vic.gov.au/in-force/acts/medical-treatment-planning-and-decisions-act-2016/008</vt:lpwstr>
      </vt:variant>
      <vt:variant>
        <vt:lpwstr/>
      </vt:variant>
      <vt:variant>
        <vt:i4>7471140</vt:i4>
      </vt:variant>
      <vt:variant>
        <vt:i4>2040</vt:i4>
      </vt:variant>
      <vt:variant>
        <vt:i4>0</vt:i4>
      </vt:variant>
      <vt:variant>
        <vt:i4>5</vt:i4>
      </vt:variant>
      <vt:variant>
        <vt:lpwstr>https://www.legislation.vic.gov.au/in-force/acts/medical-treatment-planning-and-decisions-act-2016/008</vt:lpwstr>
      </vt:variant>
      <vt:variant>
        <vt:lpwstr/>
      </vt:variant>
      <vt:variant>
        <vt:i4>6160459</vt:i4>
      </vt:variant>
      <vt:variant>
        <vt:i4>2037</vt:i4>
      </vt:variant>
      <vt:variant>
        <vt:i4>0</vt:i4>
      </vt:variant>
      <vt:variant>
        <vt:i4>5</vt:i4>
      </vt:variant>
      <vt:variant>
        <vt:lpwstr>https://www.legislation.tas.gov.au/view/html/inforce/current/act-1995-044</vt:lpwstr>
      </vt:variant>
      <vt:variant>
        <vt:lpwstr/>
      </vt:variant>
      <vt:variant>
        <vt:i4>6160459</vt:i4>
      </vt:variant>
      <vt:variant>
        <vt:i4>2034</vt:i4>
      </vt:variant>
      <vt:variant>
        <vt:i4>0</vt:i4>
      </vt:variant>
      <vt:variant>
        <vt:i4>5</vt:i4>
      </vt:variant>
      <vt:variant>
        <vt:lpwstr>https://www.legislation.tas.gov.au/view/html/inforce/current/act-1995-044</vt:lpwstr>
      </vt:variant>
      <vt:variant>
        <vt:lpwstr/>
      </vt:variant>
      <vt:variant>
        <vt:i4>458822</vt:i4>
      </vt:variant>
      <vt:variant>
        <vt:i4>2031</vt:i4>
      </vt:variant>
      <vt:variant>
        <vt:i4>0</vt:i4>
      </vt:variant>
      <vt:variant>
        <vt:i4>5</vt:i4>
      </vt:variant>
      <vt:variant>
        <vt:lpwstr>https://www.legislation.sa.gov.au/lz?path=/c/a/consent%20to%20medical%20treatment%20and%20palliative%20care%20act%201995</vt:lpwstr>
      </vt:variant>
      <vt:variant>
        <vt:lpwstr/>
      </vt:variant>
      <vt:variant>
        <vt:i4>8257661</vt:i4>
      </vt:variant>
      <vt:variant>
        <vt:i4>2028</vt:i4>
      </vt:variant>
      <vt:variant>
        <vt:i4>0</vt:i4>
      </vt:variant>
      <vt:variant>
        <vt:i4>5</vt:i4>
      </vt:variant>
      <vt:variant>
        <vt:lpwstr>https://www.legislation.sa.gov.au/lz?path=/c/a/guardianship%20and%20administration%20act%201993</vt:lpwstr>
      </vt:variant>
      <vt:variant>
        <vt:lpwstr/>
      </vt:variant>
      <vt:variant>
        <vt:i4>2293866</vt:i4>
      </vt:variant>
      <vt:variant>
        <vt:i4>2025</vt:i4>
      </vt:variant>
      <vt:variant>
        <vt:i4>0</vt:i4>
      </vt:variant>
      <vt:variant>
        <vt:i4>5</vt:i4>
      </vt:variant>
      <vt:variant>
        <vt:lpwstr>https://www.legislation.qld.gov.au/view/html/inforce/curren</vt:lpwstr>
      </vt:variant>
      <vt:variant>
        <vt:lpwstr/>
      </vt:variant>
      <vt:variant>
        <vt:i4>5570644</vt:i4>
      </vt:variant>
      <vt:variant>
        <vt:i4>2022</vt:i4>
      </vt:variant>
      <vt:variant>
        <vt:i4>0</vt:i4>
      </vt:variant>
      <vt:variant>
        <vt:i4>5</vt:i4>
      </vt:variant>
      <vt:variant>
        <vt:lpwstr>https://www.legislation.qld.gov.au/view/html/inforce/current/act-1998-022</vt:lpwstr>
      </vt:variant>
      <vt:variant>
        <vt:lpwstr/>
      </vt:variant>
      <vt:variant>
        <vt:i4>2293866</vt:i4>
      </vt:variant>
      <vt:variant>
        <vt:i4>2019</vt:i4>
      </vt:variant>
      <vt:variant>
        <vt:i4>0</vt:i4>
      </vt:variant>
      <vt:variant>
        <vt:i4>5</vt:i4>
      </vt:variant>
      <vt:variant>
        <vt:lpwstr>https://www.legislation.qld.gov.au/view/html/inforce/curren</vt:lpwstr>
      </vt:variant>
      <vt:variant>
        <vt:lpwstr/>
      </vt:variant>
      <vt:variant>
        <vt:i4>6094933</vt:i4>
      </vt:variant>
      <vt:variant>
        <vt:i4>2016</vt:i4>
      </vt:variant>
      <vt:variant>
        <vt:i4>0</vt:i4>
      </vt:variant>
      <vt:variant>
        <vt:i4>5</vt:i4>
      </vt:variant>
      <vt:variant>
        <vt:lpwstr>https://www.legislation.qld.gov.au/view/html/inforce/current/act-2000-008</vt:lpwstr>
      </vt:variant>
      <vt:variant>
        <vt:lpwstr/>
      </vt:variant>
      <vt:variant>
        <vt:i4>1376275</vt:i4>
      </vt:variant>
      <vt:variant>
        <vt:i4>2013</vt:i4>
      </vt:variant>
      <vt:variant>
        <vt:i4>0</vt:i4>
      </vt:variant>
      <vt:variant>
        <vt:i4>5</vt:i4>
      </vt:variant>
      <vt:variant>
        <vt:lpwstr>https://legislation.nt.gov.au/Legislation/ADVANCE-PERSONAL-PLANNING-ACT-2013</vt:lpwstr>
      </vt:variant>
      <vt:variant>
        <vt:lpwstr/>
      </vt:variant>
      <vt:variant>
        <vt:i4>786517</vt:i4>
      </vt:variant>
      <vt:variant>
        <vt:i4>2010</vt:i4>
      </vt:variant>
      <vt:variant>
        <vt:i4>0</vt:i4>
      </vt:variant>
      <vt:variant>
        <vt:i4>5</vt:i4>
      </vt:variant>
      <vt:variant>
        <vt:lpwstr>https://legislation.nt.gov.au/Legislation/GUARDIANSHIP-OF-ADULTS-ACT-2016</vt:lpwstr>
      </vt:variant>
      <vt:variant>
        <vt:lpwstr/>
      </vt:variant>
      <vt:variant>
        <vt:i4>786517</vt:i4>
      </vt:variant>
      <vt:variant>
        <vt:i4>2007</vt:i4>
      </vt:variant>
      <vt:variant>
        <vt:i4>0</vt:i4>
      </vt:variant>
      <vt:variant>
        <vt:i4>5</vt:i4>
      </vt:variant>
      <vt:variant>
        <vt:lpwstr>https://legislation.nt.gov.au/Legislation/GUARDIANSHIP-OF-ADULTS-ACT-2016</vt:lpwstr>
      </vt:variant>
      <vt:variant>
        <vt:lpwstr/>
      </vt:variant>
      <vt:variant>
        <vt:i4>1376341</vt:i4>
      </vt:variant>
      <vt:variant>
        <vt:i4>2004</vt:i4>
      </vt:variant>
      <vt:variant>
        <vt:i4>0</vt:i4>
      </vt:variant>
      <vt:variant>
        <vt:i4>5</vt:i4>
      </vt:variant>
      <vt:variant>
        <vt:lpwstr>https://legislation.nsw.gov.au/view/html/inforce/current/act-1987-257</vt:lpwstr>
      </vt:variant>
      <vt:variant>
        <vt:lpwstr/>
      </vt:variant>
      <vt:variant>
        <vt:i4>1376341</vt:i4>
      </vt:variant>
      <vt:variant>
        <vt:i4>2001</vt:i4>
      </vt:variant>
      <vt:variant>
        <vt:i4>0</vt:i4>
      </vt:variant>
      <vt:variant>
        <vt:i4>5</vt:i4>
      </vt:variant>
      <vt:variant>
        <vt:lpwstr>https://legislation.nsw.gov.au/view/html/inforce/current/act-1987-257</vt:lpwstr>
      </vt:variant>
      <vt:variant>
        <vt:lpwstr/>
      </vt:variant>
      <vt:variant>
        <vt:i4>1703944</vt:i4>
      </vt:variant>
      <vt:variant>
        <vt:i4>1998</vt:i4>
      </vt:variant>
      <vt:variant>
        <vt:i4>0</vt:i4>
      </vt:variant>
      <vt:variant>
        <vt:i4>5</vt:i4>
      </vt:variant>
      <vt:variant>
        <vt:lpwstr>https://www.legislation.act.gov.au/a/2006-50/</vt:lpwstr>
      </vt:variant>
      <vt:variant>
        <vt:lpwstr/>
      </vt:variant>
      <vt:variant>
        <vt:i4>4784192</vt:i4>
      </vt:variant>
      <vt:variant>
        <vt:i4>1995</vt:i4>
      </vt:variant>
      <vt:variant>
        <vt:i4>0</vt:i4>
      </vt:variant>
      <vt:variant>
        <vt:i4>5</vt:i4>
      </vt:variant>
      <vt:variant>
        <vt:lpwstr>https://www/</vt:lpwstr>
      </vt:variant>
      <vt:variant>
        <vt:lpwstr/>
      </vt:variant>
      <vt:variant>
        <vt:i4>4259850</vt:i4>
      </vt:variant>
      <vt:variant>
        <vt:i4>1992</vt:i4>
      </vt:variant>
      <vt:variant>
        <vt:i4>0</vt:i4>
      </vt:variant>
      <vt:variant>
        <vt:i4>5</vt:i4>
      </vt:variant>
      <vt:variant>
        <vt:lpwstr>http://www.legislation.act.gov.au/a/1991-62/</vt:lpwstr>
      </vt:variant>
      <vt:variant>
        <vt:lpwstr/>
      </vt:variant>
      <vt:variant>
        <vt:i4>4259850</vt:i4>
      </vt:variant>
      <vt:variant>
        <vt:i4>1989</vt:i4>
      </vt:variant>
      <vt:variant>
        <vt:i4>0</vt:i4>
      </vt:variant>
      <vt:variant>
        <vt:i4>5</vt:i4>
      </vt:variant>
      <vt:variant>
        <vt:lpwstr>http://www.legislation.act.gov.au/a/1991-62/</vt:lpwstr>
      </vt:variant>
      <vt:variant>
        <vt:lpwstr/>
      </vt:variant>
      <vt:variant>
        <vt:i4>6619157</vt:i4>
      </vt:variant>
      <vt:variant>
        <vt:i4>1986</vt:i4>
      </vt:variant>
      <vt:variant>
        <vt:i4>0</vt:i4>
      </vt:variant>
      <vt:variant>
        <vt:i4>5</vt:i4>
      </vt:variant>
      <vt:variant>
        <vt:lpwstr/>
      </vt:variant>
      <vt:variant>
        <vt:lpwstr>_Children:_Best_interests</vt:lpwstr>
      </vt:variant>
      <vt:variant>
        <vt:i4>589881</vt:i4>
      </vt:variant>
      <vt:variant>
        <vt:i4>1983</vt:i4>
      </vt:variant>
      <vt:variant>
        <vt:i4>0</vt:i4>
      </vt:variant>
      <vt:variant>
        <vt:i4>5</vt:i4>
      </vt:variant>
      <vt:variant>
        <vt:lpwstr/>
      </vt:variant>
      <vt:variant>
        <vt:lpwstr>_Legal_aspects_of</vt:lpwstr>
      </vt:variant>
      <vt:variant>
        <vt:i4>7602269</vt:i4>
      </vt:variant>
      <vt:variant>
        <vt:i4>1980</vt:i4>
      </vt:variant>
      <vt:variant>
        <vt:i4>0</vt:i4>
      </vt:variant>
      <vt:variant>
        <vt:i4>5</vt:i4>
      </vt:variant>
      <vt:variant>
        <vt:lpwstr/>
      </vt:variant>
      <vt:variant>
        <vt:lpwstr>_Assent_for_living</vt:lpwstr>
      </vt:variant>
      <vt:variant>
        <vt:i4>5636184</vt:i4>
      </vt:variant>
      <vt:variant>
        <vt:i4>1977</vt:i4>
      </vt:variant>
      <vt:variant>
        <vt:i4>0</vt:i4>
      </vt:variant>
      <vt:variant>
        <vt:i4>5</vt:i4>
      </vt:variant>
      <vt:variant>
        <vt:lpwstr/>
      </vt:variant>
      <vt:variant>
        <vt:lpwstr>_Glossary_2</vt:lpwstr>
      </vt:variant>
      <vt:variant>
        <vt:i4>5636184</vt:i4>
      </vt:variant>
      <vt:variant>
        <vt:i4>1974</vt:i4>
      </vt:variant>
      <vt:variant>
        <vt:i4>0</vt:i4>
      </vt:variant>
      <vt:variant>
        <vt:i4>5</vt:i4>
      </vt:variant>
      <vt:variant>
        <vt:lpwstr/>
      </vt:variant>
      <vt:variant>
        <vt:lpwstr>_Glossary_2</vt:lpwstr>
      </vt:variant>
      <vt:variant>
        <vt:i4>2424945</vt:i4>
      </vt:variant>
      <vt:variant>
        <vt:i4>1968</vt:i4>
      </vt:variant>
      <vt:variant>
        <vt:i4>0</vt:i4>
      </vt:variant>
      <vt:variant>
        <vt:i4>5</vt:i4>
      </vt:variant>
      <vt:variant>
        <vt:lpwstr/>
      </vt:variant>
      <vt:variant>
        <vt:lpwstr>_Supported_decision-making</vt:lpwstr>
      </vt:variant>
      <vt:variant>
        <vt:i4>4194422</vt:i4>
      </vt:variant>
      <vt:variant>
        <vt:i4>1965</vt:i4>
      </vt:variant>
      <vt:variant>
        <vt:i4>0</vt:i4>
      </vt:variant>
      <vt:variant>
        <vt:i4>5</vt:i4>
      </vt:variant>
      <vt:variant>
        <vt:lpwstr/>
      </vt:variant>
      <vt:variant>
        <vt:lpwstr>_Living_donation_by</vt:lpwstr>
      </vt:variant>
      <vt:variant>
        <vt:i4>4980841</vt:i4>
      </vt:variant>
      <vt:variant>
        <vt:i4>1962</vt:i4>
      </vt:variant>
      <vt:variant>
        <vt:i4>0</vt:i4>
      </vt:variant>
      <vt:variant>
        <vt:i4>5</vt:i4>
      </vt:variant>
      <vt:variant>
        <vt:lpwstr/>
      </vt:variant>
      <vt:variant>
        <vt:lpwstr>_Resolving_conflict_or</vt:lpwstr>
      </vt:variant>
      <vt:variant>
        <vt:i4>5636184</vt:i4>
      </vt:variant>
      <vt:variant>
        <vt:i4>1959</vt:i4>
      </vt:variant>
      <vt:variant>
        <vt:i4>0</vt:i4>
      </vt:variant>
      <vt:variant>
        <vt:i4>5</vt:i4>
      </vt:variant>
      <vt:variant>
        <vt:lpwstr/>
      </vt:variant>
      <vt:variant>
        <vt:lpwstr>_Glossary_2</vt:lpwstr>
      </vt:variant>
      <vt:variant>
        <vt:i4>1441893</vt:i4>
      </vt:variant>
      <vt:variant>
        <vt:i4>1956</vt:i4>
      </vt:variant>
      <vt:variant>
        <vt:i4>0</vt:i4>
      </vt:variant>
      <vt:variant>
        <vt:i4>5</vt:i4>
      </vt:variant>
      <vt:variant>
        <vt:lpwstr/>
      </vt:variant>
      <vt:variant>
        <vt:lpwstr>_Appendix_3_–</vt:lpwstr>
      </vt:variant>
      <vt:variant>
        <vt:i4>3538985</vt:i4>
      </vt:variant>
      <vt:variant>
        <vt:i4>1953</vt:i4>
      </vt:variant>
      <vt:variant>
        <vt:i4>0</vt:i4>
      </vt:variant>
      <vt:variant>
        <vt:i4>5</vt:i4>
      </vt:variant>
      <vt:variant>
        <vt:lpwstr/>
      </vt:variant>
      <vt:variant>
        <vt:lpwstr>_Risks_and_benefits_1</vt:lpwstr>
      </vt:variant>
      <vt:variant>
        <vt:i4>7471231</vt:i4>
      </vt:variant>
      <vt:variant>
        <vt:i4>1950</vt:i4>
      </vt:variant>
      <vt:variant>
        <vt:i4>0</vt:i4>
      </vt:variant>
      <vt:variant>
        <vt:i4>5</vt:i4>
      </vt:variant>
      <vt:variant>
        <vt:lpwstr/>
      </vt:variant>
      <vt:variant>
        <vt:lpwstr>_Decision-making_and_consent_2</vt:lpwstr>
      </vt:variant>
      <vt:variant>
        <vt:i4>5505109</vt:i4>
      </vt:variant>
      <vt:variant>
        <vt:i4>1947</vt:i4>
      </vt:variant>
      <vt:variant>
        <vt:i4>0</vt:i4>
      </vt:variant>
      <vt:variant>
        <vt:i4>5</vt:i4>
      </vt:variant>
      <vt:variant>
        <vt:lpwstr/>
      </vt:variant>
      <vt:variant>
        <vt:lpwstr>_Consent_for_deceased_2</vt:lpwstr>
      </vt:variant>
      <vt:variant>
        <vt:i4>917536</vt:i4>
      </vt:variant>
      <vt:variant>
        <vt:i4>1938</vt:i4>
      </vt:variant>
      <vt:variant>
        <vt:i4>0</vt:i4>
      </vt:variant>
      <vt:variant>
        <vt:i4>5</vt:i4>
      </vt:variant>
      <vt:variant>
        <vt:lpwstr/>
      </vt:variant>
      <vt:variant>
        <vt:lpwstr>_Information_about_potential</vt:lpwstr>
      </vt:variant>
      <vt:variant>
        <vt:i4>4915200</vt:i4>
      </vt:variant>
      <vt:variant>
        <vt:i4>1935</vt:i4>
      </vt:variant>
      <vt:variant>
        <vt:i4>0</vt:i4>
      </vt:variant>
      <vt:variant>
        <vt:i4>5</vt:i4>
      </vt:variant>
      <vt:variant>
        <vt:lpwstr/>
      </vt:variant>
      <vt:variant>
        <vt:lpwstr>_Pre-mortem_interventions_for_1</vt:lpwstr>
      </vt:variant>
      <vt:variant>
        <vt:i4>5636184</vt:i4>
      </vt:variant>
      <vt:variant>
        <vt:i4>1932</vt:i4>
      </vt:variant>
      <vt:variant>
        <vt:i4>0</vt:i4>
      </vt:variant>
      <vt:variant>
        <vt:i4>5</vt:i4>
      </vt:variant>
      <vt:variant>
        <vt:lpwstr/>
      </vt:variant>
      <vt:variant>
        <vt:lpwstr>_Glossary_2</vt:lpwstr>
      </vt:variant>
      <vt:variant>
        <vt:i4>5636184</vt:i4>
      </vt:variant>
      <vt:variant>
        <vt:i4>1929</vt:i4>
      </vt:variant>
      <vt:variant>
        <vt:i4>0</vt:i4>
      </vt:variant>
      <vt:variant>
        <vt:i4>5</vt:i4>
      </vt:variant>
      <vt:variant>
        <vt:lpwstr/>
      </vt:variant>
      <vt:variant>
        <vt:lpwstr>_Glossary_2</vt:lpwstr>
      </vt:variant>
      <vt:variant>
        <vt:i4>6750235</vt:i4>
      </vt:variant>
      <vt:variant>
        <vt:i4>1926</vt:i4>
      </vt:variant>
      <vt:variant>
        <vt:i4>0</vt:i4>
      </vt:variant>
      <vt:variant>
        <vt:i4>5</vt:i4>
      </vt:variant>
      <vt:variant>
        <vt:lpwstr/>
      </vt:variant>
      <vt:variant>
        <vt:lpwstr>_Adults_lacking_decision-making</vt:lpwstr>
      </vt:variant>
      <vt:variant>
        <vt:i4>6946865</vt:i4>
      </vt:variant>
      <vt:variant>
        <vt:i4>1923</vt:i4>
      </vt:variant>
      <vt:variant>
        <vt:i4>0</vt:i4>
      </vt:variant>
      <vt:variant>
        <vt:i4>5</vt:i4>
      </vt:variant>
      <vt:variant>
        <vt:lpwstr/>
      </vt:variant>
      <vt:variant>
        <vt:lpwstr>_Conflicts_of_interest_1</vt:lpwstr>
      </vt:variant>
      <vt:variant>
        <vt:i4>4718693</vt:i4>
      </vt:variant>
      <vt:variant>
        <vt:i4>1920</vt:i4>
      </vt:variant>
      <vt:variant>
        <vt:i4>0</vt:i4>
      </vt:variant>
      <vt:variant>
        <vt:i4>5</vt:i4>
      </vt:variant>
      <vt:variant>
        <vt:lpwstr/>
      </vt:variant>
      <vt:variant>
        <vt:lpwstr>_Approach_to_substitute</vt:lpwstr>
      </vt:variant>
      <vt:variant>
        <vt:i4>1835104</vt:i4>
      </vt:variant>
      <vt:variant>
        <vt:i4>1917</vt:i4>
      </vt:variant>
      <vt:variant>
        <vt:i4>0</vt:i4>
      </vt:variant>
      <vt:variant>
        <vt:i4>5</vt:i4>
      </vt:variant>
      <vt:variant>
        <vt:lpwstr/>
      </vt:variant>
      <vt:variant>
        <vt:lpwstr>_Donation_decision-making_on</vt:lpwstr>
      </vt:variant>
      <vt:variant>
        <vt:i4>3276806</vt:i4>
      </vt:variant>
      <vt:variant>
        <vt:i4>1914</vt:i4>
      </vt:variant>
      <vt:variant>
        <vt:i4>0</vt:i4>
      </vt:variant>
      <vt:variant>
        <vt:i4>5</vt:i4>
      </vt:variant>
      <vt:variant>
        <vt:lpwstr/>
      </vt:variant>
      <vt:variant>
        <vt:lpwstr>_Refusal_of_donation</vt:lpwstr>
      </vt:variant>
      <vt:variant>
        <vt:i4>3604506</vt:i4>
      </vt:variant>
      <vt:variant>
        <vt:i4>1911</vt:i4>
      </vt:variant>
      <vt:variant>
        <vt:i4>0</vt:i4>
      </vt:variant>
      <vt:variant>
        <vt:i4>5</vt:i4>
      </vt:variant>
      <vt:variant>
        <vt:lpwstr/>
      </vt:variant>
      <vt:variant>
        <vt:lpwstr>_Importance_of_family</vt:lpwstr>
      </vt:variant>
      <vt:variant>
        <vt:i4>5505109</vt:i4>
      </vt:variant>
      <vt:variant>
        <vt:i4>1908</vt:i4>
      </vt:variant>
      <vt:variant>
        <vt:i4>0</vt:i4>
      </vt:variant>
      <vt:variant>
        <vt:i4>5</vt:i4>
      </vt:variant>
      <vt:variant>
        <vt:lpwstr/>
      </vt:variant>
      <vt:variant>
        <vt:lpwstr>_Consent_for_deceased_2</vt:lpwstr>
      </vt:variant>
      <vt:variant>
        <vt:i4>3604522</vt:i4>
      </vt:variant>
      <vt:variant>
        <vt:i4>1905</vt:i4>
      </vt:variant>
      <vt:variant>
        <vt:i4>0</vt:i4>
      </vt:variant>
      <vt:variant>
        <vt:i4>5</vt:i4>
      </vt:variant>
      <vt:variant>
        <vt:lpwstr>https://www.legislation.wa.gov.au/legislati</vt:lpwstr>
      </vt:variant>
      <vt:variant>
        <vt:lpwstr/>
      </vt:variant>
      <vt:variant>
        <vt:i4>7274513</vt:i4>
      </vt:variant>
      <vt:variant>
        <vt:i4>1902</vt:i4>
      </vt:variant>
      <vt:variant>
        <vt:i4>0</vt:i4>
      </vt:variant>
      <vt:variant>
        <vt:i4>5</vt:i4>
      </vt:variant>
      <vt:variant>
        <vt:lpwstr>https://www.legislation.wa.gov.au/legislation/statutes.nsf/main_mrtitle_201_homepage.html</vt:lpwstr>
      </vt:variant>
      <vt:variant>
        <vt:lpwstr/>
      </vt:variant>
      <vt:variant>
        <vt:i4>7733292</vt:i4>
      </vt:variant>
      <vt:variant>
        <vt:i4>1899</vt:i4>
      </vt:variant>
      <vt:variant>
        <vt:i4>0</vt:i4>
      </vt:variant>
      <vt:variant>
        <vt:i4>5</vt:i4>
      </vt:variant>
      <vt:variant>
        <vt:lpwstr>https://www.legislation.vic.gov.au/in-force/acts/coroners-act-2008/039</vt:lpwstr>
      </vt:variant>
      <vt:variant>
        <vt:lpwstr/>
      </vt:variant>
      <vt:variant>
        <vt:i4>7733292</vt:i4>
      </vt:variant>
      <vt:variant>
        <vt:i4>1896</vt:i4>
      </vt:variant>
      <vt:variant>
        <vt:i4>0</vt:i4>
      </vt:variant>
      <vt:variant>
        <vt:i4>5</vt:i4>
      </vt:variant>
      <vt:variant>
        <vt:lpwstr>https://www.legislation.vic.gov.au/in-force/acts/coroners-act-2008/039</vt:lpwstr>
      </vt:variant>
      <vt:variant>
        <vt:lpwstr/>
      </vt:variant>
      <vt:variant>
        <vt:i4>6094923</vt:i4>
      </vt:variant>
      <vt:variant>
        <vt:i4>1893</vt:i4>
      </vt:variant>
      <vt:variant>
        <vt:i4>0</vt:i4>
      </vt:variant>
      <vt:variant>
        <vt:i4>5</vt:i4>
      </vt:variant>
      <vt:variant>
        <vt:lpwstr>https://www.legislation.tas.gov.au/view/html/inforce/current/act-1995-073</vt:lpwstr>
      </vt:variant>
      <vt:variant>
        <vt:lpwstr/>
      </vt:variant>
      <vt:variant>
        <vt:i4>6094923</vt:i4>
      </vt:variant>
      <vt:variant>
        <vt:i4>1890</vt:i4>
      </vt:variant>
      <vt:variant>
        <vt:i4>0</vt:i4>
      </vt:variant>
      <vt:variant>
        <vt:i4>5</vt:i4>
      </vt:variant>
      <vt:variant>
        <vt:lpwstr>https://www.legislation.tas.gov.au/view/html/inforce/current/act-1995-073</vt:lpwstr>
      </vt:variant>
      <vt:variant>
        <vt:lpwstr/>
      </vt:variant>
      <vt:variant>
        <vt:i4>983107</vt:i4>
      </vt:variant>
      <vt:variant>
        <vt:i4>1887</vt:i4>
      </vt:variant>
      <vt:variant>
        <vt:i4>0</vt:i4>
      </vt:variant>
      <vt:variant>
        <vt:i4>5</vt:i4>
      </vt:variant>
      <vt:variant>
        <vt:lpwstr>https://www.legislation.sa.gov.au/lz?path=/c/a/coroners%20act%202003</vt:lpwstr>
      </vt:variant>
      <vt:variant>
        <vt:lpwstr/>
      </vt:variant>
      <vt:variant>
        <vt:i4>5701636</vt:i4>
      </vt:variant>
      <vt:variant>
        <vt:i4>1884</vt:i4>
      </vt:variant>
      <vt:variant>
        <vt:i4>0</vt:i4>
      </vt:variant>
      <vt:variant>
        <vt:i4>5</vt:i4>
      </vt:variant>
      <vt:variant>
        <vt:lpwstr>https://www.legislation.qld.gov.au/view/html/inforce/current/</vt:lpwstr>
      </vt:variant>
      <vt:variant>
        <vt:lpwstr/>
      </vt:variant>
      <vt:variant>
        <vt:i4>6029398</vt:i4>
      </vt:variant>
      <vt:variant>
        <vt:i4>1881</vt:i4>
      </vt:variant>
      <vt:variant>
        <vt:i4>0</vt:i4>
      </vt:variant>
      <vt:variant>
        <vt:i4>5</vt:i4>
      </vt:variant>
      <vt:variant>
        <vt:lpwstr>https://www.legislation.qld.gov.au/view/html/inforce/current/act-2003-013</vt:lpwstr>
      </vt:variant>
      <vt:variant>
        <vt:lpwstr/>
      </vt:variant>
      <vt:variant>
        <vt:i4>8060991</vt:i4>
      </vt:variant>
      <vt:variant>
        <vt:i4>1878</vt:i4>
      </vt:variant>
      <vt:variant>
        <vt:i4>0</vt:i4>
      </vt:variant>
      <vt:variant>
        <vt:i4>5</vt:i4>
      </vt:variant>
      <vt:variant>
        <vt:lpwstr>https://legislation.nt.gov.au/en/Legislation/CORONERS-ACT-1993</vt:lpwstr>
      </vt:variant>
      <vt:variant>
        <vt:lpwstr/>
      </vt:variant>
      <vt:variant>
        <vt:i4>8060991</vt:i4>
      </vt:variant>
      <vt:variant>
        <vt:i4>1875</vt:i4>
      </vt:variant>
      <vt:variant>
        <vt:i4>0</vt:i4>
      </vt:variant>
      <vt:variant>
        <vt:i4>5</vt:i4>
      </vt:variant>
      <vt:variant>
        <vt:lpwstr>https://legislation.nt.gov.au/en/Legislation/CORONERS-ACT-1993</vt:lpwstr>
      </vt:variant>
      <vt:variant>
        <vt:lpwstr/>
      </vt:variant>
      <vt:variant>
        <vt:i4>4718600</vt:i4>
      </vt:variant>
      <vt:variant>
        <vt:i4>1872</vt:i4>
      </vt:variant>
      <vt:variant>
        <vt:i4>0</vt:i4>
      </vt:variant>
      <vt:variant>
        <vt:i4>5</vt:i4>
      </vt:variant>
      <vt:variant>
        <vt:lpwstr>https://www.legislation.nsw.gov.au/view/html/inforce/current/</vt:lpwstr>
      </vt:variant>
      <vt:variant>
        <vt:lpwstr/>
      </vt:variant>
      <vt:variant>
        <vt:i4>4587600</vt:i4>
      </vt:variant>
      <vt:variant>
        <vt:i4>1869</vt:i4>
      </vt:variant>
      <vt:variant>
        <vt:i4>0</vt:i4>
      </vt:variant>
      <vt:variant>
        <vt:i4>5</vt:i4>
      </vt:variant>
      <vt:variant>
        <vt:lpwstr>https://www.legislation.nsw.gov.au/view/html/inforce/current/act-2009-041</vt:lpwstr>
      </vt:variant>
      <vt:variant>
        <vt:lpwstr/>
      </vt:variant>
      <vt:variant>
        <vt:i4>1507328</vt:i4>
      </vt:variant>
      <vt:variant>
        <vt:i4>1866</vt:i4>
      </vt:variant>
      <vt:variant>
        <vt:i4>0</vt:i4>
      </vt:variant>
      <vt:variant>
        <vt:i4>5</vt:i4>
      </vt:variant>
      <vt:variant>
        <vt:lpwstr>https://www.legislation.act.gov.au/a/1997-57</vt:lpwstr>
      </vt:variant>
      <vt:variant>
        <vt:lpwstr/>
      </vt:variant>
      <vt:variant>
        <vt:i4>5505109</vt:i4>
      </vt:variant>
      <vt:variant>
        <vt:i4>1863</vt:i4>
      </vt:variant>
      <vt:variant>
        <vt:i4>0</vt:i4>
      </vt:variant>
      <vt:variant>
        <vt:i4>5</vt:i4>
      </vt:variant>
      <vt:variant>
        <vt:lpwstr/>
      </vt:variant>
      <vt:variant>
        <vt:lpwstr>_Consent_for_deceased_2</vt:lpwstr>
      </vt:variant>
      <vt:variant>
        <vt:i4>5636191</vt:i4>
      </vt:variant>
      <vt:variant>
        <vt:i4>1860</vt:i4>
      </vt:variant>
      <vt:variant>
        <vt:i4>0</vt:i4>
      </vt:variant>
      <vt:variant>
        <vt:i4>5</vt:i4>
      </vt:variant>
      <vt:variant>
        <vt:lpwstr/>
      </vt:variant>
      <vt:variant>
        <vt:lpwstr>_Legal_aspects_of_2</vt:lpwstr>
      </vt:variant>
      <vt:variant>
        <vt:i4>4718693</vt:i4>
      </vt:variant>
      <vt:variant>
        <vt:i4>1854</vt:i4>
      </vt:variant>
      <vt:variant>
        <vt:i4>0</vt:i4>
      </vt:variant>
      <vt:variant>
        <vt:i4>5</vt:i4>
      </vt:variant>
      <vt:variant>
        <vt:lpwstr/>
      </vt:variant>
      <vt:variant>
        <vt:lpwstr>_Approach_to_substitute</vt:lpwstr>
      </vt:variant>
      <vt:variant>
        <vt:i4>3604506</vt:i4>
      </vt:variant>
      <vt:variant>
        <vt:i4>1851</vt:i4>
      </vt:variant>
      <vt:variant>
        <vt:i4>0</vt:i4>
      </vt:variant>
      <vt:variant>
        <vt:i4>5</vt:i4>
      </vt:variant>
      <vt:variant>
        <vt:lpwstr/>
      </vt:variant>
      <vt:variant>
        <vt:lpwstr>_Importance_of_family</vt:lpwstr>
      </vt:variant>
      <vt:variant>
        <vt:i4>5374050</vt:i4>
      </vt:variant>
      <vt:variant>
        <vt:i4>1848</vt:i4>
      </vt:variant>
      <vt:variant>
        <vt:i4>0</vt:i4>
      </vt:variant>
      <vt:variant>
        <vt:i4>5</vt:i4>
      </vt:variant>
      <vt:variant>
        <vt:lpwstr/>
      </vt:variant>
      <vt:variant>
        <vt:lpwstr>_Authorisation_of_deceased</vt:lpwstr>
      </vt:variant>
      <vt:variant>
        <vt:i4>5636184</vt:i4>
      </vt:variant>
      <vt:variant>
        <vt:i4>1845</vt:i4>
      </vt:variant>
      <vt:variant>
        <vt:i4>0</vt:i4>
      </vt:variant>
      <vt:variant>
        <vt:i4>5</vt:i4>
      </vt:variant>
      <vt:variant>
        <vt:lpwstr/>
      </vt:variant>
      <vt:variant>
        <vt:lpwstr>_Glossary_2</vt:lpwstr>
      </vt:variant>
      <vt:variant>
        <vt:i4>3538957</vt:i4>
      </vt:variant>
      <vt:variant>
        <vt:i4>1842</vt:i4>
      </vt:variant>
      <vt:variant>
        <vt:i4>0</vt:i4>
      </vt:variant>
      <vt:variant>
        <vt:i4>5</vt:i4>
      </vt:variant>
      <vt:variant>
        <vt:lpwstr/>
      </vt:variant>
      <vt:variant>
        <vt:lpwstr>_Role_of_the</vt:lpwstr>
      </vt:variant>
      <vt:variant>
        <vt:i4>2359301</vt:i4>
      </vt:variant>
      <vt:variant>
        <vt:i4>1839</vt:i4>
      </vt:variant>
      <vt:variant>
        <vt:i4>0</vt:i4>
      </vt:variant>
      <vt:variant>
        <vt:i4>5</vt:i4>
      </vt:variant>
      <vt:variant>
        <vt:lpwstr/>
      </vt:variant>
      <vt:variant>
        <vt:lpwstr>_Obtaining_formal_consent</vt:lpwstr>
      </vt:variant>
      <vt:variant>
        <vt:i4>589857</vt:i4>
      </vt:variant>
      <vt:variant>
        <vt:i4>1836</vt:i4>
      </vt:variant>
      <vt:variant>
        <vt:i4>0</vt:i4>
      </vt:variant>
      <vt:variant>
        <vt:i4>5</vt:i4>
      </vt:variant>
      <vt:variant>
        <vt:lpwstr/>
      </vt:variant>
      <vt:variant>
        <vt:lpwstr>_Glossary</vt:lpwstr>
      </vt:variant>
      <vt:variant>
        <vt:i4>917540</vt:i4>
      </vt:variant>
      <vt:variant>
        <vt:i4>1833</vt:i4>
      </vt:variant>
      <vt:variant>
        <vt:i4>0</vt:i4>
      </vt:variant>
      <vt:variant>
        <vt:i4>5</vt:i4>
      </vt:variant>
      <vt:variant>
        <vt:lpwstr/>
      </vt:variant>
      <vt:variant>
        <vt:lpwstr>_Donation_after_voluntary</vt:lpwstr>
      </vt:variant>
      <vt:variant>
        <vt:i4>589857</vt:i4>
      </vt:variant>
      <vt:variant>
        <vt:i4>1830</vt:i4>
      </vt:variant>
      <vt:variant>
        <vt:i4>0</vt:i4>
      </vt:variant>
      <vt:variant>
        <vt:i4>5</vt:i4>
      </vt:variant>
      <vt:variant>
        <vt:lpwstr/>
      </vt:variant>
      <vt:variant>
        <vt:lpwstr>_Glossary</vt:lpwstr>
      </vt:variant>
      <vt:variant>
        <vt:i4>3604486</vt:i4>
      </vt:variant>
      <vt:variant>
        <vt:i4>1827</vt:i4>
      </vt:variant>
      <vt:variant>
        <vt:i4>0</vt:i4>
      </vt:variant>
      <vt:variant>
        <vt:i4>5</vt:i4>
      </vt:variant>
      <vt:variant>
        <vt:lpwstr/>
      </vt:variant>
      <vt:variant>
        <vt:lpwstr>_Deceased_donation_by</vt:lpwstr>
      </vt:variant>
      <vt:variant>
        <vt:i4>2424851</vt:i4>
      </vt:variant>
      <vt:variant>
        <vt:i4>1824</vt:i4>
      </vt:variant>
      <vt:variant>
        <vt:i4>0</vt:i4>
      </vt:variant>
      <vt:variant>
        <vt:i4>5</vt:i4>
      </vt:variant>
      <vt:variant>
        <vt:lpwstr/>
      </vt:variant>
      <vt:variant>
        <vt:lpwstr>_Waiver_of_anonymity</vt:lpwstr>
      </vt:variant>
      <vt:variant>
        <vt:i4>6225924</vt:i4>
      </vt:variant>
      <vt:variant>
        <vt:i4>1821</vt:i4>
      </vt:variant>
      <vt:variant>
        <vt:i4>0</vt:i4>
      </vt:variant>
      <vt:variant>
        <vt:i4>5</vt:i4>
      </vt:variant>
      <vt:variant>
        <vt:lpwstr/>
      </vt:variant>
      <vt:variant>
        <vt:lpwstr>_Evaluating_potential_benefits_1</vt:lpwstr>
      </vt:variant>
      <vt:variant>
        <vt:i4>4325493</vt:i4>
      </vt:variant>
      <vt:variant>
        <vt:i4>1815</vt:i4>
      </vt:variant>
      <vt:variant>
        <vt:i4>0</vt:i4>
      </vt:variant>
      <vt:variant>
        <vt:i4>5</vt:i4>
      </vt:variant>
      <vt:variant>
        <vt:lpwstr/>
      </vt:variant>
      <vt:variant>
        <vt:lpwstr>_Withdrawal_of_consent</vt:lpwstr>
      </vt:variant>
      <vt:variant>
        <vt:i4>4390998</vt:i4>
      </vt:variant>
      <vt:variant>
        <vt:i4>1806</vt:i4>
      </vt:variant>
      <vt:variant>
        <vt:i4>0</vt:i4>
      </vt:variant>
      <vt:variant>
        <vt:i4>5</vt:i4>
      </vt:variant>
      <vt:variant>
        <vt:lpwstr/>
      </vt:variant>
      <vt:variant>
        <vt:lpwstr>_Blood_and_marrow_1</vt:lpwstr>
      </vt:variant>
      <vt:variant>
        <vt:i4>196633</vt:i4>
      </vt:variant>
      <vt:variant>
        <vt:i4>1803</vt:i4>
      </vt:variant>
      <vt:variant>
        <vt:i4>0</vt:i4>
      </vt:variant>
      <vt:variant>
        <vt:i4>5</vt:i4>
      </vt:variant>
      <vt:variant>
        <vt:lpwstr/>
      </vt:variant>
      <vt:variant>
        <vt:lpwstr>_Psychosocial_evaluation_of_1</vt:lpwstr>
      </vt:variant>
      <vt:variant>
        <vt:i4>5111865</vt:i4>
      </vt:variant>
      <vt:variant>
        <vt:i4>1800</vt:i4>
      </vt:variant>
      <vt:variant>
        <vt:i4>0</vt:i4>
      </vt:variant>
      <vt:variant>
        <vt:i4>5</vt:i4>
      </vt:variant>
      <vt:variant>
        <vt:lpwstr/>
      </vt:variant>
      <vt:variant>
        <vt:lpwstr>_Non-directed_living_organ</vt:lpwstr>
      </vt:variant>
      <vt:variant>
        <vt:i4>3407890</vt:i4>
      </vt:variant>
      <vt:variant>
        <vt:i4>1797</vt:i4>
      </vt:variant>
      <vt:variant>
        <vt:i4>0</vt:i4>
      </vt:variant>
      <vt:variant>
        <vt:i4>5</vt:i4>
      </vt:variant>
      <vt:variant>
        <vt:lpwstr/>
      </vt:variant>
      <vt:variant>
        <vt:lpwstr>_Information_of_potential</vt:lpwstr>
      </vt:variant>
      <vt:variant>
        <vt:i4>589857</vt:i4>
      </vt:variant>
      <vt:variant>
        <vt:i4>1794</vt:i4>
      </vt:variant>
      <vt:variant>
        <vt:i4>0</vt:i4>
      </vt:variant>
      <vt:variant>
        <vt:i4>5</vt:i4>
      </vt:variant>
      <vt:variant>
        <vt:lpwstr/>
      </vt:variant>
      <vt:variant>
        <vt:lpwstr>_Glossary</vt:lpwstr>
      </vt:variant>
      <vt:variant>
        <vt:i4>6226025</vt:i4>
      </vt:variant>
      <vt:variant>
        <vt:i4>1791</vt:i4>
      </vt:variant>
      <vt:variant>
        <vt:i4>0</vt:i4>
      </vt:variant>
      <vt:variant>
        <vt:i4>5</vt:i4>
      </vt:variant>
      <vt:variant>
        <vt:lpwstr/>
      </vt:variant>
      <vt:variant>
        <vt:lpwstr>_Strategies_to_support</vt:lpwstr>
      </vt:variant>
      <vt:variant>
        <vt:i4>3080207</vt:i4>
      </vt:variant>
      <vt:variant>
        <vt:i4>1785</vt:i4>
      </vt:variant>
      <vt:variant>
        <vt:i4>0</vt:i4>
      </vt:variant>
      <vt:variant>
        <vt:i4>5</vt:i4>
      </vt:variant>
      <vt:variant>
        <vt:lpwstr/>
      </vt:variant>
      <vt:variant>
        <vt:lpwstr>_Management_of_conflicts</vt:lpwstr>
      </vt:variant>
      <vt:variant>
        <vt:i4>3538957</vt:i4>
      </vt:variant>
      <vt:variant>
        <vt:i4>1782</vt:i4>
      </vt:variant>
      <vt:variant>
        <vt:i4>0</vt:i4>
      </vt:variant>
      <vt:variant>
        <vt:i4>5</vt:i4>
      </vt:variant>
      <vt:variant>
        <vt:lpwstr/>
      </vt:variant>
      <vt:variant>
        <vt:lpwstr>_The_role_of</vt:lpwstr>
      </vt:variant>
      <vt:variant>
        <vt:i4>3407889</vt:i4>
      </vt:variant>
      <vt:variant>
        <vt:i4>1779</vt:i4>
      </vt:variant>
      <vt:variant>
        <vt:i4>0</vt:i4>
      </vt:variant>
      <vt:variant>
        <vt:i4>5</vt:i4>
      </vt:variant>
      <vt:variant>
        <vt:lpwstr/>
      </vt:variant>
      <vt:variant>
        <vt:lpwstr>_Prevention_of_organ</vt:lpwstr>
      </vt:variant>
      <vt:variant>
        <vt:i4>6029439</vt:i4>
      </vt:variant>
      <vt:variant>
        <vt:i4>1776</vt:i4>
      </vt:variant>
      <vt:variant>
        <vt:i4>0</vt:i4>
      </vt:variant>
      <vt:variant>
        <vt:i4>5</vt:i4>
      </vt:variant>
      <vt:variant>
        <vt:lpwstr/>
      </vt:variant>
      <vt:variant>
        <vt:lpwstr>_Psychosocial_evaluation_of</vt:lpwstr>
      </vt:variant>
      <vt:variant>
        <vt:i4>2621455</vt:i4>
      </vt:variant>
      <vt:variant>
        <vt:i4>1770</vt:i4>
      </vt:variant>
      <vt:variant>
        <vt:i4>0</vt:i4>
      </vt:variant>
      <vt:variant>
        <vt:i4>5</vt:i4>
      </vt:variant>
      <vt:variant>
        <vt:lpwstr/>
      </vt:variant>
      <vt:variant>
        <vt:lpwstr>_Voluntariness_of_consent</vt:lpwstr>
      </vt:variant>
      <vt:variant>
        <vt:i4>5832810</vt:i4>
      </vt:variant>
      <vt:variant>
        <vt:i4>1767</vt:i4>
      </vt:variant>
      <vt:variant>
        <vt:i4>0</vt:i4>
      </vt:variant>
      <vt:variant>
        <vt:i4>5</vt:i4>
      </vt:variant>
      <vt:variant>
        <vt:lpwstr/>
      </vt:variant>
      <vt:variant>
        <vt:lpwstr>_Protection_of_privacy</vt:lpwstr>
      </vt:variant>
      <vt:variant>
        <vt:i4>655392</vt:i4>
      </vt:variant>
      <vt:variant>
        <vt:i4>1764</vt:i4>
      </vt:variant>
      <vt:variant>
        <vt:i4>0</vt:i4>
      </vt:variant>
      <vt:variant>
        <vt:i4>5</vt:i4>
      </vt:variant>
      <vt:variant>
        <vt:lpwstr/>
      </vt:variant>
      <vt:variant>
        <vt:lpwstr>_Consent_for_transplantation</vt:lpwstr>
      </vt:variant>
      <vt:variant>
        <vt:i4>3538985</vt:i4>
      </vt:variant>
      <vt:variant>
        <vt:i4>1761</vt:i4>
      </vt:variant>
      <vt:variant>
        <vt:i4>0</vt:i4>
      </vt:variant>
      <vt:variant>
        <vt:i4>5</vt:i4>
      </vt:variant>
      <vt:variant>
        <vt:lpwstr/>
      </vt:variant>
      <vt:variant>
        <vt:lpwstr>_Risks_and_benefits_1</vt:lpwstr>
      </vt:variant>
      <vt:variant>
        <vt:i4>4259946</vt:i4>
      </vt:variant>
      <vt:variant>
        <vt:i4>1758</vt:i4>
      </vt:variant>
      <vt:variant>
        <vt:i4>0</vt:i4>
      </vt:variant>
      <vt:variant>
        <vt:i4>5</vt:i4>
      </vt:variant>
      <vt:variant>
        <vt:lpwstr/>
      </vt:variant>
      <vt:variant>
        <vt:lpwstr>_General_considerations_in</vt:lpwstr>
      </vt:variant>
      <vt:variant>
        <vt:i4>3538985</vt:i4>
      </vt:variant>
      <vt:variant>
        <vt:i4>1755</vt:i4>
      </vt:variant>
      <vt:variant>
        <vt:i4>0</vt:i4>
      </vt:variant>
      <vt:variant>
        <vt:i4>5</vt:i4>
      </vt:variant>
      <vt:variant>
        <vt:lpwstr/>
      </vt:variant>
      <vt:variant>
        <vt:lpwstr>_Risks_and_benefits_1</vt:lpwstr>
      </vt:variant>
      <vt:variant>
        <vt:i4>589881</vt:i4>
      </vt:variant>
      <vt:variant>
        <vt:i4>1749</vt:i4>
      </vt:variant>
      <vt:variant>
        <vt:i4>0</vt:i4>
      </vt:variant>
      <vt:variant>
        <vt:i4>5</vt:i4>
      </vt:variant>
      <vt:variant>
        <vt:lpwstr/>
      </vt:variant>
      <vt:variant>
        <vt:lpwstr>_Legal_aspects_of</vt:lpwstr>
      </vt:variant>
      <vt:variant>
        <vt:i4>6750288</vt:i4>
      </vt:variant>
      <vt:variant>
        <vt:i4>1746</vt:i4>
      </vt:variant>
      <vt:variant>
        <vt:i4>0</vt:i4>
      </vt:variant>
      <vt:variant>
        <vt:i4>5</vt:i4>
      </vt:variant>
      <vt:variant>
        <vt:lpwstr/>
      </vt:variant>
      <vt:variant>
        <vt:lpwstr>_Consent_for_subsequent</vt:lpwstr>
      </vt:variant>
      <vt:variant>
        <vt:i4>7602188</vt:i4>
      </vt:variant>
      <vt:variant>
        <vt:i4>1743</vt:i4>
      </vt:variant>
      <vt:variant>
        <vt:i4>0</vt:i4>
      </vt:variant>
      <vt:variant>
        <vt:i4>5</vt:i4>
      </vt:variant>
      <vt:variant>
        <vt:lpwstr/>
      </vt:variant>
      <vt:variant>
        <vt:lpwstr>_Consent_in_non-directed</vt:lpwstr>
      </vt:variant>
      <vt:variant>
        <vt:i4>4194422</vt:i4>
      </vt:variant>
      <vt:variant>
        <vt:i4>1740</vt:i4>
      </vt:variant>
      <vt:variant>
        <vt:i4>0</vt:i4>
      </vt:variant>
      <vt:variant>
        <vt:i4>5</vt:i4>
      </vt:variant>
      <vt:variant>
        <vt:lpwstr/>
      </vt:variant>
      <vt:variant>
        <vt:lpwstr>_Living_donation_by</vt:lpwstr>
      </vt:variant>
      <vt:variant>
        <vt:i4>3407889</vt:i4>
      </vt:variant>
      <vt:variant>
        <vt:i4>1737</vt:i4>
      </vt:variant>
      <vt:variant>
        <vt:i4>0</vt:i4>
      </vt:variant>
      <vt:variant>
        <vt:i4>5</vt:i4>
      </vt:variant>
      <vt:variant>
        <vt:lpwstr/>
      </vt:variant>
      <vt:variant>
        <vt:lpwstr>_Prevention_of_organ</vt:lpwstr>
      </vt:variant>
      <vt:variant>
        <vt:i4>2293797</vt:i4>
      </vt:variant>
      <vt:variant>
        <vt:i4>1734</vt:i4>
      </vt:variant>
      <vt:variant>
        <vt:i4>0</vt:i4>
      </vt:variant>
      <vt:variant>
        <vt:i4>5</vt:i4>
      </vt:variant>
      <vt:variant>
        <vt:lpwstr/>
      </vt:variant>
      <vt:variant>
        <vt:lpwstr>_Consent_for_living_1</vt:lpwstr>
      </vt:variant>
      <vt:variant>
        <vt:i4>2621455</vt:i4>
      </vt:variant>
      <vt:variant>
        <vt:i4>1731</vt:i4>
      </vt:variant>
      <vt:variant>
        <vt:i4>0</vt:i4>
      </vt:variant>
      <vt:variant>
        <vt:i4>5</vt:i4>
      </vt:variant>
      <vt:variant>
        <vt:lpwstr/>
      </vt:variant>
      <vt:variant>
        <vt:lpwstr>_Voluntariness_of_consent</vt:lpwstr>
      </vt:variant>
      <vt:variant>
        <vt:i4>4259946</vt:i4>
      </vt:variant>
      <vt:variant>
        <vt:i4>1728</vt:i4>
      </vt:variant>
      <vt:variant>
        <vt:i4>0</vt:i4>
      </vt:variant>
      <vt:variant>
        <vt:i4>5</vt:i4>
      </vt:variant>
      <vt:variant>
        <vt:lpwstr/>
      </vt:variant>
      <vt:variant>
        <vt:lpwstr>_General_considerations_in</vt:lpwstr>
      </vt:variant>
      <vt:variant>
        <vt:i4>2621455</vt:i4>
      </vt:variant>
      <vt:variant>
        <vt:i4>1725</vt:i4>
      </vt:variant>
      <vt:variant>
        <vt:i4>0</vt:i4>
      </vt:variant>
      <vt:variant>
        <vt:i4>5</vt:i4>
      </vt:variant>
      <vt:variant>
        <vt:lpwstr/>
      </vt:variant>
      <vt:variant>
        <vt:lpwstr>_Voluntariness_of_consent</vt:lpwstr>
      </vt:variant>
      <vt:variant>
        <vt:i4>3538985</vt:i4>
      </vt:variant>
      <vt:variant>
        <vt:i4>1722</vt:i4>
      </vt:variant>
      <vt:variant>
        <vt:i4>0</vt:i4>
      </vt:variant>
      <vt:variant>
        <vt:i4>5</vt:i4>
      </vt:variant>
      <vt:variant>
        <vt:lpwstr/>
      </vt:variant>
      <vt:variant>
        <vt:lpwstr>_Risks_and_benefits_1</vt:lpwstr>
      </vt:variant>
      <vt:variant>
        <vt:i4>2752527</vt:i4>
      </vt:variant>
      <vt:variant>
        <vt:i4>1719</vt:i4>
      </vt:variant>
      <vt:variant>
        <vt:i4>0</vt:i4>
      </vt:variant>
      <vt:variant>
        <vt:i4>5</vt:i4>
      </vt:variant>
      <vt:variant>
        <vt:lpwstr/>
      </vt:variant>
      <vt:variant>
        <vt:lpwstr>_Transplantation_of_children</vt:lpwstr>
      </vt:variant>
      <vt:variant>
        <vt:i4>4259946</vt:i4>
      </vt:variant>
      <vt:variant>
        <vt:i4>1716</vt:i4>
      </vt:variant>
      <vt:variant>
        <vt:i4>0</vt:i4>
      </vt:variant>
      <vt:variant>
        <vt:i4>5</vt:i4>
      </vt:variant>
      <vt:variant>
        <vt:lpwstr/>
      </vt:variant>
      <vt:variant>
        <vt:lpwstr>_General_considerations_in</vt:lpwstr>
      </vt:variant>
      <vt:variant>
        <vt:i4>6094947</vt:i4>
      </vt:variant>
      <vt:variant>
        <vt:i4>1710</vt:i4>
      </vt:variant>
      <vt:variant>
        <vt:i4>0</vt:i4>
      </vt:variant>
      <vt:variant>
        <vt:i4>5</vt:i4>
      </vt:variant>
      <vt:variant>
        <vt:lpwstr/>
      </vt:variant>
      <vt:variant>
        <vt:lpwstr>_Paired_kidney_exchange</vt:lpwstr>
      </vt:variant>
      <vt:variant>
        <vt:i4>5636184</vt:i4>
      </vt:variant>
      <vt:variant>
        <vt:i4>1707</vt:i4>
      </vt:variant>
      <vt:variant>
        <vt:i4>0</vt:i4>
      </vt:variant>
      <vt:variant>
        <vt:i4>5</vt:i4>
      </vt:variant>
      <vt:variant>
        <vt:lpwstr/>
      </vt:variant>
      <vt:variant>
        <vt:lpwstr>_Glossary_1</vt:lpwstr>
      </vt:variant>
      <vt:variant>
        <vt:i4>2424835</vt:i4>
      </vt:variant>
      <vt:variant>
        <vt:i4>1704</vt:i4>
      </vt:variant>
      <vt:variant>
        <vt:i4>0</vt:i4>
      </vt:variant>
      <vt:variant>
        <vt:i4>5</vt:i4>
      </vt:variant>
      <vt:variant>
        <vt:lpwstr/>
      </vt:variant>
      <vt:variant>
        <vt:lpwstr>_Consent_in_unrelated</vt:lpwstr>
      </vt:variant>
      <vt:variant>
        <vt:i4>5636184</vt:i4>
      </vt:variant>
      <vt:variant>
        <vt:i4>1695</vt:i4>
      </vt:variant>
      <vt:variant>
        <vt:i4>0</vt:i4>
      </vt:variant>
      <vt:variant>
        <vt:i4>5</vt:i4>
      </vt:variant>
      <vt:variant>
        <vt:lpwstr/>
      </vt:variant>
      <vt:variant>
        <vt:lpwstr>_Glossary_1</vt:lpwstr>
      </vt:variant>
      <vt:variant>
        <vt:i4>6029414</vt:i4>
      </vt:variant>
      <vt:variant>
        <vt:i4>1692</vt:i4>
      </vt:variant>
      <vt:variant>
        <vt:i4>0</vt:i4>
      </vt:variant>
      <vt:variant>
        <vt:i4>5</vt:i4>
      </vt:variant>
      <vt:variant>
        <vt:lpwstr/>
      </vt:variant>
      <vt:variant>
        <vt:lpwstr>_Exceptional_access_to</vt:lpwstr>
      </vt:variant>
      <vt:variant>
        <vt:i4>4194422</vt:i4>
      </vt:variant>
      <vt:variant>
        <vt:i4>1689</vt:i4>
      </vt:variant>
      <vt:variant>
        <vt:i4>0</vt:i4>
      </vt:variant>
      <vt:variant>
        <vt:i4>5</vt:i4>
      </vt:variant>
      <vt:variant>
        <vt:lpwstr/>
      </vt:variant>
      <vt:variant>
        <vt:lpwstr>_The_nature_of</vt:lpwstr>
      </vt:variant>
      <vt:variant>
        <vt:i4>983143</vt:i4>
      </vt:variant>
      <vt:variant>
        <vt:i4>1686</vt:i4>
      </vt:variant>
      <vt:variant>
        <vt:i4>0</vt:i4>
      </vt:variant>
      <vt:variant>
        <vt:i4>5</vt:i4>
      </vt:variant>
      <vt:variant>
        <vt:lpwstr/>
      </vt:variant>
      <vt:variant>
        <vt:lpwstr>_Anonymity_in_non-directed</vt:lpwstr>
      </vt:variant>
      <vt:variant>
        <vt:i4>3211325</vt:i4>
      </vt:variant>
      <vt:variant>
        <vt:i4>1683</vt:i4>
      </vt:variant>
      <vt:variant>
        <vt:i4>0</vt:i4>
      </vt:variant>
      <vt:variant>
        <vt:i4>5</vt:i4>
      </vt:variant>
      <vt:variant>
        <vt:lpwstr/>
      </vt:variant>
      <vt:variant>
        <vt:lpwstr>_Intersections_between_donation_2</vt:lpwstr>
      </vt:variant>
      <vt:variant>
        <vt:i4>4456551</vt:i4>
      </vt:variant>
      <vt:variant>
        <vt:i4>1680</vt:i4>
      </vt:variant>
      <vt:variant>
        <vt:i4>0</vt:i4>
      </vt:variant>
      <vt:variant>
        <vt:i4>5</vt:i4>
      </vt:variant>
      <vt:variant>
        <vt:lpwstr/>
      </vt:variant>
      <vt:variant>
        <vt:lpwstr>_Implications_of_import</vt:lpwstr>
      </vt:variant>
      <vt:variant>
        <vt:i4>917536</vt:i4>
      </vt:variant>
      <vt:variant>
        <vt:i4>1674</vt:i4>
      </vt:variant>
      <vt:variant>
        <vt:i4>0</vt:i4>
      </vt:variant>
      <vt:variant>
        <vt:i4>5</vt:i4>
      </vt:variant>
      <vt:variant>
        <vt:lpwstr/>
      </vt:variant>
      <vt:variant>
        <vt:lpwstr>_Information_about_potential</vt:lpwstr>
      </vt:variant>
      <vt:variant>
        <vt:i4>2949143</vt:i4>
      </vt:variant>
      <vt:variant>
        <vt:i4>1671</vt:i4>
      </vt:variant>
      <vt:variant>
        <vt:i4>0</vt:i4>
      </vt:variant>
      <vt:variant>
        <vt:i4>5</vt:i4>
      </vt:variant>
      <vt:variant>
        <vt:lpwstr/>
      </vt:variant>
      <vt:variant>
        <vt:lpwstr>_Disclosure_of_clinically</vt:lpwstr>
      </vt:variant>
      <vt:variant>
        <vt:i4>1966116</vt:i4>
      </vt:variant>
      <vt:variant>
        <vt:i4>1668</vt:i4>
      </vt:variant>
      <vt:variant>
        <vt:i4>0</vt:i4>
      </vt:variant>
      <vt:variant>
        <vt:i4>5</vt:i4>
      </vt:variant>
      <vt:variant>
        <vt:lpwstr/>
      </vt:variant>
      <vt:variant>
        <vt:lpwstr>_Legislation</vt:lpwstr>
      </vt:variant>
      <vt:variant>
        <vt:i4>3538985</vt:i4>
      </vt:variant>
      <vt:variant>
        <vt:i4>1665</vt:i4>
      </vt:variant>
      <vt:variant>
        <vt:i4>0</vt:i4>
      </vt:variant>
      <vt:variant>
        <vt:i4>5</vt:i4>
      </vt:variant>
      <vt:variant>
        <vt:lpwstr/>
      </vt:variant>
      <vt:variant>
        <vt:lpwstr>_Risks_and_benefits_1</vt:lpwstr>
      </vt:variant>
      <vt:variant>
        <vt:i4>6881365</vt:i4>
      </vt:variant>
      <vt:variant>
        <vt:i4>1662</vt:i4>
      </vt:variant>
      <vt:variant>
        <vt:i4>0</vt:i4>
      </vt:variant>
      <vt:variant>
        <vt:i4>5</vt:i4>
      </vt:variant>
      <vt:variant>
        <vt:lpwstr/>
      </vt:variant>
      <vt:variant>
        <vt:lpwstr>_Information_and_understanding</vt:lpwstr>
      </vt:variant>
      <vt:variant>
        <vt:i4>1966116</vt:i4>
      </vt:variant>
      <vt:variant>
        <vt:i4>1659</vt:i4>
      </vt:variant>
      <vt:variant>
        <vt:i4>0</vt:i4>
      </vt:variant>
      <vt:variant>
        <vt:i4>5</vt:i4>
      </vt:variant>
      <vt:variant>
        <vt:lpwstr/>
      </vt:variant>
      <vt:variant>
        <vt:lpwstr>_Legislation</vt:lpwstr>
      </vt:variant>
      <vt:variant>
        <vt:i4>3538957</vt:i4>
      </vt:variant>
      <vt:variant>
        <vt:i4>1656</vt:i4>
      </vt:variant>
      <vt:variant>
        <vt:i4>0</vt:i4>
      </vt:variant>
      <vt:variant>
        <vt:i4>5</vt:i4>
      </vt:variant>
      <vt:variant>
        <vt:lpwstr/>
      </vt:variant>
      <vt:variant>
        <vt:lpwstr>_The_role_of</vt:lpwstr>
      </vt:variant>
      <vt:variant>
        <vt:i4>2621455</vt:i4>
      </vt:variant>
      <vt:variant>
        <vt:i4>1653</vt:i4>
      </vt:variant>
      <vt:variant>
        <vt:i4>0</vt:i4>
      </vt:variant>
      <vt:variant>
        <vt:i4>5</vt:i4>
      </vt:variant>
      <vt:variant>
        <vt:lpwstr/>
      </vt:variant>
      <vt:variant>
        <vt:lpwstr>_Voluntariness_of_consent</vt:lpwstr>
      </vt:variant>
      <vt:variant>
        <vt:i4>4915231</vt:i4>
      </vt:variant>
      <vt:variant>
        <vt:i4>1650</vt:i4>
      </vt:variant>
      <vt:variant>
        <vt:i4>0</vt:i4>
      </vt:variant>
      <vt:variant>
        <vt:i4>5</vt:i4>
      </vt:variant>
      <vt:variant>
        <vt:lpwstr/>
      </vt:variant>
      <vt:variant>
        <vt:lpwstr>_Shared_decision-making</vt:lpwstr>
      </vt:variant>
      <vt:variant>
        <vt:i4>4915231</vt:i4>
      </vt:variant>
      <vt:variant>
        <vt:i4>1647</vt:i4>
      </vt:variant>
      <vt:variant>
        <vt:i4>0</vt:i4>
      </vt:variant>
      <vt:variant>
        <vt:i4>5</vt:i4>
      </vt:variant>
      <vt:variant>
        <vt:lpwstr/>
      </vt:variant>
      <vt:variant>
        <vt:lpwstr>_Shared_decision-making</vt:lpwstr>
      </vt:variant>
      <vt:variant>
        <vt:i4>5636184</vt:i4>
      </vt:variant>
      <vt:variant>
        <vt:i4>1644</vt:i4>
      </vt:variant>
      <vt:variant>
        <vt:i4>0</vt:i4>
      </vt:variant>
      <vt:variant>
        <vt:i4>5</vt:i4>
      </vt:variant>
      <vt:variant>
        <vt:lpwstr/>
      </vt:variant>
      <vt:variant>
        <vt:lpwstr>_Glossary_2</vt:lpwstr>
      </vt:variant>
      <vt:variant>
        <vt:i4>2424945</vt:i4>
      </vt:variant>
      <vt:variant>
        <vt:i4>1641</vt:i4>
      </vt:variant>
      <vt:variant>
        <vt:i4>0</vt:i4>
      </vt:variant>
      <vt:variant>
        <vt:i4>5</vt:i4>
      </vt:variant>
      <vt:variant>
        <vt:lpwstr/>
      </vt:variant>
      <vt:variant>
        <vt:lpwstr>_Supported_decision-making</vt:lpwstr>
      </vt:variant>
      <vt:variant>
        <vt:i4>5636184</vt:i4>
      </vt:variant>
      <vt:variant>
        <vt:i4>1638</vt:i4>
      </vt:variant>
      <vt:variant>
        <vt:i4>0</vt:i4>
      </vt:variant>
      <vt:variant>
        <vt:i4>5</vt:i4>
      </vt:variant>
      <vt:variant>
        <vt:lpwstr/>
      </vt:variant>
      <vt:variant>
        <vt:lpwstr>_Glossary_2</vt:lpwstr>
      </vt:variant>
      <vt:variant>
        <vt:i4>2949142</vt:i4>
      </vt:variant>
      <vt:variant>
        <vt:i4>1635</vt:i4>
      </vt:variant>
      <vt:variant>
        <vt:i4>0</vt:i4>
      </vt:variant>
      <vt:variant>
        <vt:i4>5</vt:i4>
      </vt:variant>
      <vt:variant>
        <vt:lpwstr/>
      </vt:variant>
      <vt:variant>
        <vt:lpwstr>_Approaches_to_substitute</vt:lpwstr>
      </vt:variant>
      <vt:variant>
        <vt:i4>5636184</vt:i4>
      </vt:variant>
      <vt:variant>
        <vt:i4>1632</vt:i4>
      </vt:variant>
      <vt:variant>
        <vt:i4>0</vt:i4>
      </vt:variant>
      <vt:variant>
        <vt:i4>5</vt:i4>
      </vt:variant>
      <vt:variant>
        <vt:lpwstr/>
      </vt:variant>
      <vt:variant>
        <vt:lpwstr>_Glossary_2</vt:lpwstr>
      </vt:variant>
      <vt:variant>
        <vt:i4>131122</vt:i4>
      </vt:variant>
      <vt:variant>
        <vt:i4>1629</vt:i4>
      </vt:variant>
      <vt:variant>
        <vt:i4>0</vt:i4>
      </vt:variant>
      <vt:variant>
        <vt:i4>5</vt:i4>
      </vt:variant>
      <vt:variant>
        <vt:lpwstr/>
      </vt:variant>
      <vt:variant>
        <vt:lpwstr>_Children_who_may</vt:lpwstr>
      </vt:variant>
      <vt:variant>
        <vt:i4>1441893</vt:i4>
      </vt:variant>
      <vt:variant>
        <vt:i4>1626</vt:i4>
      </vt:variant>
      <vt:variant>
        <vt:i4>0</vt:i4>
      </vt:variant>
      <vt:variant>
        <vt:i4>5</vt:i4>
      </vt:variant>
      <vt:variant>
        <vt:lpwstr/>
      </vt:variant>
      <vt:variant>
        <vt:lpwstr>_Appendix_3_–</vt:lpwstr>
      </vt:variant>
      <vt:variant>
        <vt:i4>3735585</vt:i4>
      </vt:variant>
      <vt:variant>
        <vt:i4>1623</vt:i4>
      </vt:variant>
      <vt:variant>
        <vt:i4>0</vt:i4>
      </vt:variant>
      <vt:variant>
        <vt:i4>5</vt:i4>
      </vt:variant>
      <vt:variant>
        <vt:lpwstr/>
      </vt:variant>
      <vt:variant>
        <vt:lpwstr>_Cultural_safety</vt:lpwstr>
      </vt:variant>
      <vt:variant>
        <vt:i4>6553634</vt:i4>
      </vt:variant>
      <vt:variant>
        <vt:i4>1620</vt:i4>
      </vt:variant>
      <vt:variant>
        <vt:i4>0</vt:i4>
      </vt:variant>
      <vt:variant>
        <vt:i4>5</vt:i4>
      </vt:variant>
      <vt:variant>
        <vt:lpwstr/>
      </vt:variant>
      <vt:variant>
        <vt:lpwstr>_Ethics_of_ethical_1</vt:lpwstr>
      </vt:variant>
      <vt:variant>
        <vt:i4>6881370</vt:i4>
      </vt:variant>
      <vt:variant>
        <vt:i4>1617</vt:i4>
      </vt:variant>
      <vt:variant>
        <vt:i4>0</vt:i4>
      </vt:variant>
      <vt:variant>
        <vt:i4>5</vt:i4>
      </vt:variant>
      <vt:variant>
        <vt:lpwstr/>
      </vt:variant>
      <vt:variant>
        <vt:lpwstr>_Risks_and_benefits</vt:lpwstr>
      </vt:variant>
      <vt:variant>
        <vt:i4>1900607</vt:i4>
      </vt:variant>
      <vt:variant>
        <vt:i4>1614</vt:i4>
      </vt:variant>
      <vt:variant>
        <vt:i4>0</vt:i4>
      </vt:variant>
      <vt:variant>
        <vt:i4>5</vt:i4>
      </vt:variant>
      <vt:variant>
        <vt:lpwstr/>
      </vt:variant>
      <vt:variant>
        <vt:lpwstr>_Donation_and_transplantation</vt:lpwstr>
      </vt:variant>
      <vt:variant>
        <vt:i4>3735585</vt:i4>
      </vt:variant>
      <vt:variant>
        <vt:i4>1611</vt:i4>
      </vt:variant>
      <vt:variant>
        <vt:i4>0</vt:i4>
      </vt:variant>
      <vt:variant>
        <vt:i4>5</vt:i4>
      </vt:variant>
      <vt:variant>
        <vt:lpwstr/>
      </vt:variant>
      <vt:variant>
        <vt:lpwstr>_Cultural_safety</vt:lpwstr>
      </vt:variant>
      <vt:variant>
        <vt:i4>5046385</vt:i4>
      </vt:variant>
      <vt:variant>
        <vt:i4>1608</vt:i4>
      </vt:variant>
      <vt:variant>
        <vt:i4>0</vt:i4>
      </vt:variant>
      <vt:variant>
        <vt:i4>5</vt:i4>
      </vt:variant>
      <vt:variant>
        <vt:lpwstr/>
      </vt:variant>
      <vt:variant>
        <vt:lpwstr>_Ethical_principles_guiding</vt:lpwstr>
      </vt:variant>
      <vt:variant>
        <vt:i4>6946866</vt:i4>
      </vt:variant>
      <vt:variant>
        <vt:i4>1605</vt:i4>
      </vt:variant>
      <vt:variant>
        <vt:i4>0</vt:i4>
      </vt:variant>
      <vt:variant>
        <vt:i4>5</vt:i4>
      </vt:variant>
      <vt:variant>
        <vt:lpwstr>https://www.medicalboard.gov.au/codes-guidelines-policies/code-of-conduct.aspx</vt:lpwstr>
      </vt:variant>
      <vt:variant>
        <vt:lpwstr/>
      </vt:variant>
      <vt:variant>
        <vt:i4>5111922</vt:i4>
      </vt:variant>
      <vt:variant>
        <vt:i4>1596</vt:i4>
      </vt:variant>
      <vt:variant>
        <vt:i4>0</vt:i4>
      </vt:variant>
      <vt:variant>
        <vt:i4>5</vt:i4>
      </vt:variant>
      <vt:variant>
        <vt:lpwstr/>
      </vt:variant>
      <vt:variant>
        <vt:lpwstr>_Risk_acceptance_in</vt:lpwstr>
      </vt:variant>
      <vt:variant>
        <vt:i4>3080207</vt:i4>
      </vt:variant>
      <vt:variant>
        <vt:i4>1590</vt:i4>
      </vt:variant>
      <vt:variant>
        <vt:i4>0</vt:i4>
      </vt:variant>
      <vt:variant>
        <vt:i4>5</vt:i4>
      </vt:variant>
      <vt:variant>
        <vt:lpwstr/>
      </vt:variant>
      <vt:variant>
        <vt:lpwstr>_Management_of_conflicts</vt:lpwstr>
      </vt:variant>
      <vt:variant>
        <vt:i4>4718693</vt:i4>
      </vt:variant>
      <vt:variant>
        <vt:i4>1584</vt:i4>
      </vt:variant>
      <vt:variant>
        <vt:i4>0</vt:i4>
      </vt:variant>
      <vt:variant>
        <vt:i4>5</vt:i4>
      </vt:variant>
      <vt:variant>
        <vt:lpwstr/>
      </vt:variant>
      <vt:variant>
        <vt:lpwstr>_Approach_to_substitute</vt:lpwstr>
      </vt:variant>
      <vt:variant>
        <vt:i4>1966160</vt:i4>
      </vt:variant>
      <vt:variant>
        <vt:i4>1581</vt:i4>
      </vt:variant>
      <vt:variant>
        <vt:i4>0</vt:i4>
      </vt:variant>
      <vt:variant>
        <vt:i4>5</vt:i4>
      </vt:variant>
      <vt:variant>
        <vt:lpwstr/>
      </vt:variant>
      <vt:variant>
        <vt:lpwstr>_Management_of_conflicts_1</vt:lpwstr>
      </vt:variant>
      <vt:variant>
        <vt:i4>3670018</vt:i4>
      </vt:variant>
      <vt:variant>
        <vt:i4>1578</vt:i4>
      </vt:variant>
      <vt:variant>
        <vt:i4>0</vt:i4>
      </vt:variant>
      <vt:variant>
        <vt:i4>5</vt:i4>
      </vt:variant>
      <vt:variant>
        <vt:lpwstr/>
      </vt:variant>
      <vt:variant>
        <vt:lpwstr>_Duty_of_care</vt:lpwstr>
      </vt:variant>
      <vt:variant>
        <vt:i4>6946910</vt:i4>
      </vt:variant>
      <vt:variant>
        <vt:i4>1575</vt:i4>
      </vt:variant>
      <vt:variant>
        <vt:i4>0</vt:i4>
      </vt:variant>
      <vt:variant>
        <vt:i4>5</vt:i4>
      </vt:variant>
      <vt:variant>
        <vt:lpwstr/>
      </vt:variant>
      <vt:variant>
        <vt:lpwstr>_Principle_4._In</vt:lpwstr>
      </vt:variant>
      <vt:variant>
        <vt:i4>3276805</vt:i4>
      </vt:variant>
      <vt:variant>
        <vt:i4>1560</vt:i4>
      </vt:variant>
      <vt:variant>
        <vt:i4>0</vt:i4>
      </vt:variant>
      <vt:variant>
        <vt:i4>5</vt:i4>
      </vt:variant>
      <vt:variant>
        <vt:lpwstr/>
      </vt:variant>
      <vt:variant>
        <vt:lpwstr>_Deceased_donation_after</vt:lpwstr>
      </vt:variant>
      <vt:variant>
        <vt:i4>5636184</vt:i4>
      </vt:variant>
      <vt:variant>
        <vt:i4>1557</vt:i4>
      </vt:variant>
      <vt:variant>
        <vt:i4>0</vt:i4>
      </vt:variant>
      <vt:variant>
        <vt:i4>5</vt:i4>
      </vt:variant>
      <vt:variant>
        <vt:lpwstr/>
      </vt:variant>
      <vt:variant>
        <vt:lpwstr>_Glossary_2</vt:lpwstr>
      </vt:variant>
      <vt:variant>
        <vt:i4>5636184</vt:i4>
      </vt:variant>
      <vt:variant>
        <vt:i4>1551</vt:i4>
      </vt:variant>
      <vt:variant>
        <vt:i4>0</vt:i4>
      </vt:variant>
      <vt:variant>
        <vt:i4>5</vt:i4>
      </vt:variant>
      <vt:variant>
        <vt:lpwstr/>
      </vt:variant>
      <vt:variant>
        <vt:lpwstr>_Glossary_2</vt:lpwstr>
      </vt:variant>
      <vt:variant>
        <vt:i4>5636184</vt:i4>
      </vt:variant>
      <vt:variant>
        <vt:i4>1548</vt:i4>
      </vt:variant>
      <vt:variant>
        <vt:i4>0</vt:i4>
      </vt:variant>
      <vt:variant>
        <vt:i4>5</vt:i4>
      </vt:variant>
      <vt:variant>
        <vt:lpwstr/>
      </vt:variant>
      <vt:variant>
        <vt:lpwstr>_Glossary_2</vt:lpwstr>
      </vt:variant>
      <vt:variant>
        <vt:i4>3735585</vt:i4>
      </vt:variant>
      <vt:variant>
        <vt:i4>1542</vt:i4>
      </vt:variant>
      <vt:variant>
        <vt:i4>0</vt:i4>
      </vt:variant>
      <vt:variant>
        <vt:i4>5</vt:i4>
      </vt:variant>
      <vt:variant>
        <vt:lpwstr/>
      </vt:variant>
      <vt:variant>
        <vt:lpwstr>_Cultural_safety</vt:lpwstr>
      </vt:variant>
      <vt:variant>
        <vt:i4>1703987</vt:i4>
      </vt:variant>
      <vt:variant>
        <vt:i4>1539</vt:i4>
      </vt:variant>
      <vt:variant>
        <vt:i4>0</vt:i4>
      </vt:variant>
      <vt:variant>
        <vt:i4>5</vt:i4>
      </vt:variant>
      <vt:variant>
        <vt:lpwstr/>
      </vt:variant>
      <vt:variant>
        <vt:lpwstr>_Determining_proportionality_and</vt:lpwstr>
      </vt:variant>
      <vt:variant>
        <vt:i4>6422592</vt:i4>
      </vt:variant>
      <vt:variant>
        <vt:i4>1536</vt:i4>
      </vt:variant>
      <vt:variant>
        <vt:i4>0</vt:i4>
      </vt:variant>
      <vt:variant>
        <vt:i4>5</vt:i4>
      </vt:variant>
      <vt:variant>
        <vt:lpwstr/>
      </vt:variant>
      <vt:variant>
        <vt:lpwstr>_Procedural_justice_and</vt:lpwstr>
      </vt:variant>
      <vt:variant>
        <vt:i4>6291465</vt:i4>
      </vt:variant>
      <vt:variant>
        <vt:i4>1533</vt:i4>
      </vt:variant>
      <vt:variant>
        <vt:i4>0</vt:i4>
      </vt:variant>
      <vt:variant>
        <vt:i4>5</vt:i4>
      </vt:variant>
      <vt:variant>
        <vt:lpwstr/>
      </vt:variant>
      <vt:variant>
        <vt:lpwstr>_Principle_3._Decision-making</vt:lpwstr>
      </vt:variant>
      <vt:variant>
        <vt:i4>8323161</vt:i4>
      </vt:variant>
      <vt:variant>
        <vt:i4>1527</vt:i4>
      </vt:variant>
      <vt:variant>
        <vt:i4>0</vt:i4>
      </vt:variant>
      <vt:variant>
        <vt:i4>5</vt:i4>
      </vt:variant>
      <vt:variant>
        <vt:lpwstr/>
      </vt:variant>
      <vt:variant>
        <vt:lpwstr>_Therapeutics_Goods_Administration</vt:lpwstr>
      </vt:variant>
      <vt:variant>
        <vt:i4>8323104</vt:i4>
      </vt:variant>
      <vt:variant>
        <vt:i4>1524</vt:i4>
      </vt:variant>
      <vt:variant>
        <vt:i4>0</vt:i4>
      </vt:variant>
      <vt:variant>
        <vt:i4>5</vt:i4>
      </vt:variant>
      <vt:variant>
        <vt:lpwstr>https://www.legislation.gov.au/Details/C2019C00066</vt:lpwstr>
      </vt:variant>
      <vt:variant>
        <vt:lpwstr/>
      </vt:variant>
      <vt:variant>
        <vt:i4>5505109</vt:i4>
      </vt:variant>
      <vt:variant>
        <vt:i4>1521</vt:i4>
      </vt:variant>
      <vt:variant>
        <vt:i4>0</vt:i4>
      </vt:variant>
      <vt:variant>
        <vt:i4>5</vt:i4>
      </vt:variant>
      <vt:variant>
        <vt:lpwstr/>
      </vt:variant>
      <vt:variant>
        <vt:lpwstr>_Consent_for_deceased_2</vt:lpwstr>
      </vt:variant>
      <vt:variant>
        <vt:i4>1245203</vt:i4>
      </vt:variant>
      <vt:variant>
        <vt:i4>1518</vt:i4>
      </vt:variant>
      <vt:variant>
        <vt:i4>0</vt:i4>
      </vt:variant>
      <vt:variant>
        <vt:i4>5</vt:i4>
      </vt:variant>
      <vt:variant>
        <vt:lpwstr/>
      </vt:variant>
      <vt:variant>
        <vt:lpwstr>_Determination_of_Death_2</vt:lpwstr>
      </vt:variant>
      <vt:variant>
        <vt:i4>6619176</vt:i4>
      </vt:variant>
      <vt:variant>
        <vt:i4>1515</vt:i4>
      </vt:variant>
      <vt:variant>
        <vt:i4>0</vt:i4>
      </vt:variant>
      <vt:variant>
        <vt:i4>5</vt:i4>
      </vt:variant>
      <vt:variant>
        <vt:lpwstr/>
      </vt:variant>
      <vt:variant>
        <vt:lpwstr>_Ethical_considerations_in_1</vt:lpwstr>
      </vt:variant>
      <vt:variant>
        <vt:i4>2293866</vt:i4>
      </vt:variant>
      <vt:variant>
        <vt:i4>1512</vt:i4>
      </vt:variant>
      <vt:variant>
        <vt:i4>0</vt:i4>
      </vt:variant>
      <vt:variant>
        <vt:i4>5</vt:i4>
      </vt:variant>
      <vt:variant>
        <vt:lpwstr>https://www.legislation.qld.gov.au/view/html/inforce/curren</vt:lpwstr>
      </vt:variant>
      <vt:variant>
        <vt:lpwstr/>
      </vt:variant>
      <vt:variant>
        <vt:i4>6160469</vt:i4>
      </vt:variant>
      <vt:variant>
        <vt:i4>1509</vt:i4>
      </vt:variant>
      <vt:variant>
        <vt:i4>0</vt:i4>
      </vt:variant>
      <vt:variant>
        <vt:i4>5</vt:i4>
      </vt:variant>
      <vt:variant>
        <vt:lpwstr>https://www.legislation.qld.gov.au/view/html/inforce/current/act-1979-074</vt:lpwstr>
      </vt:variant>
      <vt:variant>
        <vt:lpwstr/>
      </vt:variant>
      <vt:variant>
        <vt:i4>5177426</vt:i4>
      </vt:variant>
      <vt:variant>
        <vt:i4>1506</vt:i4>
      </vt:variant>
      <vt:variant>
        <vt:i4>0</vt:i4>
      </vt:variant>
      <vt:variant>
        <vt:i4>5</vt:i4>
      </vt:variant>
      <vt:variant>
        <vt:lpwstr>https://www.legislation.nsw.gov.au/view/html/inforce/current/act-1983-164</vt:lpwstr>
      </vt:variant>
      <vt:variant>
        <vt:lpwstr/>
      </vt:variant>
      <vt:variant>
        <vt:i4>5177426</vt:i4>
      </vt:variant>
      <vt:variant>
        <vt:i4>1503</vt:i4>
      </vt:variant>
      <vt:variant>
        <vt:i4>0</vt:i4>
      </vt:variant>
      <vt:variant>
        <vt:i4>5</vt:i4>
      </vt:variant>
      <vt:variant>
        <vt:lpwstr>https://www.legislation.nsw.gov.au/view/html/inforce/current/act-1983-164</vt:lpwstr>
      </vt:variant>
      <vt:variant>
        <vt:lpwstr/>
      </vt:variant>
      <vt:variant>
        <vt:i4>1703950</vt:i4>
      </vt:variant>
      <vt:variant>
        <vt:i4>1500</vt:i4>
      </vt:variant>
      <vt:variant>
        <vt:i4>0</vt:i4>
      </vt:variant>
      <vt:variant>
        <vt:i4>5</vt:i4>
      </vt:variant>
      <vt:variant>
        <vt:lpwstr>https://www.legislation.act.gov.au/a/1978-44/</vt:lpwstr>
      </vt:variant>
      <vt:variant>
        <vt:lpwstr/>
      </vt:variant>
      <vt:variant>
        <vt:i4>5636191</vt:i4>
      </vt:variant>
      <vt:variant>
        <vt:i4>1497</vt:i4>
      </vt:variant>
      <vt:variant>
        <vt:i4>0</vt:i4>
      </vt:variant>
      <vt:variant>
        <vt:i4>5</vt:i4>
      </vt:variant>
      <vt:variant>
        <vt:lpwstr/>
      </vt:variant>
      <vt:variant>
        <vt:lpwstr>_Legal_aspects_of_1</vt:lpwstr>
      </vt:variant>
      <vt:variant>
        <vt:i4>3211279</vt:i4>
      </vt:variant>
      <vt:variant>
        <vt:i4>1494</vt:i4>
      </vt:variant>
      <vt:variant>
        <vt:i4>0</vt:i4>
      </vt:variant>
      <vt:variant>
        <vt:i4>5</vt:i4>
      </vt:variant>
      <vt:variant>
        <vt:lpwstr/>
      </vt:variant>
      <vt:variant>
        <vt:lpwstr>_Legal_considerations_in</vt:lpwstr>
      </vt:variant>
      <vt:variant>
        <vt:i4>1245203</vt:i4>
      </vt:variant>
      <vt:variant>
        <vt:i4>1491</vt:i4>
      </vt:variant>
      <vt:variant>
        <vt:i4>0</vt:i4>
      </vt:variant>
      <vt:variant>
        <vt:i4>5</vt:i4>
      </vt:variant>
      <vt:variant>
        <vt:lpwstr/>
      </vt:variant>
      <vt:variant>
        <vt:lpwstr>_Determination_of_death_1</vt:lpwstr>
      </vt:variant>
      <vt:variant>
        <vt:i4>3735635</vt:i4>
      </vt:variant>
      <vt:variant>
        <vt:i4>1488</vt:i4>
      </vt:variant>
      <vt:variant>
        <vt:i4>0</vt:i4>
      </vt:variant>
      <vt:variant>
        <vt:i4>5</vt:i4>
      </vt:variant>
      <vt:variant>
        <vt:lpwstr/>
      </vt:variant>
      <vt:variant>
        <vt:lpwstr>_Decision-making_for_living</vt:lpwstr>
      </vt:variant>
      <vt:variant>
        <vt:i4>3014723</vt:i4>
      </vt:variant>
      <vt:variant>
        <vt:i4>1485</vt:i4>
      </vt:variant>
      <vt:variant>
        <vt:i4>0</vt:i4>
      </vt:variant>
      <vt:variant>
        <vt:i4>5</vt:i4>
      </vt:variant>
      <vt:variant>
        <vt:lpwstr/>
      </vt:variant>
      <vt:variant>
        <vt:lpwstr>_Privacy_legislation_1</vt:lpwstr>
      </vt:variant>
      <vt:variant>
        <vt:i4>6815768</vt:i4>
      </vt:variant>
      <vt:variant>
        <vt:i4>1482</vt:i4>
      </vt:variant>
      <vt:variant>
        <vt:i4>0</vt:i4>
      </vt:variant>
      <vt:variant>
        <vt:i4>5</vt:i4>
      </vt:variant>
      <vt:variant>
        <vt:lpwstr/>
      </vt:variant>
      <vt:variant>
        <vt:lpwstr>_Substitute_decision-making_and</vt:lpwstr>
      </vt:variant>
      <vt:variant>
        <vt:i4>5505109</vt:i4>
      </vt:variant>
      <vt:variant>
        <vt:i4>1479</vt:i4>
      </vt:variant>
      <vt:variant>
        <vt:i4>0</vt:i4>
      </vt:variant>
      <vt:variant>
        <vt:i4>5</vt:i4>
      </vt:variant>
      <vt:variant>
        <vt:lpwstr/>
      </vt:variant>
      <vt:variant>
        <vt:lpwstr>_Consent_for_deceased_2</vt:lpwstr>
      </vt:variant>
      <vt:variant>
        <vt:i4>8126530</vt:i4>
      </vt:variant>
      <vt:variant>
        <vt:i4>1476</vt:i4>
      </vt:variant>
      <vt:variant>
        <vt:i4>0</vt:i4>
      </vt:variant>
      <vt:variant>
        <vt:i4>5</vt:i4>
      </vt:variant>
      <vt:variant>
        <vt:lpwstr/>
      </vt:variant>
      <vt:variant>
        <vt:lpwstr>_Consent_for_living</vt:lpwstr>
      </vt:variant>
      <vt:variant>
        <vt:i4>1441893</vt:i4>
      </vt:variant>
      <vt:variant>
        <vt:i4>1470</vt:i4>
      </vt:variant>
      <vt:variant>
        <vt:i4>0</vt:i4>
      </vt:variant>
      <vt:variant>
        <vt:i4>5</vt:i4>
      </vt:variant>
      <vt:variant>
        <vt:lpwstr/>
      </vt:variant>
      <vt:variant>
        <vt:lpwstr>_Appendix_3_–</vt:lpwstr>
      </vt:variant>
      <vt:variant>
        <vt:i4>7340118</vt:i4>
      </vt:variant>
      <vt:variant>
        <vt:i4>1467</vt:i4>
      </vt:variant>
      <vt:variant>
        <vt:i4>0</vt:i4>
      </vt:variant>
      <vt:variant>
        <vt:i4>5</vt:i4>
      </vt:variant>
      <vt:variant>
        <vt:lpwstr/>
      </vt:variant>
      <vt:variant>
        <vt:lpwstr>_Framework_for_ethical</vt:lpwstr>
      </vt:variant>
      <vt:variant>
        <vt:i4>4325457</vt:i4>
      </vt:variant>
      <vt:variant>
        <vt:i4>1461</vt:i4>
      </vt:variant>
      <vt:variant>
        <vt:i4>0</vt:i4>
      </vt:variant>
      <vt:variant>
        <vt:i4>5</vt:i4>
      </vt:variant>
      <vt:variant>
        <vt:lpwstr/>
      </vt:variant>
      <vt:variant>
        <vt:lpwstr>_Donation_and_transplantation_1</vt:lpwstr>
      </vt:variant>
      <vt:variant>
        <vt:i4>5636184</vt:i4>
      </vt:variant>
      <vt:variant>
        <vt:i4>1458</vt:i4>
      </vt:variant>
      <vt:variant>
        <vt:i4>0</vt:i4>
      </vt:variant>
      <vt:variant>
        <vt:i4>5</vt:i4>
      </vt:variant>
      <vt:variant>
        <vt:lpwstr/>
      </vt:variant>
      <vt:variant>
        <vt:lpwstr>_Glossary_2</vt:lpwstr>
      </vt:variant>
      <vt:variant>
        <vt:i4>4325457</vt:i4>
      </vt:variant>
      <vt:variant>
        <vt:i4>1452</vt:i4>
      </vt:variant>
      <vt:variant>
        <vt:i4>0</vt:i4>
      </vt:variant>
      <vt:variant>
        <vt:i4>5</vt:i4>
      </vt:variant>
      <vt:variant>
        <vt:lpwstr/>
      </vt:variant>
      <vt:variant>
        <vt:lpwstr>_Donation_and_transplantation_1</vt:lpwstr>
      </vt:variant>
      <vt:variant>
        <vt:i4>5636184</vt:i4>
      </vt:variant>
      <vt:variant>
        <vt:i4>1449</vt:i4>
      </vt:variant>
      <vt:variant>
        <vt:i4>0</vt:i4>
      </vt:variant>
      <vt:variant>
        <vt:i4>5</vt:i4>
      </vt:variant>
      <vt:variant>
        <vt:lpwstr/>
      </vt:variant>
      <vt:variant>
        <vt:lpwstr>_Glossary_2</vt:lpwstr>
      </vt:variant>
      <vt:variant>
        <vt:i4>5636184</vt:i4>
      </vt:variant>
      <vt:variant>
        <vt:i4>1446</vt:i4>
      </vt:variant>
      <vt:variant>
        <vt:i4>0</vt:i4>
      </vt:variant>
      <vt:variant>
        <vt:i4>5</vt:i4>
      </vt:variant>
      <vt:variant>
        <vt:lpwstr/>
      </vt:variant>
      <vt:variant>
        <vt:lpwstr>_Glossary_2</vt:lpwstr>
      </vt:variant>
      <vt:variant>
        <vt:i4>1441893</vt:i4>
      </vt:variant>
      <vt:variant>
        <vt:i4>1443</vt:i4>
      </vt:variant>
      <vt:variant>
        <vt:i4>0</vt:i4>
      </vt:variant>
      <vt:variant>
        <vt:i4>5</vt:i4>
      </vt:variant>
      <vt:variant>
        <vt:lpwstr/>
      </vt:variant>
      <vt:variant>
        <vt:lpwstr>_Appendix_3_–</vt:lpwstr>
      </vt:variant>
      <vt:variant>
        <vt:i4>1441893</vt:i4>
      </vt:variant>
      <vt:variant>
        <vt:i4>1434</vt:i4>
      </vt:variant>
      <vt:variant>
        <vt:i4>0</vt:i4>
      </vt:variant>
      <vt:variant>
        <vt:i4>5</vt:i4>
      </vt:variant>
      <vt:variant>
        <vt:lpwstr/>
      </vt:variant>
      <vt:variant>
        <vt:lpwstr>_Appendix_3_–</vt:lpwstr>
      </vt:variant>
      <vt:variant>
        <vt:i4>6357001</vt:i4>
      </vt:variant>
      <vt:variant>
        <vt:i4>1431</vt:i4>
      </vt:variant>
      <vt:variant>
        <vt:i4>0</vt:i4>
      </vt:variant>
      <vt:variant>
        <vt:i4>5</vt:i4>
      </vt:variant>
      <vt:variant>
        <vt:lpwstr/>
      </vt:variant>
      <vt:variant>
        <vt:lpwstr>_Principle_2._Decision-making</vt:lpwstr>
      </vt:variant>
      <vt:variant>
        <vt:i4>6553634</vt:i4>
      </vt:variant>
      <vt:variant>
        <vt:i4>1428</vt:i4>
      </vt:variant>
      <vt:variant>
        <vt:i4>0</vt:i4>
      </vt:variant>
      <vt:variant>
        <vt:i4>5</vt:i4>
      </vt:variant>
      <vt:variant>
        <vt:lpwstr/>
      </vt:variant>
      <vt:variant>
        <vt:lpwstr>_Ethics_of_ethical_1</vt:lpwstr>
      </vt:variant>
      <vt:variant>
        <vt:i4>3735585</vt:i4>
      </vt:variant>
      <vt:variant>
        <vt:i4>1425</vt:i4>
      </vt:variant>
      <vt:variant>
        <vt:i4>0</vt:i4>
      </vt:variant>
      <vt:variant>
        <vt:i4>5</vt:i4>
      </vt:variant>
      <vt:variant>
        <vt:lpwstr/>
      </vt:variant>
      <vt:variant>
        <vt:lpwstr>_Cultural_safety</vt:lpwstr>
      </vt:variant>
      <vt:variant>
        <vt:i4>5636184</vt:i4>
      </vt:variant>
      <vt:variant>
        <vt:i4>1422</vt:i4>
      </vt:variant>
      <vt:variant>
        <vt:i4>0</vt:i4>
      </vt:variant>
      <vt:variant>
        <vt:i4>5</vt:i4>
      </vt:variant>
      <vt:variant>
        <vt:lpwstr/>
      </vt:variant>
      <vt:variant>
        <vt:lpwstr>_Glossary_2</vt:lpwstr>
      </vt:variant>
      <vt:variant>
        <vt:i4>3538966</vt:i4>
      </vt:variant>
      <vt:variant>
        <vt:i4>1419</vt:i4>
      </vt:variant>
      <vt:variant>
        <vt:i4>0</vt:i4>
      </vt:variant>
      <vt:variant>
        <vt:i4>5</vt:i4>
      </vt:variant>
      <vt:variant>
        <vt:lpwstr/>
      </vt:variant>
      <vt:variant>
        <vt:lpwstr>_Clarity_of_communication</vt:lpwstr>
      </vt:variant>
      <vt:variant>
        <vt:i4>3735585</vt:i4>
      </vt:variant>
      <vt:variant>
        <vt:i4>1416</vt:i4>
      </vt:variant>
      <vt:variant>
        <vt:i4>0</vt:i4>
      </vt:variant>
      <vt:variant>
        <vt:i4>5</vt:i4>
      </vt:variant>
      <vt:variant>
        <vt:lpwstr/>
      </vt:variant>
      <vt:variant>
        <vt:lpwstr>_Cultural_safety</vt:lpwstr>
      </vt:variant>
      <vt:variant>
        <vt:i4>7602241</vt:i4>
      </vt:variant>
      <vt:variant>
        <vt:i4>1413</vt:i4>
      </vt:variant>
      <vt:variant>
        <vt:i4>0</vt:i4>
      </vt:variant>
      <vt:variant>
        <vt:i4>5</vt:i4>
      </vt:variant>
      <vt:variant>
        <vt:lpwstr/>
      </vt:variant>
      <vt:variant>
        <vt:lpwstr>_Faith_and_Religion</vt:lpwstr>
      </vt:variant>
      <vt:variant>
        <vt:i4>2293763</vt:i4>
      </vt:variant>
      <vt:variant>
        <vt:i4>1410</vt:i4>
      </vt:variant>
      <vt:variant>
        <vt:i4>0</vt:i4>
      </vt:variant>
      <vt:variant>
        <vt:i4>5</vt:i4>
      </vt:variant>
      <vt:variant>
        <vt:lpwstr/>
      </vt:variant>
      <vt:variant>
        <vt:lpwstr>_Financial_neutrality_in</vt:lpwstr>
      </vt:variant>
      <vt:variant>
        <vt:i4>917536</vt:i4>
      </vt:variant>
      <vt:variant>
        <vt:i4>1407</vt:i4>
      </vt:variant>
      <vt:variant>
        <vt:i4>0</vt:i4>
      </vt:variant>
      <vt:variant>
        <vt:i4>5</vt:i4>
      </vt:variant>
      <vt:variant>
        <vt:lpwstr/>
      </vt:variant>
      <vt:variant>
        <vt:lpwstr>_Incentives_for_donation</vt:lpwstr>
      </vt:variant>
      <vt:variant>
        <vt:i4>6946910</vt:i4>
      </vt:variant>
      <vt:variant>
        <vt:i4>1404</vt:i4>
      </vt:variant>
      <vt:variant>
        <vt:i4>0</vt:i4>
      </vt:variant>
      <vt:variant>
        <vt:i4>5</vt:i4>
      </vt:variant>
      <vt:variant>
        <vt:lpwstr/>
      </vt:variant>
      <vt:variant>
        <vt:lpwstr>_Voluntariness</vt:lpwstr>
      </vt:variant>
      <vt:variant>
        <vt:i4>5636184</vt:i4>
      </vt:variant>
      <vt:variant>
        <vt:i4>1401</vt:i4>
      </vt:variant>
      <vt:variant>
        <vt:i4>0</vt:i4>
      </vt:variant>
      <vt:variant>
        <vt:i4>5</vt:i4>
      </vt:variant>
      <vt:variant>
        <vt:lpwstr/>
      </vt:variant>
      <vt:variant>
        <vt:lpwstr>_Glossary_2</vt:lpwstr>
      </vt:variant>
      <vt:variant>
        <vt:i4>5701750</vt:i4>
      </vt:variant>
      <vt:variant>
        <vt:i4>1398</vt:i4>
      </vt:variant>
      <vt:variant>
        <vt:i4>0</vt:i4>
      </vt:variant>
      <vt:variant>
        <vt:i4>5</vt:i4>
      </vt:variant>
      <vt:variant>
        <vt:lpwstr/>
      </vt:variant>
      <vt:variant>
        <vt:lpwstr>_Restricted_or_conditional</vt:lpwstr>
      </vt:variant>
      <vt:variant>
        <vt:i4>7340104</vt:i4>
      </vt:variant>
      <vt:variant>
        <vt:i4>1395</vt:i4>
      </vt:variant>
      <vt:variant>
        <vt:i4>0</vt:i4>
      </vt:variant>
      <vt:variant>
        <vt:i4>5</vt:i4>
      </vt:variant>
      <vt:variant>
        <vt:lpwstr/>
      </vt:variant>
      <vt:variant>
        <vt:lpwstr>_Valid_refusal_and</vt:lpwstr>
      </vt:variant>
      <vt:variant>
        <vt:i4>2293821</vt:i4>
      </vt:variant>
      <vt:variant>
        <vt:i4>1392</vt:i4>
      </vt:variant>
      <vt:variant>
        <vt:i4>0</vt:i4>
      </vt:variant>
      <vt:variant>
        <vt:i4>5</vt:i4>
      </vt:variant>
      <vt:variant>
        <vt:lpwstr/>
      </vt:variant>
      <vt:variant>
        <vt:lpwstr>_Commodification_of_cells,_1</vt:lpwstr>
      </vt:variant>
      <vt:variant>
        <vt:i4>5636184</vt:i4>
      </vt:variant>
      <vt:variant>
        <vt:i4>1389</vt:i4>
      </vt:variant>
      <vt:variant>
        <vt:i4>0</vt:i4>
      </vt:variant>
      <vt:variant>
        <vt:i4>5</vt:i4>
      </vt:variant>
      <vt:variant>
        <vt:lpwstr/>
      </vt:variant>
      <vt:variant>
        <vt:lpwstr>_Glossary_2</vt:lpwstr>
      </vt:variant>
      <vt:variant>
        <vt:i4>4194422</vt:i4>
      </vt:variant>
      <vt:variant>
        <vt:i4>1386</vt:i4>
      </vt:variant>
      <vt:variant>
        <vt:i4>0</vt:i4>
      </vt:variant>
      <vt:variant>
        <vt:i4>5</vt:i4>
      </vt:variant>
      <vt:variant>
        <vt:lpwstr/>
      </vt:variant>
      <vt:variant>
        <vt:lpwstr>_The_nature_of</vt:lpwstr>
      </vt:variant>
      <vt:variant>
        <vt:i4>5701752</vt:i4>
      </vt:variant>
      <vt:variant>
        <vt:i4>1383</vt:i4>
      </vt:variant>
      <vt:variant>
        <vt:i4>0</vt:i4>
      </vt:variant>
      <vt:variant>
        <vt:i4>5</vt:i4>
      </vt:variant>
      <vt:variant>
        <vt:lpwstr/>
      </vt:variant>
      <vt:variant>
        <vt:lpwstr>_Commodification_of_organs</vt:lpwstr>
      </vt:variant>
      <vt:variant>
        <vt:i4>4390998</vt:i4>
      </vt:variant>
      <vt:variant>
        <vt:i4>1380</vt:i4>
      </vt:variant>
      <vt:variant>
        <vt:i4>0</vt:i4>
      </vt:variant>
      <vt:variant>
        <vt:i4>5</vt:i4>
      </vt:variant>
      <vt:variant>
        <vt:lpwstr/>
      </vt:variant>
      <vt:variant>
        <vt:lpwstr>_Blood_and_marrow_1</vt:lpwstr>
      </vt:variant>
      <vt:variant>
        <vt:i4>5439609</vt:i4>
      </vt:variant>
      <vt:variant>
        <vt:i4>1377</vt:i4>
      </vt:variant>
      <vt:variant>
        <vt:i4>0</vt:i4>
      </vt:variant>
      <vt:variant>
        <vt:i4>5</vt:i4>
      </vt:variant>
      <vt:variant>
        <vt:lpwstr/>
      </vt:variant>
      <vt:variant>
        <vt:lpwstr>_Stewardship_of_the</vt:lpwstr>
      </vt:variant>
      <vt:variant>
        <vt:i4>589857</vt:i4>
      </vt:variant>
      <vt:variant>
        <vt:i4>1374</vt:i4>
      </vt:variant>
      <vt:variant>
        <vt:i4>0</vt:i4>
      </vt:variant>
      <vt:variant>
        <vt:i4>5</vt:i4>
      </vt:variant>
      <vt:variant>
        <vt:lpwstr/>
      </vt:variant>
      <vt:variant>
        <vt:lpwstr>_Glossary</vt:lpwstr>
      </vt:variant>
      <vt:variant>
        <vt:i4>3145759</vt:i4>
      </vt:variant>
      <vt:variant>
        <vt:i4>1371</vt:i4>
      </vt:variant>
      <vt:variant>
        <vt:i4>0</vt:i4>
      </vt:variant>
      <vt:variant>
        <vt:i4>5</vt:i4>
      </vt:variant>
      <vt:variant>
        <vt:lpwstr/>
      </vt:variant>
      <vt:variant>
        <vt:lpwstr>_Promotion_of_solidarity</vt:lpwstr>
      </vt:variant>
      <vt:variant>
        <vt:i4>5636184</vt:i4>
      </vt:variant>
      <vt:variant>
        <vt:i4>1368</vt:i4>
      </vt:variant>
      <vt:variant>
        <vt:i4>0</vt:i4>
      </vt:variant>
      <vt:variant>
        <vt:i4>5</vt:i4>
      </vt:variant>
      <vt:variant>
        <vt:lpwstr/>
      </vt:variant>
      <vt:variant>
        <vt:lpwstr>_Glossary_1</vt:lpwstr>
      </vt:variant>
      <vt:variant>
        <vt:i4>4063260</vt:i4>
      </vt:variant>
      <vt:variant>
        <vt:i4>1365</vt:i4>
      </vt:variant>
      <vt:variant>
        <vt:i4>0</vt:i4>
      </vt:variant>
      <vt:variant>
        <vt:i4>5</vt:i4>
      </vt:variant>
      <vt:variant>
        <vt:lpwstr/>
      </vt:variant>
      <vt:variant>
        <vt:lpwstr>_Equity_in_opportunities</vt:lpwstr>
      </vt:variant>
      <vt:variant>
        <vt:i4>2424850</vt:i4>
      </vt:variant>
      <vt:variant>
        <vt:i4>1362</vt:i4>
      </vt:variant>
      <vt:variant>
        <vt:i4>0</vt:i4>
      </vt:variant>
      <vt:variant>
        <vt:i4>5</vt:i4>
      </vt:variant>
      <vt:variant>
        <vt:lpwstr/>
      </vt:variant>
      <vt:variant>
        <vt:lpwstr>_Promotion_of_justice</vt:lpwstr>
      </vt:variant>
      <vt:variant>
        <vt:i4>36</vt:i4>
      </vt:variant>
      <vt:variant>
        <vt:i4>1359</vt:i4>
      </vt:variant>
      <vt:variant>
        <vt:i4>0</vt:i4>
      </vt:variant>
      <vt:variant>
        <vt:i4>5</vt:i4>
      </vt:variant>
      <vt:variant>
        <vt:lpwstr/>
      </vt:variant>
      <vt:variant>
        <vt:lpwstr>_Privacy_and_confidentiality</vt:lpwstr>
      </vt:variant>
      <vt:variant>
        <vt:i4>3080214</vt:i4>
      </vt:variant>
      <vt:variant>
        <vt:i4>1356</vt:i4>
      </vt:variant>
      <vt:variant>
        <vt:i4>0</vt:i4>
      </vt:variant>
      <vt:variant>
        <vt:i4>5</vt:i4>
      </vt:variant>
      <vt:variant>
        <vt:lpwstr/>
      </vt:variant>
      <vt:variant>
        <vt:lpwstr>_Promotion_of_the</vt:lpwstr>
      </vt:variant>
      <vt:variant>
        <vt:i4>36</vt:i4>
      </vt:variant>
      <vt:variant>
        <vt:i4>1353</vt:i4>
      </vt:variant>
      <vt:variant>
        <vt:i4>0</vt:i4>
      </vt:variant>
      <vt:variant>
        <vt:i4>5</vt:i4>
      </vt:variant>
      <vt:variant>
        <vt:lpwstr/>
      </vt:variant>
      <vt:variant>
        <vt:lpwstr>_Privacy_and_confidentiality</vt:lpwstr>
      </vt:variant>
      <vt:variant>
        <vt:i4>1835072</vt:i4>
      </vt:variant>
      <vt:variant>
        <vt:i4>1350</vt:i4>
      </vt:variant>
      <vt:variant>
        <vt:i4>0</vt:i4>
      </vt:variant>
      <vt:variant>
        <vt:i4>5</vt:i4>
      </vt:variant>
      <vt:variant>
        <vt:lpwstr/>
      </vt:variant>
      <vt:variant>
        <vt:lpwstr>_Data_collection_and_1</vt:lpwstr>
      </vt:variant>
      <vt:variant>
        <vt:i4>5111901</vt:i4>
      </vt:variant>
      <vt:variant>
        <vt:i4>1347</vt:i4>
      </vt:variant>
      <vt:variant>
        <vt:i4>0</vt:i4>
      </vt:variant>
      <vt:variant>
        <vt:i4>5</vt:i4>
      </vt:variant>
      <vt:variant>
        <vt:lpwstr/>
      </vt:variant>
      <vt:variant>
        <vt:lpwstr>_Organ_and_tissue_2</vt:lpwstr>
      </vt:variant>
      <vt:variant>
        <vt:i4>3211268</vt:i4>
      </vt:variant>
      <vt:variant>
        <vt:i4>1344</vt:i4>
      </vt:variant>
      <vt:variant>
        <vt:i4>0</vt:i4>
      </vt:variant>
      <vt:variant>
        <vt:i4>5</vt:i4>
      </vt:variant>
      <vt:variant>
        <vt:lpwstr/>
      </vt:variant>
      <vt:variant>
        <vt:lpwstr>_Management_of_potential</vt:lpwstr>
      </vt:variant>
      <vt:variant>
        <vt:i4>7405652</vt:i4>
      </vt:variant>
      <vt:variant>
        <vt:i4>1341</vt:i4>
      </vt:variant>
      <vt:variant>
        <vt:i4>0</vt:i4>
      </vt:variant>
      <vt:variant>
        <vt:i4>5</vt:i4>
      </vt:variant>
      <vt:variant>
        <vt:lpwstr/>
      </vt:variant>
      <vt:variant>
        <vt:lpwstr>_Potential_conflicts_of</vt:lpwstr>
      </vt:variant>
      <vt:variant>
        <vt:i4>589857</vt:i4>
      </vt:variant>
      <vt:variant>
        <vt:i4>1338</vt:i4>
      </vt:variant>
      <vt:variant>
        <vt:i4>0</vt:i4>
      </vt:variant>
      <vt:variant>
        <vt:i4>5</vt:i4>
      </vt:variant>
      <vt:variant>
        <vt:lpwstr/>
      </vt:variant>
      <vt:variant>
        <vt:lpwstr>_Glossary</vt:lpwstr>
      </vt:variant>
      <vt:variant>
        <vt:i4>1966160</vt:i4>
      </vt:variant>
      <vt:variant>
        <vt:i4>1335</vt:i4>
      </vt:variant>
      <vt:variant>
        <vt:i4>0</vt:i4>
      </vt:variant>
      <vt:variant>
        <vt:i4>5</vt:i4>
      </vt:variant>
      <vt:variant>
        <vt:lpwstr/>
      </vt:variant>
      <vt:variant>
        <vt:lpwstr>_Management_of_conflicts_1</vt:lpwstr>
      </vt:variant>
      <vt:variant>
        <vt:i4>1966116</vt:i4>
      </vt:variant>
      <vt:variant>
        <vt:i4>1332</vt:i4>
      </vt:variant>
      <vt:variant>
        <vt:i4>0</vt:i4>
      </vt:variant>
      <vt:variant>
        <vt:i4>5</vt:i4>
      </vt:variant>
      <vt:variant>
        <vt:lpwstr/>
      </vt:variant>
      <vt:variant>
        <vt:lpwstr>_Legislation</vt:lpwstr>
      </vt:variant>
      <vt:variant>
        <vt:i4>7798867</vt:i4>
      </vt:variant>
      <vt:variant>
        <vt:i4>1329</vt:i4>
      </vt:variant>
      <vt:variant>
        <vt:i4>0</vt:i4>
      </vt:variant>
      <vt:variant>
        <vt:i4>5</vt:i4>
      </vt:variant>
      <vt:variant>
        <vt:lpwstr/>
      </vt:variant>
      <vt:variant>
        <vt:lpwstr>_Principle_1._Respect</vt:lpwstr>
      </vt:variant>
      <vt:variant>
        <vt:i4>3670018</vt:i4>
      </vt:variant>
      <vt:variant>
        <vt:i4>1326</vt:i4>
      </vt:variant>
      <vt:variant>
        <vt:i4>0</vt:i4>
      </vt:variant>
      <vt:variant>
        <vt:i4>5</vt:i4>
      </vt:variant>
      <vt:variant>
        <vt:lpwstr/>
      </vt:variant>
      <vt:variant>
        <vt:lpwstr>_Duty_of_care</vt:lpwstr>
      </vt:variant>
      <vt:variant>
        <vt:i4>6619254</vt:i4>
      </vt:variant>
      <vt:variant>
        <vt:i4>1323</vt:i4>
      </vt:variant>
      <vt:variant>
        <vt:i4>0</vt:i4>
      </vt:variant>
      <vt:variant>
        <vt:i4>5</vt:i4>
      </vt:variant>
      <vt:variant>
        <vt:lpwstr/>
      </vt:variant>
      <vt:variant>
        <vt:lpwstr>_Moral_distress</vt:lpwstr>
      </vt:variant>
      <vt:variant>
        <vt:i4>4063235</vt:i4>
      </vt:variant>
      <vt:variant>
        <vt:i4>1314</vt:i4>
      </vt:variant>
      <vt:variant>
        <vt:i4>0</vt:i4>
      </vt:variant>
      <vt:variant>
        <vt:i4>5</vt:i4>
      </vt:variant>
      <vt:variant>
        <vt:lpwstr/>
      </vt:variant>
      <vt:variant>
        <vt:lpwstr>_The_role_and</vt:lpwstr>
      </vt:variant>
      <vt:variant>
        <vt:i4>3735585</vt:i4>
      </vt:variant>
      <vt:variant>
        <vt:i4>1311</vt:i4>
      </vt:variant>
      <vt:variant>
        <vt:i4>0</vt:i4>
      </vt:variant>
      <vt:variant>
        <vt:i4>5</vt:i4>
      </vt:variant>
      <vt:variant>
        <vt:lpwstr/>
      </vt:variant>
      <vt:variant>
        <vt:lpwstr>_Cultural_safety</vt:lpwstr>
      </vt:variant>
      <vt:variant>
        <vt:i4>3735585</vt:i4>
      </vt:variant>
      <vt:variant>
        <vt:i4>1302</vt:i4>
      </vt:variant>
      <vt:variant>
        <vt:i4>0</vt:i4>
      </vt:variant>
      <vt:variant>
        <vt:i4>5</vt:i4>
      </vt:variant>
      <vt:variant>
        <vt:lpwstr/>
      </vt:variant>
      <vt:variant>
        <vt:lpwstr>_Cultural_safety</vt:lpwstr>
      </vt:variant>
      <vt:variant>
        <vt:i4>3080217</vt:i4>
      </vt:variant>
      <vt:variant>
        <vt:i4>1287</vt:i4>
      </vt:variant>
      <vt:variant>
        <vt:i4>0</vt:i4>
      </vt:variant>
      <vt:variant>
        <vt:i4>5</vt:i4>
      </vt:variant>
      <vt:variant>
        <vt:lpwstr/>
      </vt:variant>
      <vt:variant>
        <vt:lpwstr>_Involvement_of_children</vt:lpwstr>
      </vt:variant>
      <vt:variant>
        <vt:i4>7471231</vt:i4>
      </vt:variant>
      <vt:variant>
        <vt:i4>1284</vt:i4>
      </vt:variant>
      <vt:variant>
        <vt:i4>0</vt:i4>
      </vt:variant>
      <vt:variant>
        <vt:i4>5</vt:i4>
      </vt:variant>
      <vt:variant>
        <vt:lpwstr/>
      </vt:variant>
      <vt:variant>
        <vt:lpwstr>_Decision-making_and_consent_2</vt:lpwstr>
      </vt:variant>
      <vt:variant>
        <vt:i4>2359409</vt:i4>
      </vt:variant>
      <vt:variant>
        <vt:i4>1281</vt:i4>
      </vt:variant>
      <vt:variant>
        <vt:i4>0</vt:i4>
      </vt:variant>
      <vt:variant>
        <vt:i4>5</vt:i4>
      </vt:variant>
      <vt:variant>
        <vt:lpwstr/>
      </vt:variant>
      <vt:variant>
        <vt:lpwstr>_Respect_for_the_1</vt:lpwstr>
      </vt:variant>
      <vt:variant>
        <vt:i4>4063272</vt:i4>
      </vt:variant>
      <vt:variant>
        <vt:i4>1278</vt:i4>
      </vt:variant>
      <vt:variant>
        <vt:i4>0</vt:i4>
      </vt:variant>
      <vt:variant>
        <vt:i4>5</vt:i4>
      </vt:variant>
      <vt:variant>
        <vt:lpwstr/>
      </vt:variant>
      <vt:variant>
        <vt:lpwstr>_Ethical_obligations_of_1</vt:lpwstr>
      </vt:variant>
      <vt:variant>
        <vt:i4>1769538</vt:i4>
      </vt:variant>
      <vt:variant>
        <vt:i4>1275</vt:i4>
      </vt:variant>
      <vt:variant>
        <vt:i4>0</vt:i4>
      </vt:variant>
      <vt:variant>
        <vt:i4>5</vt:i4>
      </vt:variant>
      <vt:variant>
        <vt:lpwstr/>
      </vt:variant>
      <vt:variant>
        <vt:lpwstr>_Ethical_values_embedded_1</vt:lpwstr>
      </vt:variant>
      <vt:variant>
        <vt:i4>2752541</vt:i4>
      </vt:variant>
      <vt:variant>
        <vt:i4>1272</vt:i4>
      </vt:variant>
      <vt:variant>
        <vt:i4>0</vt:i4>
      </vt:variant>
      <vt:variant>
        <vt:i4>5</vt:i4>
      </vt:variant>
      <vt:variant>
        <vt:lpwstr/>
      </vt:variant>
      <vt:variant>
        <vt:lpwstr>_Ethical_values_embedded</vt:lpwstr>
      </vt:variant>
      <vt:variant>
        <vt:i4>1245307</vt:i4>
      </vt:variant>
      <vt:variant>
        <vt:i4>1269</vt:i4>
      </vt:variant>
      <vt:variant>
        <vt:i4>0</vt:i4>
      </vt:variant>
      <vt:variant>
        <vt:i4>5</vt:i4>
      </vt:variant>
      <vt:variant>
        <vt:lpwstr/>
      </vt:variant>
      <vt:variant>
        <vt:lpwstr>_Self-sufficiency_in_organ</vt:lpwstr>
      </vt:variant>
      <vt:variant>
        <vt:i4>4063260</vt:i4>
      </vt:variant>
      <vt:variant>
        <vt:i4>1266</vt:i4>
      </vt:variant>
      <vt:variant>
        <vt:i4>0</vt:i4>
      </vt:variant>
      <vt:variant>
        <vt:i4>5</vt:i4>
      </vt:variant>
      <vt:variant>
        <vt:lpwstr/>
      </vt:variant>
      <vt:variant>
        <vt:lpwstr>_Equity_in_opportunities</vt:lpwstr>
      </vt:variant>
      <vt:variant>
        <vt:i4>6422592</vt:i4>
      </vt:variant>
      <vt:variant>
        <vt:i4>1263</vt:i4>
      </vt:variant>
      <vt:variant>
        <vt:i4>0</vt:i4>
      </vt:variant>
      <vt:variant>
        <vt:i4>5</vt:i4>
      </vt:variant>
      <vt:variant>
        <vt:lpwstr/>
      </vt:variant>
      <vt:variant>
        <vt:lpwstr>_Procedural_justice_and</vt:lpwstr>
      </vt:variant>
      <vt:variant>
        <vt:i4>5636184</vt:i4>
      </vt:variant>
      <vt:variant>
        <vt:i4>1260</vt:i4>
      </vt:variant>
      <vt:variant>
        <vt:i4>0</vt:i4>
      </vt:variant>
      <vt:variant>
        <vt:i4>5</vt:i4>
      </vt:variant>
      <vt:variant>
        <vt:lpwstr/>
      </vt:variant>
      <vt:variant>
        <vt:lpwstr>_Glossary_2</vt:lpwstr>
      </vt:variant>
      <vt:variant>
        <vt:i4>5636184</vt:i4>
      </vt:variant>
      <vt:variant>
        <vt:i4>1257</vt:i4>
      </vt:variant>
      <vt:variant>
        <vt:i4>0</vt:i4>
      </vt:variant>
      <vt:variant>
        <vt:i4>5</vt:i4>
      </vt:variant>
      <vt:variant>
        <vt:lpwstr/>
      </vt:variant>
      <vt:variant>
        <vt:lpwstr>_Glossary_2</vt:lpwstr>
      </vt:variant>
      <vt:variant>
        <vt:i4>5636184</vt:i4>
      </vt:variant>
      <vt:variant>
        <vt:i4>1254</vt:i4>
      </vt:variant>
      <vt:variant>
        <vt:i4>0</vt:i4>
      </vt:variant>
      <vt:variant>
        <vt:i4>5</vt:i4>
      </vt:variant>
      <vt:variant>
        <vt:lpwstr/>
      </vt:variant>
      <vt:variant>
        <vt:lpwstr>_Glossary_2</vt:lpwstr>
      </vt:variant>
      <vt:variant>
        <vt:i4>3538985</vt:i4>
      </vt:variant>
      <vt:variant>
        <vt:i4>1251</vt:i4>
      </vt:variant>
      <vt:variant>
        <vt:i4>0</vt:i4>
      </vt:variant>
      <vt:variant>
        <vt:i4>5</vt:i4>
      </vt:variant>
      <vt:variant>
        <vt:lpwstr/>
      </vt:variant>
      <vt:variant>
        <vt:lpwstr>_Risks_and_benefits_1</vt:lpwstr>
      </vt:variant>
      <vt:variant>
        <vt:i4>4063260</vt:i4>
      </vt:variant>
      <vt:variant>
        <vt:i4>1248</vt:i4>
      </vt:variant>
      <vt:variant>
        <vt:i4>0</vt:i4>
      </vt:variant>
      <vt:variant>
        <vt:i4>5</vt:i4>
      </vt:variant>
      <vt:variant>
        <vt:lpwstr/>
      </vt:variant>
      <vt:variant>
        <vt:lpwstr>_Equity_in_opportunities</vt:lpwstr>
      </vt:variant>
      <vt:variant>
        <vt:i4>4325457</vt:i4>
      </vt:variant>
      <vt:variant>
        <vt:i4>1242</vt:i4>
      </vt:variant>
      <vt:variant>
        <vt:i4>0</vt:i4>
      </vt:variant>
      <vt:variant>
        <vt:i4>5</vt:i4>
      </vt:variant>
      <vt:variant>
        <vt:lpwstr/>
      </vt:variant>
      <vt:variant>
        <vt:lpwstr>_Donation_and_transplantation_1</vt:lpwstr>
      </vt:variant>
      <vt:variant>
        <vt:i4>4194336</vt:i4>
      </vt:variant>
      <vt:variant>
        <vt:i4>1239</vt:i4>
      </vt:variant>
      <vt:variant>
        <vt:i4>0</vt:i4>
      </vt:variant>
      <vt:variant>
        <vt:i4>5</vt:i4>
      </vt:variant>
      <vt:variant>
        <vt:lpwstr/>
      </vt:variant>
      <vt:variant>
        <vt:lpwstr>_Decision-making_and_consent</vt:lpwstr>
      </vt:variant>
      <vt:variant>
        <vt:i4>196651</vt:i4>
      </vt:variant>
      <vt:variant>
        <vt:i4>1236</vt:i4>
      </vt:variant>
      <vt:variant>
        <vt:i4>0</vt:i4>
      </vt:variant>
      <vt:variant>
        <vt:i4>5</vt:i4>
      </vt:variant>
      <vt:variant>
        <vt:lpwstr/>
      </vt:variant>
      <vt:variant>
        <vt:lpwstr>_Misconceptions_regarding_the</vt:lpwstr>
      </vt:variant>
      <vt:variant>
        <vt:i4>1703987</vt:i4>
      </vt:variant>
      <vt:variant>
        <vt:i4>1233</vt:i4>
      </vt:variant>
      <vt:variant>
        <vt:i4>0</vt:i4>
      </vt:variant>
      <vt:variant>
        <vt:i4>5</vt:i4>
      </vt:variant>
      <vt:variant>
        <vt:lpwstr/>
      </vt:variant>
      <vt:variant>
        <vt:lpwstr>_Determining_proportionality_and</vt:lpwstr>
      </vt:variant>
      <vt:variant>
        <vt:i4>4325457</vt:i4>
      </vt:variant>
      <vt:variant>
        <vt:i4>1230</vt:i4>
      </vt:variant>
      <vt:variant>
        <vt:i4>0</vt:i4>
      </vt:variant>
      <vt:variant>
        <vt:i4>5</vt:i4>
      </vt:variant>
      <vt:variant>
        <vt:lpwstr/>
      </vt:variant>
      <vt:variant>
        <vt:lpwstr>_Donation_and_transplantation_1</vt:lpwstr>
      </vt:variant>
      <vt:variant>
        <vt:i4>5636184</vt:i4>
      </vt:variant>
      <vt:variant>
        <vt:i4>1227</vt:i4>
      </vt:variant>
      <vt:variant>
        <vt:i4>0</vt:i4>
      </vt:variant>
      <vt:variant>
        <vt:i4>5</vt:i4>
      </vt:variant>
      <vt:variant>
        <vt:lpwstr/>
      </vt:variant>
      <vt:variant>
        <vt:lpwstr>_Glossary_2</vt:lpwstr>
      </vt:variant>
      <vt:variant>
        <vt:i4>2031721</vt:i4>
      </vt:variant>
      <vt:variant>
        <vt:i4>1224</vt:i4>
      </vt:variant>
      <vt:variant>
        <vt:i4>0</vt:i4>
      </vt:variant>
      <vt:variant>
        <vt:i4>5</vt:i4>
      </vt:variant>
      <vt:variant>
        <vt:lpwstr/>
      </vt:variant>
      <vt:variant>
        <vt:lpwstr>_Principle_10._Potential</vt:lpwstr>
      </vt:variant>
      <vt:variant>
        <vt:i4>7340068</vt:i4>
      </vt:variant>
      <vt:variant>
        <vt:i4>1221</vt:i4>
      </vt:variant>
      <vt:variant>
        <vt:i4>0</vt:i4>
      </vt:variant>
      <vt:variant>
        <vt:i4>5</vt:i4>
      </vt:variant>
      <vt:variant>
        <vt:lpwstr/>
      </vt:variant>
      <vt:variant>
        <vt:lpwstr>Principle 10. Human organs, tissues and cells should not be treated as ordinary commodities that can be sold or exchanged for profit: any profits arising the removal, processing, distribution, storage, transfer or use of donated cells, tissues or organs s</vt:lpwstr>
      </vt:variant>
      <vt:variant>
        <vt:i4>5636184</vt:i4>
      </vt:variant>
      <vt:variant>
        <vt:i4>1215</vt:i4>
      </vt:variant>
      <vt:variant>
        <vt:i4>0</vt:i4>
      </vt:variant>
      <vt:variant>
        <vt:i4>5</vt:i4>
      </vt:variant>
      <vt:variant>
        <vt:lpwstr/>
      </vt:variant>
      <vt:variant>
        <vt:lpwstr>_Glossary_2</vt:lpwstr>
      </vt:variant>
      <vt:variant>
        <vt:i4>1179699</vt:i4>
      </vt:variant>
      <vt:variant>
        <vt:i4>1212</vt:i4>
      </vt:variant>
      <vt:variant>
        <vt:i4>0</vt:i4>
      </vt:variant>
      <vt:variant>
        <vt:i4>5</vt:i4>
      </vt:variant>
      <vt:variant>
        <vt:lpwstr/>
      </vt:variant>
      <vt:variant>
        <vt:lpwstr>_Respect_for_autonomy</vt:lpwstr>
      </vt:variant>
      <vt:variant>
        <vt:i4>1507381</vt:i4>
      </vt:variant>
      <vt:variant>
        <vt:i4>1209</vt:i4>
      </vt:variant>
      <vt:variant>
        <vt:i4>0</vt:i4>
      </vt:variant>
      <vt:variant>
        <vt:i4>5</vt:i4>
      </vt:variant>
      <vt:variant>
        <vt:lpwstr/>
      </vt:variant>
      <vt:variant>
        <vt:lpwstr>_Respect_for_dignity</vt:lpwstr>
      </vt:variant>
      <vt:variant>
        <vt:i4>2686996</vt:i4>
      </vt:variant>
      <vt:variant>
        <vt:i4>1206</vt:i4>
      </vt:variant>
      <vt:variant>
        <vt:i4>0</vt:i4>
      </vt:variant>
      <vt:variant>
        <vt:i4>5</vt:i4>
      </vt:variant>
      <vt:variant>
        <vt:lpwstr/>
      </vt:variant>
      <vt:variant>
        <vt:lpwstr>_Principle_11._Decision-making</vt:lpwstr>
      </vt:variant>
      <vt:variant>
        <vt:i4>7340068</vt:i4>
      </vt:variant>
      <vt:variant>
        <vt:i4>1203</vt:i4>
      </vt:variant>
      <vt:variant>
        <vt:i4>0</vt:i4>
      </vt:variant>
      <vt:variant>
        <vt:i4>5</vt:i4>
      </vt:variant>
      <vt:variant>
        <vt:lpwstr/>
      </vt:variant>
      <vt:variant>
        <vt:lpwstr>Principle 10. Human organs, tissues and cells should not be treated as ordinary commodities that can be sold or exchanged for profit: any profits arising the removal, processing, distribution, storage, transfer or use of donated cells, tissues or organs s</vt:lpwstr>
      </vt:variant>
      <vt:variant>
        <vt:i4>38</vt:i4>
      </vt:variant>
      <vt:variant>
        <vt:i4>1200</vt:i4>
      </vt:variant>
      <vt:variant>
        <vt:i4>0</vt:i4>
      </vt:variant>
      <vt:variant>
        <vt:i4>5</vt:i4>
      </vt:variant>
      <vt:variant>
        <vt:lpwstr/>
      </vt:variant>
      <vt:variant>
        <vt:lpwstr>_Principle_9._Donation</vt:lpwstr>
      </vt:variant>
      <vt:variant>
        <vt:i4>65574</vt:i4>
      </vt:variant>
      <vt:variant>
        <vt:i4>1197</vt:i4>
      </vt:variant>
      <vt:variant>
        <vt:i4>0</vt:i4>
      </vt:variant>
      <vt:variant>
        <vt:i4>5</vt:i4>
      </vt:variant>
      <vt:variant>
        <vt:lpwstr/>
      </vt:variant>
      <vt:variant>
        <vt:lpwstr>_Principle_8._Donation</vt:lpwstr>
      </vt:variant>
      <vt:variant>
        <vt:i4>7667782</vt:i4>
      </vt:variant>
      <vt:variant>
        <vt:i4>1194</vt:i4>
      </vt:variant>
      <vt:variant>
        <vt:i4>0</vt:i4>
      </vt:variant>
      <vt:variant>
        <vt:i4>5</vt:i4>
      </vt:variant>
      <vt:variant>
        <vt:lpwstr/>
      </vt:variant>
      <vt:variant>
        <vt:lpwstr>_Principle_7_-</vt:lpwstr>
      </vt:variant>
      <vt:variant>
        <vt:i4>4063353</vt:i4>
      </vt:variant>
      <vt:variant>
        <vt:i4>1191</vt:i4>
      </vt:variant>
      <vt:variant>
        <vt:i4>0</vt:i4>
      </vt:variant>
      <vt:variant>
        <vt:i4>5</vt:i4>
      </vt:variant>
      <vt:variant>
        <vt:lpwstr/>
      </vt:variant>
      <vt:variant>
        <vt:lpwstr>_Principle_6._Donation_1</vt:lpwstr>
      </vt:variant>
      <vt:variant>
        <vt:i4>3997817</vt:i4>
      </vt:variant>
      <vt:variant>
        <vt:i4>1188</vt:i4>
      </vt:variant>
      <vt:variant>
        <vt:i4>0</vt:i4>
      </vt:variant>
      <vt:variant>
        <vt:i4>5</vt:i4>
      </vt:variant>
      <vt:variant>
        <vt:lpwstr/>
      </vt:variant>
      <vt:variant>
        <vt:lpwstr>_Principle_5._Donation_1</vt:lpwstr>
      </vt:variant>
      <vt:variant>
        <vt:i4>6946910</vt:i4>
      </vt:variant>
      <vt:variant>
        <vt:i4>1185</vt:i4>
      </vt:variant>
      <vt:variant>
        <vt:i4>0</vt:i4>
      </vt:variant>
      <vt:variant>
        <vt:i4>5</vt:i4>
      </vt:variant>
      <vt:variant>
        <vt:lpwstr/>
      </vt:variant>
      <vt:variant>
        <vt:lpwstr>_Principle_4._In</vt:lpwstr>
      </vt:variant>
      <vt:variant>
        <vt:i4>6291465</vt:i4>
      </vt:variant>
      <vt:variant>
        <vt:i4>1182</vt:i4>
      </vt:variant>
      <vt:variant>
        <vt:i4>0</vt:i4>
      </vt:variant>
      <vt:variant>
        <vt:i4>5</vt:i4>
      </vt:variant>
      <vt:variant>
        <vt:lpwstr/>
      </vt:variant>
      <vt:variant>
        <vt:lpwstr>_Principle_3._Decision-making</vt:lpwstr>
      </vt:variant>
      <vt:variant>
        <vt:i4>3735585</vt:i4>
      </vt:variant>
      <vt:variant>
        <vt:i4>1179</vt:i4>
      </vt:variant>
      <vt:variant>
        <vt:i4>0</vt:i4>
      </vt:variant>
      <vt:variant>
        <vt:i4>5</vt:i4>
      </vt:variant>
      <vt:variant>
        <vt:lpwstr/>
      </vt:variant>
      <vt:variant>
        <vt:lpwstr>_Cultural_safety</vt:lpwstr>
      </vt:variant>
      <vt:variant>
        <vt:i4>6422537</vt:i4>
      </vt:variant>
      <vt:variant>
        <vt:i4>1176</vt:i4>
      </vt:variant>
      <vt:variant>
        <vt:i4>0</vt:i4>
      </vt:variant>
      <vt:variant>
        <vt:i4>5</vt:i4>
      </vt:variant>
      <vt:variant>
        <vt:lpwstr/>
      </vt:variant>
      <vt:variant>
        <vt:lpwstr>_Principle_1._Decision-making</vt:lpwstr>
      </vt:variant>
      <vt:variant>
        <vt:i4>5439609</vt:i4>
      </vt:variant>
      <vt:variant>
        <vt:i4>1173</vt:i4>
      </vt:variant>
      <vt:variant>
        <vt:i4>0</vt:i4>
      </vt:variant>
      <vt:variant>
        <vt:i4>5</vt:i4>
      </vt:variant>
      <vt:variant>
        <vt:lpwstr/>
      </vt:variant>
      <vt:variant>
        <vt:lpwstr>_Stewardship_of_the</vt:lpwstr>
      </vt:variant>
      <vt:variant>
        <vt:i4>3145759</vt:i4>
      </vt:variant>
      <vt:variant>
        <vt:i4>1170</vt:i4>
      </vt:variant>
      <vt:variant>
        <vt:i4>0</vt:i4>
      </vt:variant>
      <vt:variant>
        <vt:i4>5</vt:i4>
      </vt:variant>
      <vt:variant>
        <vt:lpwstr/>
      </vt:variant>
      <vt:variant>
        <vt:lpwstr>_Promotion_of_solidarity</vt:lpwstr>
      </vt:variant>
      <vt:variant>
        <vt:i4>2424850</vt:i4>
      </vt:variant>
      <vt:variant>
        <vt:i4>1167</vt:i4>
      </vt:variant>
      <vt:variant>
        <vt:i4>0</vt:i4>
      </vt:variant>
      <vt:variant>
        <vt:i4>5</vt:i4>
      </vt:variant>
      <vt:variant>
        <vt:lpwstr/>
      </vt:variant>
      <vt:variant>
        <vt:lpwstr>_Promotion_of_justice</vt:lpwstr>
      </vt:variant>
      <vt:variant>
        <vt:i4>3080214</vt:i4>
      </vt:variant>
      <vt:variant>
        <vt:i4>1164</vt:i4>
      </vt:variant>
      <vt:variant>
        <vt:i4>0</vt:i4>
      </vt:variant>
      <vt:variant>
        <vt:i4>5</vt:i4>
      </vt:variant>
      <vt:variant>
        <vt:lpwstr/>
      </vt:variant>
      <vt:variant>
        <vt:lpwstr>_Promotion_of_the</vt:lpwstr>
      </vt:variant>
      <vt:variant>
        <vt:i4>2359409</vt:i4>
      </vt:variant>
      <vt:variant>
        <vt:i4>1161</vt:i4>
      </vt:variant>
      <vt:variant>
        <vt:i4>0</vt:i4>
      </vt:variant>
      <vt:variant>
        <vt:i4>5</vt:i4>
      </vt:variant>
      <vt:variant>
        <vt:lpwstr/>
      </vt:variant>
      <vt:variant>
        <vt:lpwstr>_Respect_for_the_1</vt:lpwstr>
      </vt:variant>
      <vt:variant>
        <vt:i4>1441893</vt:i4>
      </vt:variant>
      <vt:variant>
        <vt:i4>1158</vt:i4>
      </vt:variant>
      <vt:variant>
        <vt:i4>0</vt:i4>
      </vt:variant>
      <vt:variant>
        <vt:i4>5</vt:i4>
      </vt:variant>
      <vt:variant>
        <vt:lpwstr/>
      </vt:variant>
      <vt:variant>
        <vt:lpwstr>_Appendix_3_–</vt:lpwstr>
      </vt:variant>
      <vt:variant>
        <vt:i4>4390998</vt:i4>
      </vt:variant>
      <vt:variant>
        <vt:i4>1137</vt:i4>
      </vt:variant>
      <vt:variant>
        <vt:i4>0</vt:i4>
      </vt:variant>
      <vt:variant>
        <vt:i4>5</vt:i4>
      </vt:variant>
      <vt:variant>
        <vt:lpwstr/>
      </vt:variant>
      <vt:variant>
        <vt:lpwstr>_Blood_and_marrow_1</vt:lpwstr>
      </vt:variant>
      <vt:variant>
        <vt:i4>7405667</vt:i4>
      </vt:variant>
      <vt:variant>
        <vt:i4>1134</vt:i4>
      </vt:variant>
      <vt:variant>
        <vt:i4>0</vt:i4>
      </vt:variant>
      <vt:variant>
        <vt:i4>5</vt:i4>
      </vt:variant>
      <vt:variant>
        <vt:lpwstr>https://www.flinders.edu.au/fhmri-eye-vision/corneal-graft-registry</vt:lpwstr>
      </vt:variant>
      <vt:variant>
        <vt:lpwstr/>
      </vt:variant>
      <vt:variant>
        <vt:i4>2359394</vt:i4>
      </vt:variant>
      <vt:variant>
        <vt:i4>1131</vt:i4>
      </vt:variant>
      <vt:variant>
        <vt:i4>0</vt:i4>
      </vt:variant>
      <vt:variant>
        <vt:i4>5</vt:i4>
      </vt:variant>
      <vt:variant>
        <vt:lpwstr>https://www.abmtrr.org/</vt:lpwstr>
      </vt:variant>
      <vt:variant>
        <vt:lpwstr/>
      </vt:variant>
      <vt:variant>
        <vt:i4>7405682</vt:i4>
      </vt:variant>
      <vt:variant>
        <vt:i4>1128</vt:i4>
      </vt:variant>
      <vt:variant>
        <vt:i4>0</vt:i4>
      </vt:variant>
      <vt:variant>
        <vt:i4>5</vt:i4>
      </vt:variant>
      <vt:variant>
        <vt:lpwstr>https://www.anzdata.org.au/anzetd/</vt:lpwstr>
      </vt:variant>
      <vt:variant>
        <vt:lpwstr/>
      </vt:variant>
      <vt:variant>
        <vt:i4>5046344</vt:i4>
      </vt:variant>
      <vt:variant>
        <vt:i4>1125</vt:i4>
      </vt:variant>
      <vt:variant>
        <vt:i4>0</vt:i4>
      </vt:variant>
      <vt:variant>
        <vt:i4>5</vt:i4>
      </vt:variant>
      <vt:variant>
        <vt:lpwstr>https://www.anzlitr.org/</vt:lpwstr>
      </vt:variant>
      <vt:variant>
        <vt:lpwstr/>
      </vt:variant>
      <vt:variant>
        <vt:i4>3801126</vt:i4>
      </vt:variant>
      <vt:variant>
        <vt:i4>1122</vt:i4>
      </vt:variant>
      <vt:variant>
        <vt:i4>0</vt:i4>
      </vt:variant>
      <vt:variant>
        <vt:i4>5</vt:i4>
      </vt:variant>
      <vt:variant>
        <vt:lpwstr>http://anziptr.org/</vt:lpwstr>
      </vt:variant>
      <vt:variant>
        <vt:lpwstr/>
      </vt:variant>
      <vt:variant>
        <vt:i4>7209083</vt:i4>
      </vt:variant>
      <vt:variant>
        <vt:i4>1119</vt:i4>
      </vt:variant>
      <vt:variant>
        <vt:i4>0</vt:i4>
      </vt:variant>
      <vt:variant>
        <vt:i4>5</vt:i4>
      </vt:variant>
      <vt:variant>
        <vt:lpwstr>https://www.anzdata.org.au/anzlkd/</vt:lpwstr>
      </vt:variant>
      <vt:variant>
        <vt:lpwstr/>
      </vt:variant>
      <vt:variant>
        <vt:i4>2752611</vt:i4>
      </vt:variant>
      <vt:variant>
        <vt:i4>1116</vt:i4>
      </vt:variant>
      <vt:variant>
        <vt:i4>0</vt:i4>
      </vt:variant>
      <vt:variant>
        <vt:i4>5</vt:i4>
      </vt:variant>
      <vt:variant>
        <vt:lpwstr>https://www.anzdata.org.au/anzdata/</vt:lpwstr>
      </vt:variant>
      <vt:variant>
        <vt:lpwstr/>
      </vt:variant>
      <vt:variant>
        <vt:i4>5111836</vt:i4>
      </vt:variant>
      <vt:variant>
        <vt:i4>1113</vt:i4>
      </vt:variant>
      <vt:variant>
        <vt:i4>0</vt:i4>
      </vt:variant>
      <vt:variant>
        <vt:i4>5</vt:i4>
      </vt:variant>
      <vt:variant>
        <vt:lpwstr>https://www.anzdata.org.au/anzod/</vt:lpwstr>
      </vt:variant>
      <vt:variant>
        <vt:lpwstr/>
      </vt:variant>
      <vt:variant>
        <vt:i4>1835072</vt:i4>
      </vt:variant>
      <vt:variant>
        <vt:i4>1110</vt:i4>
      </vt:variant>
      <vt:variant>
        <vt:i4>0</vt:i4>
      </vt:variant>
      <vt:variant>
        <vt:i4>5</vt:i4>
      </vt:variant>
      <vt:variant>
        <vt:lpwstr/>
      </vt:variant>
      <vt:variant>
        <vt:lpwstr>_Data_collection_and_1</vt:lpwstr>
      </vt:variant>
      <vt:variant>
        <vt:i4>8323161</vt:i4>
      </vt:variant>
      <vt:variant>
        <vt:i4>1107</vt:i4>
      </vt:variant>
      <vt:variant>
        <vt:i4>0</vt:i4>
      </vt:variant>
      <vt:variant>
        <vt:i4>5</vt:i4>
      </vt:variant>
      <vt:variant>
        <vt:lpwstr/>
      </vt:variant>
      <vt:variant>
        <vt:lpwstr>_Therapeutics_Goods_Administration</vt:lpwstr>
      </vt:variant>
      <vt:variant>
        <vt:i4>2031680</vt:i4>
      </vt:variant>
      <vt:variant>
        <vt:i4>1104</vt:i4>
      </vt:variant>
      <vt:variant>
        <vt:i4>0</vt:i4>
      </vt:variant>
      <vt:variant>
        <vt:i4>5</vt:i4>
      </vt:variant>
      <vt:variant>
        <vt:lpwstr/>
      </vt:variant>
      <vt:variant>
        <vt:lpwstr>_Data_collection_and_2</vt:lpwstr>
      </vt:variant>
      <vt:variant>
        <vt:i4>2031680</vt:i4>
      </vt:variant>
      <vt:variant>
        <vt:i4>1098</vt:i4>
      </vt:variant>
      <vt:variant>
        <vt:i4>0</vt:i4>
      </vt:variant>
      <vt:variant>
        <vt:i4>5</vt:i4>
      </vt:variant>
      <vt:variant>
        <vt:lpwstr/>
      </vt:variant>
      <vt:variant>
        <vt:lpwstr>_Data_collection_and_2</vt:lpwstr>
      </vt:variant>
      <vt:variant>
        <vt:i4>7929947</vt:i4>
      </vt:variant>
      <vt:variant>
        <vt:i4>1095</vt:i4>
      </vt:variant>
      <vt:variant>
        <vt:i4>0</vt:i4>
      </vt:variant>
      <vt:variant>
        <vt:i4>5</vt:i4>
      </vt:variant>
      <vt:variant>
        <vt:lpwstr/>
      </vt:variant>
      <vt:variant>
        <vt:lpwstr>_Vigilance_and_surveillance</vt:lpwstr>
      </vt:variant>
      <vt:variant>
        <vt:i4>1835072</vt:i4>
      </vt:variant>
      <vt:variant>
        <vt:i4>1092</vt:i4>
      </vt:variant>
      <vt:variant>
        <vt:i4>0</vt:i4>
      </vt:variant>
      <vt:variant>
        <vt:i4>5</vt:i4>
      </vt:variant>
      <vt:variant>
        <vt:lpwstr/>
      </vt:variant>
      <vt:variant>
        <vt:lpwstr>_Data_collection_and_1</vt:lpwstr>
      </vt:variant>
      <vt:variant>
        <vt:i4>4915243</vt:i4>
      </vt:variant>
      <vt:variant>
        <vt:i4>1089</vt:i4>
      </vt:variant>
      <vt:variant>
        <vt:i4>0</vt:i4>
      </vt:variant>
      <vt:variant>
        <vt:i4>5</vt:i4>
      </vt:variant>
      <vt:variant>
        <vt:lpwstr/>
      </vt:variant>
      <vt:variant>
        <vt:lpwstr>_Decision-making_regarding_public</vt:lpwstr>
      </vt:variant>
      <vt:variant>
        <vt:i4>2424851</vt:i4>
      </vt:variant>
      <vt:variant>
        <vt:i4>1086</vt:i4>
      </vt:variant>
      <vt:variant>
        <vt:i4>0</vt:i4>
      </vt:variant>
      <vt:variant>
        <vt:i4>5</vt:i4>
      </vt:variant>
      <vt:variant>
        <vt:lpwstr/>
      </vt:variant>
      <vt:variant>
        <vt:lpwstr>_Waiver_of_anonymity</vt:lpwstr>
      </vt:variant>
      <vt:variant>
        <vt:i4>2424835</vt:i4>
      </vt:variant>
      <vt:variant>
        <vt:i4>1083</vt:i4>
      </vt:variant>
      <vt:variant>
        <vt:i4>0</vt:i4>
      </vt:variant>
      <vt:variant>
        <vt:i4>5</vt:i4>
      </vt:variant>
      <vt:variant>
        <vt:lpwstr/>
      </vt:variant>
      <vt:variant>
        <vt:lpwstr>_Consent_in_unrelated</vt:lpwstr>
      </vt:variant>
      <vt:variant>
        <vt:i4>4390998</vt:i4>
      </vt:variant>
      <vt:variant>
        <vt:i4>1080</vt:i4>
      </vt:variant>
      <vt:variant>
        <vt:i4>0</vt:i4>
      </vt:variant>
      <vt:variant>
        <vt:i4>5</vt:i4>
      </vt:variant>
      <vt:variant>
        <vt:lpwstr/>
      </vt:variant>
      <vt:variant>
        <vt:lpwstr>_Blood_and_marrow_1</vt:lpwstr>
      </vt:variant>
      <vt:variant>
        <vt:i4>1835041</vt:i4>
      </vt:variant>
      <vt:variant>
        <vt:i4>1077</vt:i4>
      </vt:variant>
      <vt:variant>
        <vt:i4>0</vt:i4>
      </vt:variant>
      <vt:variant>
        <vt:i4>5</vt:i4>
      </vt:variant>
      <vt:variant>
        <vt:lpwstr/>
      </vt:variant>
      <vt:variant>
        <vt:lpwstr>_Blood_and_marrow</vt:lpwstr>
      </vt:variant>
      <vt:variant>
        <vt:i4>458792</vt:i4>
      </vt:variant>
      <vt:variant>
        <vt:i4>1074</vt:i4>
      </vt:variant>
      <vt:variant>
        <vt:i4>0</vt:i4>
      </vt:variant>
      <vt:variant>
        <vt:i4>5</vt:i4>
      </vt:variant>
      <vt:variant>
        <vt:lpwstr/>
      </vt:variant>
      <vt:variant>
        <vt:lpwstr>_Uterus_transplantation_1</vt:lpwstr>
      </vt:variant>
      <vt:variant>
        <vt:i4>4456554</vt:i4>
      </vt:variant>
      <vt:variant>
        <vt:i4>1071</vt:i4>
      </vt:variant>
      <vt:variant>
        <vt:i4>0</vt:i4>
      </vt:variant>
      <vt:variant>
        <vt:i4>5</vt:i4>
      </vt:variant>
      <vt:variant>
        <vt:lpwstr/>
      </vt:variant>
      <vt:variant>
        <vt:lpwstr>_Living_kidney_donation</vt:lpwstr>
      </vt:variant>
      <vt:variant>
        <vt:i4>6094947</vt:i4>
      </vt:variant>
      <vt:variant>
        <vt:i4>1068</vt:i4>
      </vt:variant>
      <vt:variant>
        <vt:i4>0</vt:i4>
      </vt:variant>
      <vt:variant>
        <vt:i4>5</vt:i4>
      </vt:variant>
      <vt:variant>
        <vt:lpwstr/>
      </vt:variant>
      <vt:variant>
        <vt:lpwstr>_Paired_kidney_exchange</vt:lpwstr>
      </vt:variant>
      <vt:variant>
        <vt:i4>5636184</vt:i4>
      </vt:variant>
      <vt:variant>
        <vt:i4>1065</vt:i4>
      </vt:variant>
      <vt:variant>
        <vt:i4>0</vt:i4>
      </vt:variant>
      <vt:variant>
        <vt:i4>5</vt:i4>
      </vt:variant>
      <vt:variant>
        <vt:lpwstr/>
      </vt:variant>
      <vt:variant>
        <vt:lpwstr>_Glossary_2</vt:lpwstr>
      </vt:variant>
      <vt:variant>
        <vt:i4>5111922</vt:i4>
      </vt:variant>
      <vt:variant>
        <vt:i4>1059</vt:i4>
      </vt:variant>
      <vt:variant>
        <vt:i4>0</vt:i4>
      </vt:variant>
      <vt:variant>
        <vt:i4>5</vt:i4>
      </vt:variant>
      <vt:variant>
        <vt:lpwstr/>
      </vt:variant>
      <vt:variant>
        <vt:lpwstr>_Risk_acceptance_in</vt:lpwstr>
      </vt:variant>
      <vt:variant>
        <vt:i4>1835041</vt:i4>
      </vt:variant>
      <vt:variant>
        <vt:i4>1056</vt:i4>
      </vt:variant>
      <vt:variant>
        <vt:i4>0</vt:i4>
      </vt:variant>
      <vt:variant>
        <vt:i4>5</vt:i4>
      </vt:variant>
      <vt:variant>
        <vt:lpwstr/>
      </vt:variant>
      <vt:variant>
        <vt:lpwstr>_Blood_and_marrow</vt:lpwstr>
      </vt:variant>
      <vt:variant>
        <vt:i4>5177460</vt:i4>
      </vt:variant>
      <vt:variant>
        <vt:i4>1053</vt:i4>
      </vt:variant>
      <vt:variant>
        <vt:i4>0</vt:i4>
      </vt:variant>
      <vt:variant>
        <vt:i4>5</vt:i4>
      </vt:variant>
      <vt:variant>
        <vt:lpwstr/>
      </vt:variant>
      <vt:variant>
        <vt:lpwstr>_Tissue_donation_following</vt:lpwstr>
      </vt:variant>
      <vt:variant>
        <vt:i4>7209039</vt:i4>
      </vt:variant>
      <vt:variant>
        <vt:i4>1050</vt:i4>
      </vt:variant>
      <vt:variant>
        <vt:i4>0</vt:i4>
      </vt:variant>
      <vt:variant>
        <vt:i4>5</vt:i4>
      </vt:variant>
      <vt:variant>
        <vt:lpwstr/>
      </vt:variant>
      <vt:variant>
        <vt:lpwstr>_Living_organ_donation</vt:lpwstr>
      </vt:variant>
      <vt:variant>
        <vt:i4>8323161</vt:i4>
      </vt:variant>
      <vt:variant>
        <vt:i4>1047</vt:i4>
      </vt:variant>
      <vt:variant>
        <vt:i4>0</vt:i4>
      </vt:variant>
      <vt:variant>
        <vt:i4>5</vt:i4>
      </vt:variant>
      <vt:variant>
        <vt:lpwstr/>
      </vt:variant>
      <vt:variant>
        <vt:lpwstr>_Therapeutics_Goods_Administration</vt:lpwstr>
      </vt:variant>
      <vt:variant>
        <vt:i4>3538957</vt:i4>
      </vt:variant>
      <vt:variant>
        <vt:i4>1044</vt:i4>
      </vt:variant>
      <vt:variant>
        <vt:i4>0</vt:i4>
      </vt:variant>
      <vt:variant>
        <vt:i4>5</vt:i4>
      </vt:variant>
      <vt:variant>
        <vt:lpwstr/>
      </vt:variant>
      <vt:variant>
        <vt:lpwstr>_Role_of_the</vt:lpwstr>
      </vt:variant>
      <vt:variant>
        <vt:i4>5767214</vt:i4>
      </vt:variant>
      <vt:variant>
        <vt:i4>1041</vt:i4>
      </vt:variant>
      <vt:variant>
        <vt:i4>0</vt:i4>
      </vt:variant>
      <vt:variant>
        <vt:i4>5</vt:i4>
      </vt:variant>
      <vt:variant>
        <vt:lpwstr/>
      </vt:variant>
      <vt:variant>
        <vt:lpwstr>_Processing,_manufacture_and</vt:lpwstr>
      </vt:variant>
      <vt:variant>
        <vt:i4>6815835</vt:i4>
      </vt:variant>
      <vt:variant>
        <vt:i4>1038</vt:i4>
      </vt:variant>
      <vt:variant>
        <vt:i4>0</vt:i4>
      </vt:variant>
      <vt:variant>
        <vt:i4>5</vt:i4>
      </vt:variant>
      <vt:variant>
        <vt:lpwstr/>
      </vt:variant>
      <vt:variant>
        <vt:lpwstr>_Storage_and_allocation</vt:lpwstr>
      </vt:variant>
      <vt:variant>
        <vt:i4>7798866</vt:i4>
      </vt:variant>
      <vt:variant>
        <vt:i4>1035</vt:i4>
      </vt:variant>
      <vt:variant>
        <vt:i4>0</vt:i4>
      </vt:variant>
      <vt:variant>
        <vt:i4>5</vt:i4>
      </vt:variant>
      <vt:variant>
        <vt:lpwstr/>
      </vt:variant>
      <vt:variant>
        <vt:lpwstr>_Eye_and_tissue</vt:lpwstr>
      </vt:variant>
      <vt:variant>
        <vt:i4>3538946</vt:i4>
      </vt:variant>
      <vt:variant>
        <vt:i4>1032</vt:i4>
      </vt:variant>
      <vt:variant>
        <vt:i4>0</vt:i4>
      </vt:variant>
      <vt:variant>
        <vt:i4>5</vt:i4>
      </vt:variant>
      <vt:variant>
        <vt:lpwstr/>
      </vt:variant>
      <vt:variant>
        <vt:lpwstr>_Family_approach_and</vt:lpwstr>
      </vt:variant>
      <vt:variant>
        <vt:i4>1048614</vt:i4>
      </vt:variant>
      <vt:variant>
        <vt:i4>1029</vt:i4>
      </vt:variant>
      <vt:variant>
        <vt:i4>0</vt:i4>
      </vt:variant>
      <vt:variant>
        <vt:i4>5</vt:i4>
      </vt:variant>
      <vt:variant>
        <vt:lpwstr/>
      </vt:variant>
      <vt:variant>
        <vt:lpwstr>_Medical_suitability_for</vt:lpwstr>
      </vt:variant>
      <vt:variant>
        <vt:i4>1441841</vt:i4>
      </vt:variant>
      <vt:variant>
        <vt:i4>1026</vt:i4>
      </vt:variant>
      <vt:variant>
        <vt:i4>0</vt:i4>
      </vt:variant>
      <vt:variant>
        <vt:i4>5</vt:i4>
      </vt:variant>
      <vt:variant>
        <vt:lpwstr/>
      </vt:variant>
      <vt:variant>
        <vt:lpwstr>_Identification_and_referral</vt:lpwstr>
      </vt:variant>
      <vt:variant>
        <vt:i4>7077917</vt:i4>
      </vt:variant>
      <vt:variant>
        <vt:i4>1023</vt:i4>
      </vt:variant>
      <vt:variant>
        <vt:i4>0</vt:i4>
      </vt:variant>
      <vt:variant>
        <vt:i4>5</vt:i4>
      </vt:variant>
      <vt:variant>
        <vt:lpwstr/>
      </vt:variant>
      <vt:variant>
        <vt:lpwstr>_Supporting_decision-making_by</vt:lpwstr>
      </vt:variant>
      <vt:variant>
        <vt:i4>524348</vt:i4>
      </vt:variant>
      <vt:variant>
        <vt:i4>1017</vt:i4>
      </vt:variant>
      <vt:variant>
        <vt:i4>0</vt:i4>
      </vt:variant>
      <vt:variant>
        <vt:i4>5</vt:i4>
      </vt:variant>
      <vt:variant>
        <vt:lpwstr/>
      </vt:variant>
      <vt:variant>
        <vt:lpwstr>_Evaluating_general_risks</vt:lpwstr>
      </vt:variant>
      <vt:variant>
        <vt:i4>2883658</vt:i4>
      </vt:variant>
      <vt:variant>
        <vt:i4>1008</vt:i4>
      </vt:variant>
      <vt:variant>
        <vt:i4>0</vt:i4>
      </vt:variant>
      <vt:variant>
        <vt:i4>5</vt:i4>
      </vt:variant>
      <vt:variant>
        <vt:lpwstr/>
      </vt:variant>
      <vt:variant>
        <vt:lpwstr>_Regional_self-sufficiency_in</vt:lpwstr>
      </vt:variant>
      <vt:variant>
        <vt:i4>4915200</vt:i4>
      </vt:variant>
      <vt:variant>
        <vt:i4>999</vt:i4>
      </vt:variant>
      <vt:variant>
        <vt:i4>0</vt:i4>
      </vt:variant>
      <vt:variant>
        <vt:i4>5</vt:i4>
      </vt:variant>
      <vt:variant>
        <vt:lpwstr/>
      </vt:variant>
      <vt:variant>
        <vt:lpwstr>_Pre-mortem_interventions_for_1</vt:lpwstr>
      </vt:variant>
      <vt:variant>
        <vt:i4>5636191</vt:i4>
      </vt:variant>
      <vt:variant>
        <vt:i4>996</vt:i4>
      </vt:variant>
      <vt:variant>
        <vt:i4>0</vt:i4>
      </vt:variant>
      <vt:variant>
        <vt:i4>5</vt:i4>
      </vt:variant>
      <vt:variant>
        <vt:lpwstr/>
      </vt:variant>
      <vt:variant>
        <vt:lpwstr>_Legal_aspects_of_2</vt:lpwstr>
      </vt:variant>
      <vt:variant>
        <vt:i4>3538957</vt:i4>
      </vt:variant>
      <vt:variant>
        <vt:i4>993</vt:i4>
      </vt:variant>
      <vt:variant>
        <vt:i4>0</vt:i4>
      </vt:variant>
      <vt:variant>
        <vt:i4>5</vt:i4>
      </vt:variant>
      <vt:variant>
        <vt:lpwstr/>
      </vt:variant>
      <vt:variant>
        <vt:lpwstr>_Role_of_the</vt:lpwstr>
      </vt:variant>
      <vt:variant>
        <vt:i4>720945</vt:i4>
      </vt:variant>
      <vt:variant>
        <vt:i4>990</vt:i4>
      </vt:variant>
      <vt:variant>
        <vt:i4>0</vt:i4>
      </vt:variant>
      <vt:variant>
        <vt:i4>5</vt:i4>
      </vt:variant>
      <vt:variant>
        <vt:lpwstr/>
      </vt:variant>
      <vt:variant>
        <vt:lpwstr>_Consent_for_deceased</vt:lpwstr>
      </vt:variant>
      <vt:variant>
        <vt:i4>6422645</vt:i4>
      </vt:variant>
      <vt:variant>
        <vt:i4>987</vt:i4>
      </vt:variant>
      <vt:variant>
        <vt:i4>0</vt:i4>
      </vt:variant>
      <vt:variant>
        <vt:i4>5</vt:i4>
      </vt:variant>
      <vt:variant>
        <vt:lpwstr/>
      </vt:variant>
      <vt:variant>
        <vt:lpwstr>_Human_tissue_legislation_1</vt:lpwstr>
      </vt:variant>
      <vt:variant>
        <vt:i4>3604486</vt:i4>
      </vt:variant>
      <vt:variant>
        <vt:i4>981</vt:i4>
      </vt:variant>
      <vt:variant>
        <vt:i4>0</vt:i4>
      </vt:variant>
      <vt:variant>
        <vt:i4>5</vt:i4>
      </vt:variant>
      <vt:variant>
        <vt:lpwstr/>
      </vt:variant>
      <vt:variant>
        <vt:lpwstr>_Deceased_donation_by</vt:lpwstr>
      </vt:variant>
      <vt:variant>
        <vt:i4>4915200</vt:i4>
      </vt:variant>
      <vt:variant>
        <vt:i4>978</vt:i4>
      </vt:variant>
      <vt:variant>
        <vt:i4>0</vt:i4>
      </vt:variant>
      <vt:variant>
        <vt:i4>5</vt:i4>
      </vt:variant>
      <vt:variant>
        <vt:lpwstr/>
      </vt:variant>
      <vt:variant>
        <vt:lpwstr>_Pre-mortem_interventions_for_1</vt:lpwstr>
      </vt:variant>
      <vt:variant>
        <vt:i4>5374050</vt:i4>
      </vt:variant>
      <vt:variant>
        <vt:i4>975</vt:i4>
      </vt:variant>
      <vt:variant>
        <vt:i4>0</vt:i4>
      </vt:variant>
      <vt:variant>
        <vt:i4>5</vt:i4>
      </vt:variant>
      <vt:variant>
        <vt:lpwstr/>
      </vt:variant>
      <vt:variant>
        <vt:lpwstr>_Authorisation_of_deceased</vt:lpwstr>
      </vt:variant>
      <vt:variant>
        <vt:i4>6357032</vt:i4>
      </vt:variant>
      <vt:variant>
        <vt:i4>969</vt:i4>
      </vt:variant>
      <vt:variant>
        <vt:i4>0</vt:i4>
      </vt:variant>
      <vt:variant>
        <vt:i4>5</vt:i4>
      </vt:variant>
      <vt:variant>
        <vt:lpwstr/>
      </vt:variant>
      <vt:variant>
        <vt:lpwstr>_Ethical_considerations_in_5</vt:lpwstr>
      </vt:variant>
      <vt:variant>
        <vt:i4>4587536</vt:i4>
      </vt:variant>
      <vt:variant>
        <vt:i4>966</vt:i4>
      </vt:variant>
      <vt:variant>
        <vt:i4>0</vt:i4>
      </vt:variant>
      <vt:variant>
        <vt:i4>5</vt:i4>
      </vt:variant>
      <vt:variant>
        <vt:lpwstr>http://www.donatelife.gov.au/register</vt:lpwstr>
      </vt:variant>
      <vt:variant>
        <vt:lpwstr/>
      </vt:variant>
      <vt:variant>
        <vt:i4>917567</vt:i4>
      </vt:variant>
      <vt:variant>
        <vt:i4>960</vt:i4>
      </vt:variant>
      <vt:variant>
        <vt:i4>0</vt:i4>
      </vt:variant>
      <vt:variant>
        <vt:i4>5</vt:i4>
      </vt:variant>
      <vt:variant>
        <vt:lpwstr/>
      </vt:variant>
      <vt:variant>
        <vt:lpwstr>_Organ_retrieval_surgery,</vt:lpwstr>
      </vt:variant>
      <vt:variant>
        <vt:i4>1310755</vt:i4>
      </vt:variant>
      <vt:variant>
        <vt:i4>957</vt:i4>
      </vt:variant>
      <vt:variant>
        <vt:i4>0</vt:i4>
      </vt:variant>
      <vt:variant>
        <vt:i4>5</vt:i4>
      </vt:variant>
      <vt:variant>
        <vt:lpwstr/>
      </vt:variant>
      <vt:variant>
        <vt:lpwstr>_Matching_and_allocation</vt:lpwstr>
      </vt:variant>
      <vt:variant>
        <vt:i4>3014677</vt:i4>
      </vt:variant>
      <vt:variant>
        <vt:i4>954</vt:i4>
      </vt:variant>
      <vt:variant>
        <vt:i4>0</vt:i4>
      </vt:variant>
      <vt:variant>
        <vt:i4>5</vt:i4>
      </vt:variant>
      <vt:variant>
        <vt:lpwstr/>
      </vt:variant>
      <vt:variant>
        <vt:lpwstr>_Donor_Management_and</vt:lpwstr>
      </vt:variant>
      <vt:variant>
        <vt:i4>6094966</vt:i4>
      </vt:variant>
      <vt:variant>
        <vt:i4>951</vt:i4>
      </vt:variant>
      <vt:variant>
        <vt:i4>0</vt:i4>
      </vt:variant>
      <vt:variant>
        <vt:i4>5</vt:i4>
      </vt:variant>
      <vt:variant>
        <vt:lpwstr/>
      </vt:variant>
      <vt:variant>
        <vt:lpwstr>_Assessment_of_medical</vt:lpwstr>
      </vt:variant>
      <vt:variant>
        <vt:i4>2359301</vt:i4>
      </vt:variant>
      <vt:variant>
        <vt:i4>948</vt:i4>
      </vt:variant>
      <vt:variant>
        <vt:i4>0</vt:i4>
      </vt:variant>
      <vt:variant>
        <vt:i4>5</vt:i4>
      </vt:variant>
      <vt:variant>
        <vt:lpwstr/>
      </vt:variant>
      <vt:variant>
        <vt:lpwstr>_Obtaining_formal_consent</vt:lpwstr>
      </vt:variant>
      <vt:variant>
        <vt:i4>7864398</vt:i4>
      </vt:variant>
      <vt:variant>
        <vt:i4>945</vt:i4>
      </vt:variant>
      <vt:variant>
        <vt:i4>0</vt:i4>
      </vt:variant>
      <vt:variant>
        <vt:i4>5</vt:i4>
      </vt:variant>
      <vt:variant>
        <vt:lpwstr/>
      </vt:variant>
      <vt:variant>
        <vt:lpwstr>_Organ_donor_identification</vt:lpwstr>
      </vt:variant>
      <vt:variant>
        <vt:i4>1245203</vt:i4>
      </vt:variant>
      <vt:variant>
        <vt:i4>924</vt:i4>
      </vt:variant>
      <vt:variant>
        <vt:i4>0</vt:i4>
      </vt:variant>
      <vt:variant>
        <vt:i4>5</vt:i4>
      </vt:variant>
      <vt:variant>
        <vt:lpwstr/>
      </vt:variant>
      <vt:variant>
        <vt:lpwstr>_Determination_of_death_1</vt:lpwstr>
      </vt:variant>
      <vt:variant>
        <vt:i4>7143502</vt:i4>
      </vt:variant>
      <vt:variant>
        <vt:i4>921</vt:i4>
      </vt:variant>
      <vt:variant>
        <vt:i4>0</vt:i4>
      </vt:variant>
      <vt:variant>
        <vt:i4>5</vt:i4>
      </vt:variant>
      <vt:variant>
        <vt:lpwstr/>
      </vt:variant>
      <vt:variant>
        <vt:lpwstr>_Neurological_determination_of</vt:lpwstr>
      </vt:variant>
      <vt:variant>
        <vt:i4>3014717</vt:i4>
      </vt:variant>
      <vt:variant>
        <vt:i4>918</vt:i4>
      </vt:variant>
      <vt:variant>
        <vt:i4>0</vt:i4>
      </vt:variant>
      <vt:variant>
        <vt:i4>5</vt:i4>
      </vt:variant>
      <vt:variant>
        <vt:lpwstr>https://healthgov.sharepoint.com/sites/OTA/Clinical Programs project library/NHMRC ethical guidelines working docs/Document versions as at 16052023/dead</vt:lpwstr>
      </vt:variant>
      <vt:variant>
        <vt:lpwstr>_Understanding_the_</vt:lpwstr>
      </vt:variant>
      <vt:variant>
        <vt:i4>4259920</vt:i4>
      </vt:variant>
      <vt:variant>
        <vt:i4>915</vt:i4>
      </vt:variant>
      <vt:variant>
        <vt:i4>0</vt:i4>
      </vt:variant>
      <vt:variant>
        <vt:i4>5</vt:i4>
      </vt:variant>
      <vt:variant>
        <vt:lpwstr/>
      </vt:variant>
      <vt:variant>
        <vt:lpwstr>_Key_steps_in_1</vt:lpwstr>
      </vt:variant>
      <vt:variant>
        <vt:i4>1966142</vt:i4>
      </vt:variant>
      <vt:variant>
        <vt:i4>912</vt:i4>
      </vt:variant>
      <vt:variant>
        <vt:i4>0</vt:i4>
      </vt:variant>
      <vt:variant>
        <vt:i4>5</vt:i4>
      </vt:variant>
      <vt:variant>
        <vt:lpwstr/>
      </vt:variant>
      <vt:variant>
        <vt:lpwstr>_Key_steps_in</vt:lpwstr>
      </vt:variant>
      <vt:variant>
        <vt:i4>3014691</vt:i4>
      </vt:variant>
      <vt:variant>
        <vt:i4>909</vt:i4>
      </vt:variant>
      <vt:variant>
        <vt:i4>0</vt:i4>
      </vt:variant>
      <vt:variant>
        <vt:i4>5</vt:i4>
      </vt:variant>
      <vt:variant>
        <vt:lpwstr>https://transplant.org.au/</vt:lpwstr>
      </vt:variant>
      <vt:variant>
        <vt:lpwstr/>
      </vt:variant>
      <vt:variant>
        <vt:i4>2818105</vt:i4>
      </vt:variant>
      <vt:variant>
        <vt:i4>906</vt:i4>
      </vt:variant>
      <vt:variant>
        <vt:i4>0</vt:i4>
      </vt:variant>
      <vt:variant>
        <vt:i4>5</vt:i4>
      </vt:variant>
      <vt:variant>
        <vt:lpwstr>https://www.surgeons.org/en</vt:lpwstr>
      </vt:variant>
      <vt:variant>
        <vt:lpwstr/>
      </vt:variant>
      <vt:variant>
        <vt:i4>786503</vt:i4>
      </vt:variant>
      <vt:variant>
        <vt:i4>903</vt:i4>
      </vt:variant>
      <vt:variant>
        <vt:i4>0</vt:i4>
      </vt:variant>
      <vt:variant>
        <vt:i4>5</vt:i4>
      </vt:variant>
      <vt:variant>
        <vt:lpwstr>https://www.cena.org.au/about/about-cena/</vt:lpwstr>
      </vt:variant>
      <vt:variant>
        <vt:lpwstr/>
      </vt:variant>
      <vt:variant>
        <vt:i4>6422582</vt:i4>
      </vt:variant>
      <vt:variant>
        <vt:i4>900</vt:i4>
      </vt:variant>
      <vt:variant>
        <vt:i4>0</vt:i4>
      </vt:variant>
      <vt:variant>
        <vt:i4>5</vt:i4>
      </vt:variant>
      <vt:variant>
        <vt:lpwstr>https://www.nephrology.edu.au/</vt:lpwstr>
      </vt:variant>
      <vt:variant>
        <vt:lpwstr/>
      </vt:variant>
      <vt:variant>
        <vt:i4>5832771</vt:i4>
      </vt:variant>
      <vt:variant>
        <vt:i4>897</vt:i4>
      </vt:variant>
      <vt:variant>
        <vt:i4>0</vt:i4>
      </vt:variant>
      <vt:variant>
        <vt:i4>5</vt:i4>
      </vt:variant>
      <vt:variant>
        <vt:lpwstr>https://acem.org.au/</vt:lpwstr>
      </vt:variant>
      <vt:variant>
        <vt:lpwstr/>
      </vt:variant>
      <vt:variant>
        <vt:i4>5374019</vt:i4>
      </vt:variant>
      <vt:variant>
        <vt:i4>894</vt:i4>
      </vt:variant>
      <vt:variant>
        <vt:i4>0</vt:i4>
      </vt:variant>
      <vt:variant>
        <vt:i4>5</vt:i4>
      </vt:variant>
      <vt:variant>
        <vt:lpwstr>https://www.acccn.com.au/</vt:lpwstr>
      </vt:variant>
      <vt:variant>
        <vt:lpwstr/>
      </vt:variant>
      <vt:variant>
        <vt:i4>1441856</vt:i4>
      </vt:variant>
      <vt:variant>
        <vt:i4>891</vt:i4>
      </vt:variant>
      <vt:variant>
        <vt:i4>0</vt:i4>
      </vt:variant>
      <vt:variant>
        <vt:i4>5</vt:i4>
      </vt:variant>
      <vt:variant>
        <vt:lpwstr>https://tsanz.com.au/</vt:lpwstr>
      </vt:variant>
      <vt:variant>
        <vt:lpwstr/>
      </vt:variant>
      <vt:variant>
        <vt:i4>5963866</vt:i4>
      </vt:variant>
      <vt:variant>
        <vt:i4>888</vt:i4>
      </vt:variant>
      <vt:variant>
        <vt:i4>0</vt:i4>
      </vt:variant>
      <vt:variant>
        <vt:i4>5</vt:i4>
      </vt:variant>
      <vt:variant>
        <vt:lpwstr>https://transplantnurses.org.au/</vt:lpwstr>
      </vt:variant>
      <vt:variant>
        <vt:lpwstr/>
      </vt:variant>
      <vt:variant>
        <vt:i4>3014701</vt:i4>
      </vt:variant>
      <vt:variant>
        <vt:i4>885</vt:i4>
      </vt:variant>
      <vt:variant>
        <vt:i4>0</vt:i4>
      </vt:variant>
      <vt:variant>
        <vt:i4>5</vt:i4>
      </vt:variant>
      <vt:variant>
        <vt:lpwstr>https://ebaanz.org.au/</vt:lpwstr>
      </vt:variant>
      <vt:variant>
        <vt:lpwstr/>
      </vt:variant>
      <vt:variant>
        <vt:i4>5832770</vt:i4>
      </vt:variant>
      <vt:variant>
        <vt:i4>882</vt:i4>
      </vt:variant>
      <vt:variant>
        <vt:i4>0</vt:i4>
      </vt:variant>
      <vt:variant>
        <vt:i4>5</vt:i4>
      </vt:variant>
      <vt:variant>
        <vt:lpwstr>https://cicm.org.au/Home</vt:lpwstr>
      </vt:variant>
      <vt:variant>
        <vt:lpwstr/>
      </vt:variant>
      <vt:variant>
        <vt:i4>1966149</vt:i4>
      </vt:variant>
      <vt:variant>
        <vt:i4>879</vt:i4>
      </vt:variant>
      <vt:variant>
        <vt:i4>0</vt:i4>
      </vt:variant>
      <vt:variant>
        <vt:i4>5</vt:i4>
      </vt:variant>
      <vt:variant>
        <vt:lpwstr>https://bioaa.org.au/</vt:lpwstr>
      </vt:variant>
      <vt:variant>
        <vt:lpwstr/>
      </vt:variant>
      <vt:variant>
        <vt:i4>4325445</vt:i4>
      </vt:variant>
      <vt:variant>
        <vt:i4>876</vt:i4>
      </vt:variant>
      <vt:variant>
        <vt:i4>0</vt:i4>
      </vt:variant>
      <vt:variant>
        <vt:i4>5</vt:i4>
      </vt:variant>
      <vt:variant>
        <vt:lpwstr>https://atca.org.au/</vt:lpwstr>
      </vt:variant>
      <vt:variant>
        <vt:lpwstr/>
      </vt:variant>
      <vt:variant>
        <vt:i4>3735615</vt:i4>
      </vt:variant>
      <vt:variant>
        <vt:i4>873</vt:i4>
      </vt:variant>
      <vt:variant>
        <vt:i4>0</vt:i4>
      </vt:variant>
      <vt:variant>
        <vt:i4>5</vt:i4>
      </vt:variant>
      <vt:variant>
        <vt:lpwstr>https://anztct.org.au/</vt:lpwstr>
      </vt:variant>
      <vt:variant>
        <vt:lpwstr/>
      </vt:variant>
      <vt:variant>
        <vt:i4>6291512</vt:i4>
      </vt:variant>
      <vt:variant>
        <vt:i4>870</vt:i4>
      </vt:variant>
      <vt:variant>
        <vt:i4>0</vt:i4>
      </vt:variant>
      <vt:variant>
        <vt:i4>5</vt:i4>
      </vt:variant>
      <vt:variant>
        <vt:lpwstr>https://www.anzic/</vt:lpwstr>
      </vt:variant>
      <vt:variant>
        <vt:lpwstr/>
      </vt:variant>
      <vt:variant>
        <vt:i4>3997820</vt:i4>
      </vt:variant>
      <vt:variant>
        <vt:i4>867</vt:i4>
      </vt:variant>
      <vt:variant>
        <vt:i4>0</vt:i4>
      </vt:variant>
      <vt:variant>
        <vt:i4>5</vt:i4>
      </vt:variant>
      <vt:variant>
        <vt:lpwstr>https://wmda.info/</vt:lpwstr>
      </vt:variant>
      <vt:variant>
        <vt:lpwstr/>
      </vt:variant>
      <vt:variant>
        <vt:i4>5308480</vt:i4>
      </vt:variant>
      <vt:variant>
        <vt:i4>864</vt:i4>
      </vt:variant>
      <vt:variant>
        <vt:i4>0</vt:i4>
      </vt:variant>
      <vt:variant>
        <vt:i4>5</vt:i4>
      </vt:variant>
      <vt:variant>
        <vt:lpwstr>https://nata.com.au/</vt:lpwstr>
      </vt:variant>
      <vt:variant>
        <vt:lpwstr/>
      </vt:variant>
      <vt:variant>
        <vt:i4>3473445</vt:i4>
      </vt:variant>
      <vt:variant>
        <vt:i4>858</vt:i4>
      </vt:variant>
      <vt:variant>
        <vt:i4>0</vt:i4>
      </vt:variant>
      <vt:variant>
        <vt:i4>5</vt:i4>
      </vt:variant>
      <vt:variant>
        <vt:lpwstr>https://www.tga.gov.au/</vt:lpwstr>
      </vt:variant>
      <vt:variant>
        <vt:lpwstr/>
      </vt:variant>
      <vt:variant>
        <vt:i4>8323161</vt:i4>
      </vt:variant>
      <vt:variant>
        <vt:i4>855</vt:i4>
      </vt:variant>
      <vt:variant>
        <vt:i4>0</vt:i4>
      </vt:variant>
      <vt:variant>
        <vt:i4>5</vt:i4>
      </vt:variant>
      <vt:variant>
        <vt:lpwstr/>
      </vt:variant>
      <vt:variant>
        <vt:lpwstr>_Therapeutics_Goods_Administration</vt:lpwstr>
      </vt:variant>
      <vt:variant>
        <vt:i4>5636184</vt:i4>
      </vt:variant>
      <vt:variant>
        <vt:i4>852</vt:i4>
      </vt:variant>
      <vt:variant>
        <vt:i4>0</vt:i4>
      </vt:variant>
      <vt:variant>
        <vt:i4>5</vt:i4>
      </vt:variant>
      <vt:variant>
        <vt:lpwstr/>
      </vt:variant>
      <vt:variant>
        <vt:lpwstr>_Glossary_2</vt:lpwstr>
      </vt:variant>
      <vt:variant>
        <vt:i4>7340078</vt:i4>
      </vt:variant>
      <vt:variant>
        <vt:i4>849</vt:i4>
      </vt:variant>
      <vt:variant>
        <vt:i4>0</vt:i4>
      </vt:variant>
      <vt:variant>
        <vt:i4>5</vt:i4>
      </vt:variant>
      <vt:variant>
        <vt:lpwstr>https://www.donatelife.gov.au/</vt:lpwstr>
      </vt:variant>
      <vt:variant>
        <vt:lpwstr/>
      </vt:variant>
      <vt:variant>
        <vt:i4>7995469</vt:i4>
      </vt:variant>
      <vt:variant>
        <vt:i4>846</vt:i4>
      </vt:variant>
      <vt:variant>
        <vt:i4>0</vt:i4>
      </vt:variant>
      <vt:variant>
        <vt:i4>5</vt:i4>
      </vt:variant>
      <vt:variant>
        <vt:lpwstr/>
      </vt:variant>
      <vt:variant>
        <vt:lpwstr>_Organisations_and_agencies</vt:lpwstr>
      </vt:variant>
      <vt:variant>
        <vt:i4>5636191</vt:i4>
      </vt:variant>
      <vt:variant>
        <vt:i4>843</vt:i4>
      </vt:variant>
      <vt:variant>
        <vt:i4>0</vt:i4>
      </vt:variant>
      <vt:variant>
        <vt:i4>5</vt:i4>
      </vt:variant>
      <vt:variant>
        <vt:lpwstr/>
      </vt:variant>
      <vt:variant>
        <vt:lpwstr>_Legal_aspects_of_1</vt:lpwstr>
      </vt:variant>
      <vt:variant>
        <vt:i4>3211279</vt:i4>
      </vt:variant>
      <vt:variant>
        <vt:i4>840</vt:i4>
      </vt:variant>
      <vt:variant>
        <vt:i4>0</vt:i4>
      </vt:variant>
      <vt:variant>
        <vt:i4>5</vt:i4>
      </vt:variant>
      <vt:variant>
        <vt:lpwstr/>
      </vt:variant>
      <vt:variant>
        <vt:lpwstr>_Legal_considerations_in</vt:lpwstr>
      </vt:variant>
      <vt:variant>
        <vt:i4>5505109</vt:i4>
      </vt:variant>
      <vt:variant>
        <vt:i4>837</vt:i4>
      </vt:variant>
      <vt:variant>
        <vt:i4>0</vt:i4>
      </vt:variant>
      <vt:variant>
        <vt:i4>5</vt:i4>
      </vt:variant>
      <vt:variant>
        <vt:lpwstr/>
      </vt:variant>
      <vt:variant>
        <vt:lpwstr>_Consent_for_deceased_2</vt:lpwstr>
      </vt:variant>
      <vt:variant>
        <vt:i4>6422645</vt:i4>
      </vt:variant>
      <vt:variant>
        <vt:i4>834</vt:i4>
      </vt:variant>
      <vt:variant>
        <vt:i4>0</vt:i4>
      </vt:variant>
      <vt:variant>
        <vt:i4>5</vt:i4>
      </vt:variant>
      <vt:variant>
        <vt:lpwstr/>
      </vt:variant>
      <vt:variant>
        <vt:lpwstr>_Human_tissue_legislation_1</vt:lpwstr>
      </vt:variant>
      <vt:variant>
        <vt:i4>3276911</vt:i4>
      </vt:variant>
      <vt:variant>
        <vt:i4>828</vt:i4>
      </vt:variant>
      <vt:variant>
        <vt:i4>0</vt:i4>
      </vt:variant>
      <vt:variant>
        <vt:i4>5</vt:i4>
      </vt:variant>
      <vt:variant>
        <vt:lpwstr>https://transplant.org.au/types-of-transplant/</vt:lpwstr>
      </vt:variant>
      <vt:variant>
        <vt:lpwstr/>
      </vt:variant>
      <vt:variant>
        <vt:i4>7143486</vt:i4>
      </vt:variant>
      <vt:variant>
        <vt:i4>825</vt:i4>
      </vt:variant>
      <vt:variant>
        <vt:i4>0</vt:i4>
      </vt:variant>
      <vt:variant>
        <vt:i4>5</vt:i4>
      </vt:variant>
      <vt:variant>
        <vt:lpwstr>https://www.donatelife.gov.au/all-about-donation/who-will-be-helped-my-donation</vt:lpwstr>
      </vt:variant>
      <vt:variant>
        <vt:lpwstr/>
      </vt:variant>
      <vt:variant>
        <vt:i4>1900549</vt:i4>
      </vt:variant>
      <vt:variant>
        <vt:i4>822</vt:i4>
      </vt:variant>
      <vt:variant>
        <vt:i4>0</vt:i4>
      </vt:variant>
      <vt:variant>
        <vt:i4>5</vt:i4>
      </vt:variant>
      <vt:variant>
        <vt:lpwstr>https://ebaanz.org/donation-and-transplantation/</vt:lpwstr>
      </vt:variant>
      <vt:variant>
        <vt:lpwstr>Eye-Tissue-Transplant</vt:lpwstr>
      </vt:variant>
      <vt:variant>
        <vt:i4>1048663</vt:i4>
      </vt:variant>
      <vt:variant>
        <vt:i4>819</vt:i4>
      </vt:variant>
      <vt:variant>
        <vt:i4>0</vt:i4>
      </vt:variant>
      <vt:variant>
        <vt:i4>5</vt:i4>
      </vt:variant>
      <vt:variant>
        <vt:lpwstr>https://abmdr.org.au/</vt:lpwstr>
      </vt:variant>
      <vt:variant>
        <vt:lpwstr/>
      </vt:variant>
      <vt:variant>
        <vt:i4>5636184</vt:i4>
      </vt:variant>
      <vt:variant>
        <vt:i4>816</vt:i4>
      </vt:variant>
      <vt:variant>
        <vt:i4>0</vt:i4>
      </vt:variant>
      <vt:variant>
        <vt:i4>5</vt:i4>
      </vt:variant>
      <vt:variant>
        <vt:lpwstr/>
      </vt:variant>
      <vt:variant>
        <vt:lpwstr>_Glossary_2</vt:lpwstr>
      </vt:variant>
      <vt:variant>
        <vt:i4>5636184</vt:i4>
      </vt:variant>
      <vt:variant>
        <vt:i4>813</vt:i4>
      </vt:variant>
      <vt:variant>
        <vt:i4>0</vt:i4>
      </vt:variant>
      <vt:variant>
        <vt:i4>5</vt:i4>
      </vt:variant>
      <vt:variant>
        <vt:lpwstr/>
      </vt:variant>
      <vt:variant>
        <vt:lpwstr>_Glossary_2</vt:lpwstr>
      </vt:variant>
      <vt:variant>
        <vt:i4>4792433</vt:i4>
      </vt:variant>
      <vt:variant>
        <vt:i4>810</vt:i4>
      </vt:variant>
      <vt:variant>
        <vt:i4>0</vt:i4>
      </vt:variant>
      <vt:variant>
        <vt:i4>5</vt:i4>
      </vt:variant>
      <vt:variant>
        <vt:lpwstr/>
      </vt:variant>
      <vt:variant>
        <vt:lpwstr>_Appendix_4_–_1</vt:lpwstr>
      </vt:variant>
      <vt:variant>
        <vt:i4>1441893</vt:i4>
      </vt:variant>
      <vt:variant>
        <vt:i4>807</vt:i4>
      </vt:variant>
      <vt:variant>
        <vt:i4>0</vt:i4>
      </vt:variant>
      <vt:variant>
        <vt:i4>5</vt:i4>
      </vt:variant>
      <vt:variant>
        <vt:lpwstr/>
      </vt:variant>
      <vt:variant>
        <vt:lpwstr>_Appendix_3_–</vt:lpwstr>
      </vt:variant>
      <vt:variant>
        <vt:i4>1704020</vt:i4>
      </vt:variant>
      <vt:variant>
        <vt:i4>804</vt:i4>
      </vt:variant>
      <vt:variant>
        <vt:i4>0</vt:i4>
      </vt:variant>
      <vt:variant>
        <vt:i4>5</vt:i4>
      </vt:variant>
      <vt:variant>
        <vt:lpwstr/>
      </vt:variant>
      <vt:variant>
        <vt:lpwstr>_Miscellaneous_issues_in_1</vt:lpwstr>
      </vt:variant>
      <vt:variant>
        <vt:i4>5636184</vt:i4>
      </vt:variant>
      <vt:variant>
        <vt:i4>801</vt:i4>
      </vt:variant>
      <vt:variant>
        <vt:i4>0</vt:i4>
      </vt:variant>
      <vt:variant>
        <vt:i4>5</vt:i4>
      </vt:variant>
      <vt:variant>
        <vt:lpwstr/>
      </vt:variant>
      <vt:variant>
        <vt:lpwstr>_Glossary_2</vt:lpwstr>
      </vt:variant>
      <vt:variant>
        <vt:i4>5636184</vt:i4>
      </vt:variant>
      <vt:variant>
        <vt:i4>798</vt:i4>
      </vt:variant>
      <vt:variant>
        <vt:i4>0</vt:i4>
      </vt:variant>
      <vt:variant>
        <vt:i4>5</vt:i4>
      </vt:variant>
      <vt:variant>
        <vt:lpwstr/>
      </vt:variant>
      <vt:variant>
        <vt:lpwstr>_Glossary_2</vt:lpwstr>
      </vt:variant>
      <vt:variant>
        <vt:i4>4980832</vt:i4>
      </vt:variant>
      <vt:variant>
        <vt:i4>795</vt:i4>
      </vt:variant>
      <vt:variant>
        <vt:i4>0</vt:i4>
      </vt:variant>
      <vt:variant>
        <vt:i4>5</vt:i4>
      </vt:variant>
      <vt:variant>
        <vt:lpwstr/>
      </vt:variant>
      <vt:variant>
        <vt:lpwstr>_Ethical_issues_in</vt:lpwstr>
      </vt:variant>
      <vt:variant>
        <vt:i4>5636184</vt:i4>
      </vt:variant>
      <vt:variant>
        <vt:i4>792</vt:i4>
      </vt:variant>
      <vt:variant>
        <vt:i4>0</vt:i4>
      </vt:variant>
      <vt:variant>
        <vt:i4>5</vt:i4>
      </vt:variant>
      <vt:variant>
        <vt:lpwstr/>
      </vt:variant>
      <vt:variant>
        <vt:lpwstr>_Glossary_2</vt:lpwstr>
      </vt:variant>
      <vt:variant>
        <vt:i4>2293821</vt:i4>
      </vt:variant>
      <vt:variant>
        <vt:i4>789</vt:i4>
      </vt:variant>
      <vt:variant>
        <vt:i4>0</vt:i4>
      </vt:variant>
      <vt:variant>
        <vt:i4>5</vt:i4>
      </vt:variant>
      <vt:variant>
        <vt:lpwstr/>
      </vt:variant>
      <vt:variant>
        <vt:lpwstr>_Commodification_of_cells,_1</vt:lpwstr>
      </vt:variant>
      <vt:variant>
        <vt:i4>5636184</vt:i4>
      </vt:variant>
      <vt:variant>
        <vt:i4>786</vt:i4>
      </vt:variant>
      <vt:variant>
        <vt:i4>0</vt:i4>
      </vt:variant>
      <vt:variant>
        <vt:i4>5</vt:i4>
      </vt:variant>
      <vt:variant>
        <vt:lpwstr/>
      </vt:variant>
      <vt:variant>
        <vt:lpwstr>_Glossary_2</vt:lpwstr>
      </vt:variant>
      <vt:variant>
        <vt:i4>5701752</vt:i4>
      </vt:variant>
      <vt:variant>
        <vt:i4>783</vt:i4>
      </vt:variant>
      <vt:variant>
        <vt:i4>0</vt:i4>
      </vt:variant>
      <vt:variant>
        <vt:i4>5</vt:i4>
      </vt:variant>
      <vt:variant>
        <vt:lpwstr/>
      </vt:variant>
      <vt:variant>
        <vt:lpwstr>_Commodification_of_organs</vt:lpwstr>
      </vt:variant>
      <vt:variant>
        <vt:i4>4063260</vt:i4>
      </vt:variant>
      <vt:variant>
        <vt:i4>780</vt:i4>
      </vt:variant>
      <vt:variant>
        <vt:i4>0</vt:i4>
      </vt:variant>
      <vt:variant>
        <vt:i4>5</vt:i4>
      </vt:variant>
      <vt:variant>
        <vt:lpwstr/>
      </vt:variant>
      <vt:variant>
        <vt:lpwstr>_Equity_in_opportunities</vt:lpwstr>
      </vt:variant>
      <vt:variant>
        <vt:i4>5636184</vt:i4>
      </vt:variant>
      <vt:variant>
        <vt:i4>777</vt:i4>
      </vt:variant>
      <vt:variant>
        <vt:i4>0</vt:i4>
      </vt:variant>
      <vt:variant>
        <vt:i4>5</vt:i4>
      </vt:variant>
      <vt:variant>
        <vt:lpwstr/>
      </vt:variant>
      <vt:variant>
        <vt:lpwstr>_Glossary_2</vt:lpwstr>
      </vt:variant>
      <vt:variant>
        <vt:i4>5636184</vt:i4>
      </vt:variant>
      <vt:variant>
        <vt:i4>774</vt:i4>
      </vt:variant>
      <vt:variant>
        <vt:i4>0</vt:i4>
      </vt:variant>
      <vt:variant>
        <vt:i4>5</vt:i4>
      </vt:variant>
      <vt:variant>
        <vt:lpwstr/>
      </vt:variant>
      <vt:variant>
        <vt:lpwstr>_Glossary_2</vt:lpwstr>
      </vt:variant>
      <vt:variant>
        <vt:i4>3211387</vt:i4>
      </vt:variant>
      <vt:variant>
        <vt:i4>771</vt:i4>
      </vt:variant>
      <vt:variant>
        <vt:i4>0</vt:i4>
      </vt:variant>
      <vt:variant>
        <vt:i4>5</vt:i4>
      </vt:variant>
      <vt:variant>
        <vt:lpwstr/>
      </vt:variant>
      <vt:variant>
        <vt:lpwstr>_Privacy_and_confidentiality_1</vt:lpwstr>
      </vt:variant>
      <vt:variant>
        <vt:i4>3538985</vt:i4>
      </vt:variant>
      <vt:variant>
        <vt:i4>768</vt:i4>
      </vt:variant>
      <vt:variant>
        <vt:i4>0</vt:i4>
      </vt:variant>
      <vt:variant>
        <vt:i4>5</vt:i4>
      </vt:variant>
      <vt:variant>
        <vt:lpwstr/>
      </vt:variant>
      <vt:variant>
        <vt:lpwstr>_Risks_and_benefits_1</vt:lpwstr>
      </vt:variant>
      <vt:variant>
        <vt:i4>5636184</vt:i4>
      </vt:variant>
      <vt:variant>
        <vt:i4>765</vt:i4>
      </vt:variant>
      <vt:variant>
        <vt:i4>0</vt:i4>
      </vt:variant>
      <vt:variant>
        <vt:i4>5</vt:i4>
      </vt:variant>
      <vt:variant>
        <vt:lpwstr/>
      </vt:variant>
      <vt:variant>
        <vt:lpwstr>_Glossary_2</vt:lpwstr>
      </vt:variant>
      <vt:variant>
        <vt:i4>4325457</vt:i4>
      </vt:variant>
      <vt:variant>
        <vt:i4>762</vt:i4>
      </vt:variant>
      <vt:variant>
        <vt:i4>0</vt:i4>
      </vt:variant>
      <vt:variant>
        <vt:i4>5</vt:i4>
      </vt:variant>
      <vt:variant>
        <vt:lpwstr/>
      </vt:variant>
      <vt:variant>
        <vt:lpwstr>_Donation_and_transplantation_1</vt:lpwstr>
      </vt:variant>
      <vt:variant>
        <vt:i4>7405695</vt:i4>
      </vt:variant>
      <vt:variant>
        <vt:i4>759</vt:i4>
      </vt:variant>
      <vt:variant>
        <vt:i4>0</vt:i4>
      </vt:variant>
      <vt:variant>
        <vt:i4>5</vt:i4>
      </vt:variant>
      <vt:variant>
        <vt:lpwstr/>
      </vt:variant>
      <vt:variant>
        <vt:lpwstr>_Decision-making_and_consent_1</vt:lpwstr>
      </vt:variant>
      <vt:variant>
        <vt:i4>2949154</vt:i4>
      </vt:variant>
      <vt:variant>
        <vt:i4>756</vt:i4>
      </vt:variant>
      <vt:variant>
        <vt:i4>0</vt:i4>
      </vt:variant>
      <vt:variant>
        <vt:i4>5</vt:i4>
      </vt:variant>
      <vt:variant>
        <vt:lpwstr/>
      </vt:variant>
      <vt:variant>
        <vt:lpwstr>_Ethical_foundations_of_2</vt:lpwstr>
      </vt:variant>
      <vt:variant>
        <vt:i4>4587622</vt:i4>
      </vt:variant>
      <vt:variant>
        <vt:i4>753</vt:i4>
      </vt:variant>
      <vt:variant>
        <vt:i4>0</vt:i4>
      </vt:variant>
      <vt:variant>
        <vt:i4>5</vt:i4>
      </vt:variant>
      <vt:variant>
        <vt:lpwstr/>
      </vt:variant>
      <vt:variant>
        <vt:lpwstr>_Overview_of_organ,</vt:lpwstr>
      </vt:variant>
      <vt:variant>
        <vt:i4>4390979</vt:i4>
      </vt:variant>
      <vt:variant>
        <vt:i4>750</vt:i4>
      </vt:variant>
      <vt:variant>
        <vt:i4>0</vt:i4>
      </vt:variant>
      <vt:variant>
        <vt:i4>5</vt:i4>
      </vt:variant>
      <vt:variant>
        <vt:lpwstr/>
      </vt:variant>
      <vt:variant>
        <vt:lpwstr>_Introduction_1</vt:lpwstr>
      </vt:variant>
      <vt:variant>
        <vt:i4>7471231</vt:i4>
      </vt:variant>
      <vt:variant>
        <vt:i4>747</vt:i4>
      </vt:variant>
      <vt:variant>
        <vt:i4>0</vt:i4>
      </vt:variant>
      <vt:variant>
        <vt:i4>5</vt:i4>
      </vt:variant>
      <vt:variant>
        <vt:lpwstr/>
      </vt:variant>
      <vt:variant>
        <vt:lpwstr>_Decision-making_and_consent_2</vt:lpwstr>
      </vt:variant>
      <vt:variant>
        <vt:i4>3276864</vt:i4>
      </vt:variant>
      <vt:variant>
        <vt:i4>744</vt:i4>
      </vt:variant>
      <vt:variant>
        <vt:i4>0</vt:i4>
      </vt:variant>
      <vt:variant>
        <vt:i4>5</vt:i4>
      </vt:variant>
      <vt:variant>
        <vt:lpwstr/>
      </vt:variant>
      <vt:variant>
        <vt:lpwstr>_Ethical_decision-making_in</vt:lpwstr>
      </vt:variant>
      <vt:variant>
        <vt:i4>7667796</vt:i4>
      </vt:variant>
      <vt:variant>
        <vt:i4>741</vt:i4>
      </vt:variant>
      <vt:variant>
        <vt:i4>0</vt:i4>
      </vt:variant>
      <vt:variant>
        <vt:i4>5</vt:i4>
      </vt:variant>
      <vt:variant>
        <vt:lpwstr/>
      </vt:variant>
      <vt:variant>
        <vt:lpwstr>_Index</vt:lpwstr>
      </vt:variant>
      <vt:variant>
        <vt:i4>7602216</vt:i4>
      </vt:variant>
      <vt:variant>
        <vt:i4>738</vt:i4>
      </vt:variant>
      <vt:variant>
        <vt:i4>0</vt:i4>
      </vt:variant>
      <vt:variant>
        <vt:i4>5</vt:i4>
      </vt:variant>
      <vt:variant>
        <vt:lpwstr/>
      </vt:variant>
      <vt:variant>
        <vt:lpwstr>_Table_of_contents_1</vt:lpwstr>
      </vt:variant>
      <vt:variant>
        <vt:i4>7667796</vt:i4>
      </vt:variant>
      <vt:variant>
        <vt:i4>735</vt:i4>
      </vt:variant>
      <vt:variant>
        <vt:i4>0</vt:i4>
      </vt:variant>
      <vt:variant>
        <vt:i4>5</vt:i4>
      </vt:variant>
      <vt:variant>
        <vt:lpwstr/>
      </vt:variant>
      <vt:variant>
        <vt:lpwstr>_Index</vt:lpwstr>
      </vt:variant>
      <vt:variant>
        <vt:i4>7143513</vt:i4>
      </vt:variant>
      <vt:variant>
        <vt:i4>732</vt:i4>
      </vt:variant>
      <vt:variant>
        <vt:i4>0</vt:i4>
      </vt:variant>
      <vt:variant>
        <vt:i4>5</vt:i4>
      </vt:variant>
      <vt:variant>
        <vt:lpwstr/>
      </vt:variant>
      <vt:variant>
        <vt:lpwstr>_References</vt:lpwstr>
      </vt:variant>
      <vt:variant>
        <vt:i4>5636184</vt:i4>
      </vt:variant>
      <vt:variant>
        <vt:i4>729</vt:i4>
      </vt:variant>
      <vt:variant>
        <vt:i4>0</vt:i4>
      </vt:variant>
      <vt:variant>
        <vt:i4>5</vt:i4>
      </vt:variant>
      <vt:variant>
        <vt:lpwstr/>
      </vt:variant>
      <vt:variant>
        <vt:lpwstr>_Glossary_2</vt:lpwstr>
      </vt:variant>
      <vt:variant>
        <vt:i4>3670024</vt:i4>
      </vt:variant>
      <vt:variant>
        <vt:i4>726</vt:i4>
      </vt:variant>
      <vt:variant>
        <vt:i4>0</vt:i4>
      </vt:variant>
      <vt:variant>
        <vt:i4>5</vt:i4>
      </vt:variant>
      <vt:variant>
        <vt:lpwstr/>
      </vt:variant>
      <vt:variant>
        <vt:lpwstr>_Summary_of_Chapters</vt:lpwstr>
      </vt:variant>
      <vt:variant>
        <vt:i4>1441893</vt:i4>
      </vt:variant>
      <vt:variant>
        <vt:i4>723</vt:i4>
      </vt:variant>
      <vt:variant>
        <vt:i4>0</vt:i4>
      </vt:variant>
      <vt:variant>
        <vt:i4>5</vt:i4>
      </vt:variant>
      <vt:variant>
        <vt:lpwstr/>
      </vt:variant>
      <vt:variant>
        <vt:lpwstr>_Appendix_3_–</vt:lpwstr>
      </vt:variant>
      <vt:variant>
        <vt:i4>7077975</vt:i4>
      </vt:variant>
      <vt:variant>
        <vt:i4>720</vt:i4>
      </vt:variant>
      <vt:variant>
        <vt:i4>0</vt:i4>
      </vt:variant>
      <vt:variant>
        <vt:i4>5</vt:i4>
      </vt:variant>
      <vt:variant>
        <vt:lpwstr/>
      </vt:variant>
      <vt:variant>
        <vt:lpwstr>_Appendix_2:_Development</vt:lpwstr>
      </vt:variant>
      <vt:variant>
        <vt:i4>7077975</vt:i4>
      </vt:variant>
      <vt:variant>
        <vt:i4>717</vt:i4>
      </vt:variant>
      <vt:variant>
        <vt:i4>0</vt:i4>
      </vt:variant>
      <vt:variant>
        <vt:i4>5</vt:i4>
      </vt:variant>
      <vt:variant>
        <vt:lpwstr/>
      </vt:variant>
      <vt:variant>
        <vt:lpwstr>_Appendix_2:_Development</vt:lpwstr>
      </vt:variant>
      <vt:variant>
        <vt:i4>4456525</vt:i4>
      </vt:variant>
      <vt:variant>
        <vt:i4>714</vt:i4>
      </vt:variant>
      <vt:variant>
        <vt:i4>0</vt:i4>
      </vt:variant>
      <vt:variant>
        <vt:i4>5</vt:i4>
      </vt:variant>
      <vt:variant>
        <vt:lpwstr/>
      </vt:variant>
      <vt:variant>
        <vt:lpwstr>_Laws_1</vt:lpwstr>
      </vt:variant>
      <vt:variant>
        <vt:i4>3211325</vt:i4>
      </vt:variant>
      <vt:variant>
        <vt:i4>708</vt:i4>
      </vt:variant>
      <vt:variant>
        <vt:i4>0</vt:i4>
      </vt:variant>
      <vt:variant>
        <vt:i4>5</vt:i4>
      </vt:variant>
      <vt:variant>
        <vt:lpwstr/>
      </vt:variant>
      <vt:variant>
        <vt:lpwstr>_Intersections_between_donation_2</vt:lpwstr>
      </vt:variant>
      <vt:variant>
        <vt:i4>5636184</vt:i4>
      </vt:variant>
      <vt:variant>
        <vt:i4>705</vt:i4>
      </vt:variant>
      <vt:variant>
        <vt:i4>0</vt:i4>
      </vt:variant>
      <vt:variant>
        <vt:i4>5</vt:i4>
      </vt:variant>
      <vt:variant>
        <vt:lpwstr/>
      </vt:variant>
      <vt:variant>
        <vt:lpwstr>_Glossary_2</vt:lpwstr>
      </vt:variant>
      <vt:variant>
        <vt:i4>5636184</vt:i4>
      </vt:variant>
      <vt:variant>
        <vt:i4>702</vt:i4>
      </vt:variant>
      <vt:variant>
        <vt:i4>0</vt:i4>
      </vt:variant>
      <vt:variant>
        <vt:i4>5</vt:i4>
      </vt:variant>
      <vt:variant>
        <vt:lpwstr/>
      </vt:variant>
      <vt:variant>
        <vt:lpwstr>_Glossary_2</vt:lpwstr>
      </vt:variant>
      <vt:variant>
        <vt:i4>2949154</vt:i4>
      </vt:variant>
      <vt:variant>
        <vt:i4>699</vt:i4>
      </vt:variant>
      <vt:variant>
        <vt:i4>0</vt:i4>
      </vt:variant>
      <vt:variant>
        <vt:i4>5</vt:i4>
      </vt:variant>
      <vt:variant>
        <vt:lpwstr/>
      </vt:variant>
      <vt:variant>
        <vt:lpwstr>_Ethical_foundations_of_1</vt:lpwstr>
      </vt:variant>
      <vt:variant>
        <vt:i4>5636184</vt:i4>
      </vt:variant>
      <vt:variant>
        <vt:i4>696</vt:i4>
      </vt:variant>
      <vt:variant>
        <vt:i4>0</vt:i4>
      </vt:variant>
      <vt:variant>
        <vt:i4>5</vt:i4>
      </vt:variant>
      <vt:variant>
        <vt:lpwstr/>
      </vt:variant>
      <vt:variant>
        <vt:lpwstr>_Glossary_2</vt:lpwstr>
      </vt:variant>
      <vt:variant>
        <vt:i4>5636184</vt:i4>
      </vt:variant>
      <vt:variant>
        <vt:i4>693</vt:i4>
      </vt:variant>
      <vt:variant>
        <vt:i4>0</vt:i4>
      </vt:variant>
      <vt:variant>
        <vt:i4>5</vt:i4>
      </vt:variant>
      <vt:variant>
        <vt:lpwstr/>
      </vt:variant>
      <vt:variant>
        <vt:lpwstr>_Glossary_2</vt:lpwstr>
      </vt:variant>
      <vt:variant>
        <vt:i4>2949154</vt:i4>
      </vt:variant>
      <vt:variant>
        <vt:i4>675</vt:i4>
      </vt:variant>
      <vt:variant>
        <vt:i4>0</vt:i4>
      </vt:variant>
      <vt:variant>
        <vt:i4>5</vt:i4>
      </vt:variant>
      <vt:variant>
        <vt:lpwstr/>
      </vt:variant>
      <vt:variant>
        <vt:lpwstr>_Ethical_foundations_of_2</vt:lpwstr>
      </vt:variant>
      <vt:variant>
        <vt:i4>5636184</vt:i4>
      </vt:variant>
      <vt:variant>
        <vt:i4>663</vt:i4>
      </vt:variant>
      <vt:variant>
        <vt:i4>0</vt:i4>
      </vt:variant>
      <vt:variant>
        <vt:i4>5</vt:i4>
      </vt:variant>
      <vt:variant>
        <vt:lpwstr/>
      </vt:variant>
      <vt:variant>
        <vt:lpwstr>_Glossary_2</vt:lpwstr>
      </vt:variant>
      <vt:variant>
        <vt:i4>5636184</vt:i4>
      </vt:variant>
      <vt:variant>
        <vt:i4>648</vt:i4>
      </vt:variant>
      <vt:variant>
        <vt:i4>0</vt:i4>
      </vt:variant>
      <vt:variant>
        <vt:i4>5</vt:i4>
      </vt:variant>
      <vt:variant>
        <vt:lpwstr/>
      </vt:variant>
      <vt:variant>
        <vt:lpwstr>_Glossary_2</vt:lpwstr>
      </vt:variant>
      <vt:variant>
        <vt:i4>5636184</vt:i4>
      </vt:variant>
      <vt:variant>
        <vt:i4>645</vt:i4>
      </vt:variant>
      <vt:variant>
        <vt:i4>0</vt:i4>
      </vt:variant>
      <vt:variant>
        <vt:i4>5</vt:i4>
      </vt:variant>
      <vt:variant>
        <vt:lpwstr/>
      </vt:variant>
      <vt:variant>
        <vt:lpwstr>_Glossary_2</vt:lpwstr>
      </vt:variant>
      <vt:variant>
        <vt:i4>7077975</vt:i4>
      </vt:variant>
      <vt:variant>
        <vt:i4>642</vt:i4>
      </vt:variant>
      <vt:variant>
        <vt:i4>0</vt:i4>
      </vt:variant>
      <vt:variant>
        <vt:i4>5</vt:i4>
      </vt:variant>
      <vt:variant>
        <vt:lpwstr/>
      </vt:variant>
      <vt:variant>
        <vt:lpwstr>_Appendix_2:_Development</vt:lpwstr>
      </vt:variant>
      <vt:variant>
        <vt:i4>5636184</vt:i4>
      </vt:variant>
      <vt:variant>
        <vt:i4>636</vt:i4>
      </vt:variant>
      <vt:variant>
        <vt:i4>0</vt:i4>
      </vt:variant>
      <vt:variant>
        <vt:i4>5</vt:i4>
      </vt:variant>
      <vt:variant>
        <vt:lpwstr/>
      </vt:variant>
      <vt:variant>
        <vt:lpwstr>_Glossary_2</vt:lpwstr>
      </vt:variant>
      <vt:variant>
        <vt:i4>2949154</vt:i4>
      </vt:variant>
      <vt:variant>
        <vt:i4>630</vt:i4>
      </vt:variant>
      <vt:variant>
        <vt:i4>0</vt:i4>
      </vt:variant>
      <vt:variant>
        <vt:i4>5</vt:i4>
      </vt:variant>
      <vt:variant>
        <vt:lpwstr/>
      </vt:variant>
      <vt:variant>
        <vt:lpwstr>_Ethical_foundations_of_2</vt:lpwstr>
      </vt:variant>
      <vt:variant>
        <vt:i4>5636184</vt:i4>
      </vt:variant>
      <vt:variant>
        <vt:i4>627</vt:i4>
      </vt:variant>
      <vt:variant>
        <vt:i4>0</vt:i4>
      </vt:variant>
      <vt:variant>
        <vt:i4>5</vt:i4>
      </vt:variant>
      <vt:variant>
        <vt:lpwstr/>
      </vt:variant>
      <vt:variant>
        <vt:lpwstr>_Glossary_2</vt:lpwstr>
      </vt:variant>
      <vt:variant>
        <vt:i4>5636184</vt:i4>
      </vt:variant>
      <vt:variant>
        <vt:i4>624</vt:i4>
      </vt:variant>
      <vt:variant>
        <vt:i4>0</vt:i4>
      </vt:variant>
      <vt:variant>
        <vt:i4>5</vt:i4>
      </vt:variant>
      <vt:variant>
        <vt:lpwstr/>
      </vt:variant>
      <vt:variant>
        <vt:lpwstr>_Glossary_2</vt:lpwstr>
      </vt:variant>
      <vt:variant>
        <vt:i4>2949154</vt:i4>
      </vt:variant>
      <vt:variant>
        <vt:i4>621</vt:i4>
      </vt:variant>
      <vt:variant>
        <vt:i4>0</vt:i4>
      </vt:variant>
      <vt:variant>
        <vt:i4>5</vt:i4>
      </vt:variant>
      <vt:variant>
        <vt:lpwstr/>
      </vt:variant>
      <vt:variant>
        <vt:lpwstr>_Ethical_foundations_of_1</vt:lpwstr>
      </vt:variant>
      <vt:variant>
        <vt:i4>5636184</vt:i4>
      </vt:variant>
      <vt:variant>
        <vt:i4>618</vt:i4>
      </vt:variant>
      <vt:variant>
        <vt:i4>0</vt:i4>
      </vt:variant>
      <vt:variant>
        <vt:i4>5</vt:i4>
      </vt:variant>
      <vt:variant>
        <vt:lpwstr/>
      </vt:variant>
      <vt:variant>
        <vt:lpwstr>_Glossary_2</vt:lpwstr>
      </vt:variant>
      <vt:variant>
        <vt:i4>5636184</vt:i4>
      </vt:variant>
      <vt:variant>
        <vt:i4>615</vt:i4>
      </vt:variant>
      <vt:variant>
        <vt:i4>0</vt:i4>
      </vt:variant>
      <vt:variant>
        <vt:i4>5</vt:i4>
      </vt:variant>
      <vt:variant>
        <vt:lpwstr/>
      </vt:variant>
      <vt:variant>
        <vt:lpwstr>_Glossary_2</vt:lpwstr>
      </vt:variant>
      <vt:variant>
        <vt:i4>5636184</vt:i4>
      </vt:variant>
      <vt:variant>
        <vt:i4>612</vt:i4>
      </vt:variant>
      <vt:variant>
        <vt:i4>0</vt:i4>
      </vt:variant>
      <vt:variant>
        <vt:i4>5</vt:i4>
      </vt:variant>
      <vt:variant>
        <vt:lpwstr/>
      </vt:variant>
      <vt:variant>
        <vt:lpwstr>_Glossary_2</vt:lpwstr>
      </vt:variant>
      <vt:variant>
        <vt:i4>5636184</vt:i4>
      </vt:variant>
      <vt:variant>
        <vt:i4>609</vt:i4>
      </vt:variant>
      <vt:variant>
        <vt:i4>0</vt:i4>
      </vt:variant>
      <vt:variant>
        <vt:i4>5</vt:i4>
      </vt:variant>
      <vt:variant>
        <vt:lpwstr/>
      </vt:variant>
      <vt:variant>
        <vt:lpwstr>_Glossary_2</vt:lpwstr>
      </vt:variant>
      <vt:variant>
        <vt:i4>1376306</vt:i4>
      </vt:variant>
      <vt:variant>
        <vt:i4>602</vt:i4>
      </vt:variant>
      <vt:variant>
        <vt:i4>0</vt:i4>
      </vt:variant>
      <vt:variant>
        <vt:i4>5</vt:i4>
      </vt:variant>
      <vt:variant>
        <vt:lpwstr/>
      </vt:variant>
      <vt:variant>
        <vt:lpwstr>_Toc135131515</vt:lpwstr>
      </vt:variant>
      <vt:variant>
        <vt:i4>1376306</vt:i4>
      </vt:variant>
      <vt:variant>
        <vt:i4>596</vt:i4>
      </vt:variant>
      <vt:variant>
        <vt:i4>0</vt:i4>
      </vt:variant>
      <vt:variant>
        <vt:i4>5</vt:i4>
      </vt:variant>
      <vt:variant>
        <vt:lpwstr/>
      </vt:variant>
      <vt:variant>
        <vt:lpwstr>_Toc135131514</vt:lpwstr>
      </vt:variant>
      <vt:variant>
        <vt:i4>1376306</vt:i4>
      </vt:variant>
      <vt:variant>
        <vt:i4>590</vt:i4>
      </vt:variant>
      <vt:variant>
        <vt:i4>0</vt:i4>
      </vt:variant>
      <vt:variant>
        <vt:i4>5</vt:i4>
      </vt:variant>
      <vt:variant>
        <vt:lpwstr/>
      </vt:variant>
      <vt:variant>
        <vt:lpwstr>_Toc135131513</vt:lpwstr>
      </vt:variant>
      <vt:variant>
        <vt:i4>1376306</vt:i4>
      </vt:variant>
      <vt:variant>
        <vt:i4>584</vt:i4>
      </vt:variant>
      <vt:variant>
        <vt:i4>0</vt:i4>
      </vt:variant>
      <vt:variant>
        <vt:i4>5</vt:i4>
      </vt:variant>
      <vt:variant>
        <vt:lpwstr/>
      </vt:variant>
      <vt:variant>
        <vt:lpwstr>_Toc135131512</vt:lpwstr>
      </vt:variant>
      <vt:variant>
        <vt:i4>1376306</vt:i4>
      </vt:variant>
      <vt:variant>
        <vt:i4>578</vt:i4>
      </vt:variant>
      <vt:variant>
        <vt:i4>0</vt:i4>
      </vt:variant>
      <vt:variant>
        <vt:i4>5</vt:i4>
      </vt:variant>
      <vt:variant>
        <vt:lpwstr/>
      </vt:variant>
      <vt:variant>
        <vt:lpwstr>_Toc135131511</vt:lpwstr>
      </vt:variant>
      <vt:variant>
        <vt:i4>1376306</vt:i4>
      </vt:variant>
      <vt:variant>
        <vt:i4>572</vt:i4>
      </vt:variant>
      <vt:variant>
        <vt:i4>0</vt:i4>
      </vt:variant>
      <vt:variant>
        <vt:i4>5</vt:i4>
      </vt:variant>
      <vt:variant>
        <vt:lpwstr/>
      </vt:variant>
      <vt:variant>
        <vt:lpwstr>_Toc135131510</vt:lpwstr>
      </vt:variant>
      <vt:variant>
        <vt:i4>1310770</vt:i4>
      </vt:variant>
      <vt:variant>
        <vt:i4>566</vt:i4>
      </vt:variant>
      <vt:variant>
        <vt:i4>0</vt:i4>
      </vt:variant>
      <vt:variant>
        <vt:i4>5</vt:i4>
      </vt:variant>
      <vt:variant>
        <vt:lpwstr/>
      </vt:variant>
      <vt:variant>
        <vt:lpwstr>_Toc135131509</vt:lpwstr>
      </vt:variant>
      <vt:variant>
        <vt:i4>1310770</vt:i4>
      </vt:variant>
      <vt:variant>
        <vt:i4>560</vt:i4>
      </vt:variant>
      <vt:variant>
        <vt:i4>0</vt:i4>
      </vt:variant>
      <vt:variant>
        <vt:i4>5</vt:i4>
      </vt:variant>
      <vt:variant>
        <vt:lpwstr/>
      </vt:variant>
      <vt:variant>
        <vt:lpwstr>_Toc135131508</vt:lpwstr>
      </vt:variant>
      <vt:variant>
        <vt:i4>1310770</vt:i4>
      </vt:variant>
      <vt:variant>
        <vt:i4>554</vt:i4>
      </vt:variant>
      <vt:variant>
        <vt:i4>0</vt:i4>
      </vt:variant>
      <vt:variant>
        <vt:i4>5</vt:i4>
      </vt:variant>
      <vt:variant>
        <vt:lpwstr/>
      </vt:variant>
      <vt:variant>
        <vt:lpwstr>_Toc135131507</vt:lpwstr>
      </vt:variant>
      <vt:variant>
        <vt:i4>1310770</vt:i4>
      </vt:variant>
      <vt:variant>
        <vt:i4>548</vt:i4>
      </vt:variant>
      <vt:variant>
        <vt:i4>0</vt:i4>
      </vt:variant>
      <vt:variant>
        <vt:i4>5</vt:i4>
      </vt:variant>
      <vt:variant>
        <vt:lpwstr/>
      </vt:variant>
      <vt:variant>
        <vt:lpwstr>_Toc135131506</vt:lpwstr>
      </vt:variant>
      <vt:variant>
        <vt:i4>1310770</vt:i4>
      </vt:variant>
      <vt:variant>
        <vt:i4>542</vt:i4>
      </vt:variant>
      <vt:variant>
        <vt:i4>0</vt:i4>
      </vt:variant>
      <vt:variant>
        <vt:i4>5</vt:i4>
      </vt:variant>
      <vt:variant>
        <vt:lpwstr/>
      </vt:variant>
      <vt:variant>
        <vt:lpwstr>_Toc135131505</vt:lpwstr>
      </vt:variant>
      <vt:variant>
        <vt:i4>1310770</vt:i4>
      </vt:variant>
      <vt:variant>
        <vt:i4>536</vt:i4>
      </vt:variant>
      <vt:variant>
        <vt:i4>0</vt:i4>
      </vt:variant>
      <vt:variant>
        <vt:i4>5</vt:i4>
      </vt:variant>
      <vt:variant>
        <vt:lpwstr/>
      </vt:variant>
      <vt:variant>
        <vt:lpwstr>_Toc135131504</vt:lpwstr>
      </vt:variant>
      <vt:variant>
        <vt:i4>1310770</vt:i4>
      </vt:variant>
      <vt:variant>
        <vt:i4>530</vt:i4>
      </vt:variant>
      <vt:variant>
        <vt:i4>0</vt:i4>
      </vt:variant>
      <vt:variant>
        <vt:i4>5</vt:i4>
      </vt:variant>
      <vt:variant>
        <vt:lpwstr/>
      </vt:variant>
      <vt:variant>
        <vt:lpwstr>_Toc135131503</vt:lpwstr>
      </vt:variant>
      <vt:variant>
        <vt:i4>1310770</vt:i4>
      </vt:variant>
      <vt:variant>
        <vt:i4>524</vt:i4>
      </vt:variant>
      <vt:variant>
        <vt:i4>0</vt:i4>
      </vt:variant>
      <vt:variant>
        <vt:i4>5</vt:i4>
      </vt:variant>
      <vt:variant>
        <vt:lpwstr/>
      </vt:variant>
      <vt:variant>
        <vt:lpwstr>_Toc135131502</vt:lpwstr>
      </vt:variant>
      <vt:variant>
        <vt:i4>1310770</vt:i4>
      </vt:variant>
      <vt:variant>
        <vt:i4>518</vt:i4>
      </vt:variant>
      <vt:variant>
        <vt:i4>0</vt:i4>
      </vt:variant>
      <vt:variant>
        <vt:i4>5</vt:i4>
      </vt:variant>
      <vt:variant>
        <vt:lpwstr/>
      </vt:variant>
      <vt:variant>
        <vt:lpwstr>_Toc135131501</vt:lpwstr>
      </vt:variant>
      <vt:variant>
        <vt:i4>1310770</vt:i4>
      </vt:variant>
      <vt:variant>
        <vt:i4>512</vt:i4>
      </vt:variant>
      <vt:variant>
        <vt:i4>0</vt:i4>
      </vt:variant>
      <vt:variant>
        <vt:i4>5</vt:i4>
      </vt:variant>
      <vt:variant>
        <vt:lpwstr/>
      </vt:variant>
      <vt:variant>
        <vt:lpwstr>_Toc135131500</vt:lpwstr>
      </vt:variant>
      <vt:variant>
        <vt:i4>1900595</vt:i4>
      </vt:variant>
      <vt:variant>
        <vt:i4>506</vt:i4>
      </vt:variant>
      <vt:variant>
        <vt:i4>0</vt:i4>
      </vt:variant>
      <vt:variant>
        <vt:i4>5</vt:i4>
      </vt:variant>
      <vt:variant>
        <vt:lpwstr/>
      </vt:variant>
      <vt:variant>
        <vt:lpwstr>_Toc135131499</vt:lpwstr>
      </vt:variant>
      <vt:variant>
        <vt:i4>1900595</vt:i4>
      </vt:variant>
      <vt:variant>
        <vt:i4>500</vt:i4>
      </vt:variant>
      <vt:variant>
        <vt:i4>0</vt:i4>
      </vt:variant>
      <vt:variant>
        <vt:i4>5</vt:i4>
      </vt:variant>
      <vt:variant>
        <vt:lpwstr/>
      </vt:variant>
      <vt:variant>
        <vt:lpwstr>_Toc135131498</vt:lpwstr>
      </vt:variant>
      <vt:variant>
        <vt:i4>1900595</vt:i4>
      </vt:variant>
      <vt:variant>
        <vt:i4>494</vt:i4>
      </vt:variant>
      <vt:variant>
        <vt:i4>0</vt:i4>
      </vt:variant>
      <vt:variant>
        <vt:i4>5</vt:i4>
      </vt:variant>
      <vt:variant>
        <vt:lpwstr/>
      </vt:variant>
      <vt:variant>
        <vt:lpwstr>_Toc135131497</vt:lpwstr>
      </vt:variant>
      <vt:variant>
        <vt:i4>1900595</vt:i4>
      </vt:variant>
      <vt:variant>
        <vt:i4>488</vt:i4>
      </vt:variant>
      <vt:variant>
        <vt:i4>0</vt:i4>
      </vt:variant>
      <vt:variant>
        <vt:i4>5</vt:i4>
      </vt:variant>
      <vt:variant>
        <vt:lpwstr/>
      </vt:variant>
      <vt:variant>
        <vt:lpwstr>_Toc135131496</vt:lpwstr>
      </vt:variant>
      <vt:variant>
        <vt:i4>1900595</vt:i4>
      </vt:variant>
      <vt:variant>
        <vt:i4>482</vt:i4>
      </vt:variant>
      <vt:variant>
        <vt:i4>0</vt:i4>
      </vt:variant>
      <vt:variant>
        <vt:i4>5</vt:i4>
      </vt:variant>
      <vt:variant>
        <vt:lpwstr/>
      </vt:variant>
      <vt:variant>
        <vt:lpwstr>_Toc135131495</vt:lpwstr>
      </vt:variant>
      <vt:variant>
        <vt:i4>1900595</vt:i4>
      </vt:variant>
      <vt:variant>
        <vt:i4>476</vt:i4>
      </vt:variant>
      <vt:variant>
        <vt:i4>0</vt:i4>
      </vt:variant>
      <vt:variant>
        <vt:i4>5</vt:i4>
      </vt:variant>
      <vt:variant>
        <vt:lpwstr/>
      </vt:variant>
      <vt:variant>
        <vt:lpwstr>_Toc135131494</vt:lpwstr>
      </vt:variant>
      <vt:variant>
        <vt:i4>1900595</vt:i4>
      </vt:variant>
      <vt:variant>
        <vt:i4>470</vt:i4>
      </vt:variant>
      <vt:variant>
        <vt:i4>0</vt:i4>
      </vt:variant>
      <vt:variant>
        <vt:i4>5</vt:i4>
      </vt:variant>
      <vt:variant>
        <vt:lpwstr/>
      </vt:variant>
      <vt:variant>
        <vt:lpwstr>_Toc135131493</vt:lpwstr>
      </vt:variant>
      <vt:variant>
        <vt:i4>1900595</vt:i4>
      </vt:variant>
      <vt:variant>
        <vt:i4>464</vt:i4>
      </vt:variant>
      <vt:variant>
        <vt:i4>0</vt:i4>
      </vt:variant>
      <vt:variant>
        <vt:i4>5</vt:i4>
      </vt:variant>
      <vt:variant>
        <vt:lpwstr/>
      </vt:variant>
      <vt:variant>
        <vt:lpwstr>_Toc135131492</vt:lpwstr>
      </vt:variant>
      <vt:variant>
        <vt:i4>1900595</vt:i4>
      </vt:variant>
      <vt:variant>
        <vt:i4>458</vt:i4>
      </vt:variant>
      <vt:variant>
        <vt:i4>0</vt:i4>
      </vt:variant>
      <vt:variant>
        <vt:i4>5</vt:i4>
      </vt:variant>
      <vt:variant>
        <vt:lpwstr/>
      </vt:variant>
      <vt:variant>
        <vt:lpwstr>_Toc135131491</vt:lpwstr>
      </vt:variant>
      <vt:variant>
        <vt:i4>1900595</vt:i4>
      </vt:variant>
      <vt:variant>
        <vt:i4>452</vt:i4>
      </vt:variant>
      <vt:variant>
        <vt:i4>0</vt:i4>
      </vt:variant>
      <vt:variant>
        <vt:i4>5</vt:i4>
      </vt:variant>
      <vt:variant>
        <vt:lpwstr/>
      </vt:variant>
      <vt:variant>
        <vt:lpwstr>_Toc135131490</vt:lpwstr>
      </vt:variant>
      <vt:variant>
        <vt:i4>1835059</vt:i4>
      </vt:variant>
      <vt:variant>
        <vt:i4>446</vt:i4>
      </vt:variant>
      <vt:variant>
        <vt:i4>0</vt:i4>
      </vt:variant>
      <vt:variant>
        <vt:i4>5</vt:i4>
      </vt:variant>
      <vt:variant>
        <vt:lpwstr/>
      </vt:variant>
      <vt:variant>
        <vt:lpwstr>_Toc135131489</vt:lpwstr>
      </vt:variant>
      <vt:variant>
        <vt:i4>1835059</vt:i4>
      </vt:variant>
      <vt:variant>
        <vt:i4>440</vt:i4>
      </vt:variant>
      <vt:variant>
        <vt:i4>0</vt:i4>
      </vt:variant>
      <vt:variant>
        <vt:i4>5</vt:i4>
      </vt:variant>
      <vt:variant>
        <vt:lpwstr/>
      </vt:variant>
      <vt:variant>
        <vt:lpwstr>_Toc135131488</vt:lpwstr>
      </vt:variant>
      <vt:variant>
        <vt:i4>1835059</vt:i4>
      </vt:variant>
      <vt:variant>
        <vt:i4>434</vt:i4>
      </vt:variant>
      <vt:variant>
        <vt:i4>0</vt:i4>
      </vt:variant>
      <vt:variant>
        <vt:i4>5</vt:i4>
      </vt:variant>
      <vt:variant>
        <vt:lpwstr/>
      </vt:variant>
      <vt:variant>
        <vt:lpwstr>_Toc135131487</vt:lpwstr>
      </vt:variant>
      <vt:variant>
        <vt:i4>1835059</vt:i4>
      </vt:variant>
      <vt:variant>
        <vt:i4>428</vt:i4>
      </vt:variant>
      <vt:variant>
        <vt:i4>0</vt:i4>
      </vt:variant>
      <vt:variant>
        <vt:i4>5</vt:i4>
      </vt:variant>
      <vt:variant>
        <vt:lpwstr/>
      </vt:variant>
      <vt:variant>
        <vt:lpwstr>_Toc135131486</vt:lpwstr>
      </vt:variant>
      <vt:variant>
        <vt:i4>1835059</vt:i4>
      </vt:variant>
      <vt:variant>
        <vt:i4>422</vt:i4>
      </vt:variant>
      <vt:variant>
        <vt:i4>0</vt:i4>
      </vt:variant>
      <vt:variant>
        <vt:i4>5</vt:i4>
      </vt:variant>
      <vt:variant>
        <vt:lpwstr/>
      </vt:variant>
      <vt:variant>
        <vt:lpwstr>_Toc135131485</vt:lpwstr>
      </vt:variant>
      <vt:variant>
        <vt:i4>1835059</vt:i4>
      </vt:variant>
      <vt:variant>
        <vt:i4>416</vt:i4>
      </vt:variant>
      <vt:variant>
        <vt:i4>0</vt:i4>
      </vt:variant>
      <vt:variant>
        <vt:i4>5</vt:i4>
      </vt:variant>
      <vt:variant>
        <vt:lpwstr/>
      </vt:variant>
      <vt:variant>
        <vt:lpwstr>_Toc135131484</vt:lpwstr>
      </vt:variant>
      <vt:variant>
        <vt:i4>1835059</vt:i4>
      </vt:variant>
      <vt:variant>
        <vt:i4>410</vt:i4>
      </vt:variant>
      <vt:variant>
        <vt:i4>0</vt:i4>
      </vt:variant>
      <vt:variant>
        <vt:i4>5</vt:i4>
      </vt:variant>
      <vt:variant>
        <vt:lpwstr/>
      </vt:variant>
      <vt:variant>
        <vt:lpwstr>_Toc135131483</vt:lpwstr>
      </vt:variant>
      <vt:variant>
        <vt:i4>1835059</vt:i4>
      </vt:variant>
      <vt:variant>
        <vt:i4>404</vt:i4>
      </vt:variant>
      <vt:variant>
        <vt:i4>0</vt:i4>
      </vt:variant>
      <vt:variant>
        <vt:i4>5</vt:i4>
      </vt:variant>
      <vt:variant>
        <vt:lpwstr/>
      </vt:variant>
      <vt:variant>
        <vt:lpwstr>_Toc135131482</vt:lpwstr>
      </vt:variant>
      <vt:variant>
        <vt:i4>1835059</vt:i4>
      </vt:variant>
      <vt:variant>
        <vt:i4>398</vt:i4>
      </vt:variant>
      <vt:variant>
        <vt:i4>0</vt:i4>
      </vt:variant>
      <vt:variant>
        <vt:i4>5</vt:i4>
      </vt:variant>
      <vt:variant>
        <vt:lpwstr/>
      </vt:variant>
      <vt:variant>
        <vt:lpwstr>_Toc135131481</vt:lpwstr>
      </vt:variant>
      <vt:variant>
        <vt:i4>1835059</vt:i4>
      </vt:variant>
      <vt:variant>
        <vt:i4>392</vt:i4>
      </vt:variant>
      <vt:variant>
        <vt:i4>0</vt:i4>
      </vt:variant>
      <vt:variant>
        <vt:i4>5</vt:i4>
      </vt:variant>
      <vt:variant>
        <vt:lpwstr/>
      </vt:variant>
      <vt:variant>
        <vt:lpwstr>_Toc135131480</vt:lpwstr>
      </vt:variant>
      <vt:variant>
        <vt:i4>1245235</vt:i4>
      </vt:variant>
      <vt:variant>
        <vt:i4>386</vt:i4>
      </vt:variant>
      <vt:variant>
        <vt:i4>0</vt:i4>
      </vt:variant>
      <vt:variant>
        <vt:i4>5</vt:i4>
      </vt:variant>
      <vt:variant>
        <vt:lpwstr/>
      </vt:variant>
      <vt:variant>
        <vt:lpwstr>_Toc135131479</vt:lpwstr>
      </vt:variant>
      <vt:variant>
        <vt:i4>1245235</vt:i4>
      </vt:variant>
      <vt:variant>
        <vt:i4>380</vt:i4>
      </vt:variant>
      <vt:variant>
        <vt:i4>0</vt:i4>
      </vt:variant>
      <vt:variant>
        <vt:i4>5</vt:i4>
      </vt:variant>
      <vt:variant>
        <vt:lpwstr/>
      </vt:variant>
      <vt:variant>
        <vt:lpwstr>_Toc135131478</vt:lpwstr>
      </vt:variant>
      <vt:variant>
        <vt:i4>1245235</vt:i4>
      </vt:variant>
      <vt:variant>
        <vt:i4>374</vt:i4>
      </vt:variant>
      <vt:variant>
        <vt:i4>0</vt:i4>
      </vt:variant>
      <vt:variant>
        <vt:i4>5</vt:i4>
      </vt:variant>
      <vt:variant>
        <vt:lpwstr/>
      </vt:variant>
      <vt:variant>
        <vt:lpwstr>_Toc135131477</vt:lpwstr>
      </vt:variant>
      <vt:variant>
        <vt:i4>1245235</vt:i4>
      </vt:variant>
      <vt:variant>
        <vt:i4>368</vt:i4>
      </vt:variant>
      <vt:variant>
        <vt:i4>0</vt:i4>
      </vt:variant>
      <vt:variant>
        <vt:i4>5</vt:i4>
      </vt:variant>
      <vt:variant>
        <vt:lpwstr/>
      </vt:variant>
      <vt:variant>
        <vt:lpwstr>_Toc135131476</vt:lpwstr>
      </vt:variant>
      <vt:variant>
        <vt:i4>1245235</vt:i4>
      </vt:variant>
      <vt:variant>
        <vt:i4>362</vt:i4>
      </vt:variant>
      <vt:variant>
        <vt:i4>0</vt:i4>
      </vt:variant>
      <vt:variant>
        <vt:i4>5</vt:i4>
      </vt:variant>
      <vt:variant>
        <vt:lpwstr/>
      </vt:variant>
      <vt:variant>
        <vt:lpwstr>_Toc135131475</vt:lpwstr>
      </vt:variant>
      <vt:variant>
        <vt:i4>1245235</vt:i4>
      </vt:variant>
      <vt:variant>
        <vt:i4>356</vt:i4>
      </vt:variant>
      <vt:variant>
        <vt:i4>0</vt:i4>
      </vt:variant>
      <vt:variant>
        <vt:i4>5</vt:i4>
      </vt:variant>
      <vt:variant>
        <vt:lpwstr/>
      </vt:variant>
      <vt:variant>
        <vt:lpwstr>_Toc135131474</vt:lpwstr>
      </vt:variant>
      <vt:variant>
        <vt:i4>1245235</vt:i4>
      </vt:variant>
      <vt:variant>
        <vt:i4>350</vt:i4>
      </vt:variant>
      <vt:variant>
        <vt:i4>0</vt:i4>
      </vt:variant>
      <vt:variant>
        <vt:i4>5</vt:i4>
      </vt:variant>
      <vt:variant>
        <vt:lpwstr/>
      </vt:variant>
      <vt:variant>
        <vt:lpwstr>_Toc135131473</vt:lpwstr>
      </vt:variant>
      <vt:variant>
        <vt:i4>1245235</vt:i4>
      </vt:variant>
      <vt:variant>
        <vt:i4>344</vt:i4>
      </vt:variant>
      <vt:variant>
        <vt:i4>0</vt:i4>
      </vt:variant>
      <vt:variant>
        <vt:i4>5</vt:i4>
      </vt:variant>
      <vt:variant>
        <vt:lpwstr/>
      </vt:variant>
      <vt:variant>
        <vt:lpwstr>_Toc135131472</vt:lpwstr>
      </vt:variant>
      <vt:variant>
        <vt:i4>1245235</vt:i4>
      </vt:variant>
      <vt:variant>
        <vt:i4>338</vt:i4>
      </vt:variant>
      <vt:variant>
        <vt:i4>0</vt:i4>
      </vt:variant>
      <vt:variant>
        <vt:i4>5</vt:i4>
      </vt:variant>
      <vt:variant>
        <vt:lpwstr/>
      </vt:variant>
      <vt:variant>
        <vt:lpwstr>_Toc135131471</vt:lpwstr>
      </vt:variant>
      <vt:variant>
        <vt:i4>1245235</vt:i4>
      </vt:variant>
      <vt:variant>
        <vt:i4>332</vt:i4>
      </vt:variant>
      <vt:variant>
        <vt:i4>0</vt:i4>
      </vt:variant>
      <vt:variant>
        <vt:i4>5</vt:i4>
      </vt:variant>
      <vt:variant>
        <vt:lpwstr/>
      </vt:variant>
      <vt:variant>
        <vt:lpwstr>_Toc135131470</vt:lpwstr>
      </vt:variant>
      <vt:variant>
        <vt:i4>1179699</vt:i4>
      </vt:variant>
      <vt:variant>
        <vt:i4>326</vt:i4>
      </vt:variant>
      <vt:variant>
        <vt:i4>0</vt:i4>
      </vt:variant>
      <vt:variant>
        <vt:i4>5</vt:i4>
      </vt:variant>
      <vt:variant>
        <vt:lpwstr/>
      </vt:variant>
      <vt:variant>
        <vt:lpwstr>_Toc135131469</vt:lpwstr>
      </vt:variant>
      <vt:variant>
        <vt:i4>1179699</vt:i4>
      </vt:variant>
      <vt:variant>
        <vt:i4>320</vt:i4>
      </vt:variant>
      <vt:variant>
        <vt:i4>0</vt:i4>
      </vt:variant>
      <vt:variant>
        <vt:i4>5</vt:i4>
      </vt:variant>
      <vt:variant>
        <vt:lpwstr/>
      </vt:variant>
      <vt:variant>
        <vt:lpwstr>_Toc135131468</vt:lpwstr>
      </vt:variant>
      <vt:variant>
        <vt:i4>1179699</vt:i4>
      </vt:variant>
      <vt:variant>
        <vt:i4>314</vt:i4>
      </vt:variant>
      <vt:variant>
        <vt:i4>0</vt:i4>
      </vt:variant>
      <vt:variant>
        <vt:i4>5</vt:i4>
      </vt:variant>
      <vt:variant>
        <vt:lpwstr/>
      </vt:variant>
      <vt:variant>
        <vt:lpwstr>_Toc135131467</vt:lpwstr>
      </vt:variant>
      <vt:variant>
        <vt:i4>1179699</vt:i4>
      </vt:variant>
      <vt:variant>
        <vt:i4>308</vt:i4>
      </vt:variant>
      <vt:variant>
        <vt:i4>0</vt:i4>
      </vt:variant>
      <vt:variant>
        <vt:i4>5</vt:i4>
      </vt:variant>
      <vt:variant>
        <vt:lpwstr/>
      </vt:variant>
      <vt:variant>
        <vt:lpwstr>_Toc135131466</vt:lpwstr>
      </vt:variant>
      <vt:variant>
        <vt:i4>1179699</vt:i4>
      </vt:variant>
      <vt:variant>
        <vt:i4>302</vt:i4>
      </vt:variant>
      <vt:variant>
        <vt:i4>0</vt:i4>
      </vt:variant>
      <vt:variant>
        <vt:i4>5</vt:i4>
      </vt:variant>
      <vt:variant>
        <vt:lpwstr/>
      </vt:variant>
      <vt:variant>
        <vt:lpwstr>_Toc135131465</vt:lpwstr>
      </vt:variant>
      <vt:variant>
        <vt:i4>1179699</vt:i4>
      </vt:variant>
      <vt:variant>
        <vt:i4>296</vt:i4>
      </vt:variant>
      <vt:variant>
        <vt:i4>0</vt:i4>
      </vt:variant>
      <vt:variant>
        <vt:i4>5</vt:i4>
      </vt:variant>
      <vt:variant>
        <vt:lpwstr/>
      </vt:variant>
      <vt:variant>
        <vt:lpwstr>_Toc135131464</vt:lpwstr>
      </vt:variant>
      <vt:variant>
        <vt:i4>1179699</vt:i4>
      </vt:variant>
      <vt:variant>
        <vt:i4>290</vt:i4>
      </vt:variant>
      <vt:variant>
        <vt:i4>0</vt:i4>
      </vt:variant>
      <vt:variant>
        <vt:i4>5</vt:i4>
      </vt:variant>
      <vt:variant>
        <vt:lpwstr/>
      </vt:variant>
      <vt:variant>
        <vt:lpwstr>_Toc135131463</vt:lpwstr>
      </vt:variant>
      <vt:variant>
        <vt:i4>1179699</vt:i4>
      </vt:variant>
      <vt:variant>
        <vt:i4>284</vt:i4>
      </vt:variant>
      <vt:variant>
        <vt:i4>0</vt:i4>
      </vt:variant>
      <vt:variant>
        <vt:i4>5</vt:i4>
      </vt:variant>
      <vt:variant>
        <vt:lpwstr/>
      </vt:variant>
      <vt:variant>
        <vt:lpwstr>_Toc135131462</vt:lpwstr>
      </vt:variant>
      <vt:variant>
        <vt:i4>1179699</vt:i4>
      </vt:variant>
      <vt:variant>
        <vt:i4>278</vt:i4>
      </vt:variant>
      <vt:variant>
        <vt:i4>0</vt:i4>
      </vt:variant>
      <vt:variant>
        <vt:i4>5</vt:i4>
      </vt:variant>
      <vt:variant>
        <vt:lpwstr/>
      </vt:variant>
      <vt:variant>
        <vt:lpwstr>_Toc135131461</vt:lpwstr>
      </vt:variant>
      <vt:variant>
        <vt:i4>1179699</vt:i4>
      </vt:variant>
      <vt:variant>
        <vt:i4>272</vt:i4>
      </vt:variant>
      <vt:variant>
        <vt:i4>0</vt:i4>
      </vt:variant>
      <vt:variant>
        <vt:i4>5</vt:i4>
      </vt:variant>
      <vt:variant>
        <vt:lpwstr/>
      </vt:variant>
      <vt:variant>
        <vt:lpwstr>_Toc135131460</vt:lpwstr>
      </vt:variant>
      <vt:variant>
        <vt:i4>1114163</vt:i4>
      </vt:variant>
      <vt:variant>
        <vt:i4>266</vt:i4>
      </vt:variant>
      <vt:variant>
        <vt:i4>0</vt:i4>
      </vt:variant>
      <vt:variant>
        <vt:i4>5</vt:i4>
      </vt:variant>
      <vt:variant>
        <vt:lpwstr/>
      </vt:variant>
      <vt:variant>
        <vt:lpwstr>_Toc135131458</vt:lpwstr>
      </vt:variant>
      <vt:variant>
        <vt:i4>1114163</vt:i4>
      </vt:variant>
      <vt:variant>
        <vt:i4>260</vt:i4>
      </vt:variant>
      <vt:variant>
        <vt:i4>0</vt:i4>
      </vt:variant>
      <vt:variant>
        <vt:i4>5</vt:i4>
      </vt:variant>
      <vt:variant>
        <vt:lpwstr/>
      </vt:variant>
      <vt:variant>
        <vt:lpwstr>_Toc135131457</vt:lpwstr>
      </vt:variant>
      <vt:variant>
        <vt:i4>1114163</vt:i4>
      </vt:variant>
      <vt:variant>
        <vt:i4>254</vt:i4>
      </vt:variant>
      <vt:variant>
        <vt:i4>0</vt:i4>
      </vt:variant>
      <vt:variant>
        <vt:i4>5</vt:i4>
      </vt:variant>
      <vt:variant>
        <vt:lpwstr/>
      </vt:variant>
      <vt:variant>
        <vt:lpwstr>_Toc135131456</vt:lpwstr>
      </vt:variant>
      <vt:variant>
        <vt:i4>1114163</vt:i4>
      </vt:variant>
      <vt:variant>
        <vt:i4>248</vt:i4>
      </vt:variant>
      <vt:variant>
        <vt:i4>0</vt:i4>
      </vt:variant>
      <vt:variant>
        <vt:i4>5</vt:i4>
      </vt:variant>
      <vt:variant>
        <vt:lpwstr/>
      </vt:variant>
      <vt:variant>
        <vt:lpwstr>_Toc135131455</vt:lpwstr>
      </vt:variant>
      <vt:variant>
        <vt:i4>1114163</vt:i4>
      </vt:variant>
      <vt:variant>
        <vt:i4>242</vt:i4>
      </vt:variant>
      <vt:variant>
        <vt:i4>0</vt:i4>
      </vt:variant>
      <vt:variant>
        <vt:i4>5</vt:i4>
      </vt:variant>
      <vt:variant>
        <vt:lpwstr/>
      </vt:variant>
      <vt:variant>
        <vt:lpwstr>_Toc135131454</vt:lpwstr>
      </vt:variant>
      <vt:variant>
        <vt:i4>1114163</vt:i4>
      </vt:variant>
      <vt:variant>
        <vt:i4>236</vt:i4>
      </vt:variant>
      <vt:variant>
        <vt:i4>0</vt:i4>
      </vt:variant>
      <vt:variant>
        <vt:i4>5</vt:i4>
      </vt:variant>
      <vt:variant>
        <vt:lpwstr/>
      </vt:variant>
      <vt:variant>
        <vt:lpwstr>_Toc135131453</vt:lpwstr>
      </vt:variant>
      <vt:variant>
        <vt:i4>1114163</vt:i4>
      </vt:variant>
      <vt:variant>
        <vt:i4>230</vt:i4>
      </vt:variant>
      <vt:variant>
        <vt:i4>0</vt:i4>
      </vt:variant>
      <vt:variant>
        <vt:i4>5</vt:i4>
      </vt:variant>
      <vt:variant>
        <vt:lpwstr/>
      </vt:variant>
      <vt:variant>
        <vt:lpwstr>_Toc135131452</vt:lpwstr>
      </vt:variant>
      <vt:variant>
        <vt:i4>1114163</vt:i4>
      </vt:variant>
      <vt:variant>
        <vt:i4>224</vt:i4>
      </vt:variant>
      <vt:variant>
        <vt:i4>0</vt:i4>
      </vt:variant>
      <vt:variant>
        <vt:i4>5</vt:i4>
      </vt:variant>
      <vt:variant>
        <vt:lpwstr/>
      </vt:variant>
      <vt:variant>
        <vt:lpwstr>_Toc135131451</vt:lpwstr>
      </vt:variant>
      <vt:variant>
        <vt:i4>1114163</vt:i4>
      </vt:variant>
      <vt:variant>
        <vt:i4>218</vt:i4>
      </vt:variant>
      <vt:variant>
        <vt:i4>0</vt:i4>
      </vt:variant>
      <vt:variant>
        <vt:i4>5</vt:i4>
      </vt:variant>
      <vt:variant>
        <vt:lpwstr/>
      </vt:variant>
      <vt:variant>
        <vt:lpwstr>_Toc135131450</vt:lpwstr>
      </vt:variant>
      <vt:variant>
        <vt:i4>1048627</vt:i4>
      </vt:variant>
      <vt:variant>
        <vt:i4>212</vt:i4>
      </vt:variant>
      <vt:variant>
        <vt:i4>0</vt:i4>
      </vt:variant>
      <vt:variant>
        <vt:i4>5</vt:i4>
      </vt:variant>
      <vt:variant>
        <vt:lpwstr/>
      </vt:variant>
      <vt:variant>
        <vt:lpwstr>_Toc135131449</vt:lpwstr>
      </vt:variant>
      <vt:variant>
        <vt:i4>1048627</vt:i4>
      </vt:variant>
      <vt:variant>
        <vt:i4>206</vt:i4>
      </vt:variant>
      <vt:variant>
        <vt:i4>0</vt:i4>
      </vt:variant>
      <vt:variant>
        <vt:i4>5</vt:i4>
      </vt:variant>
      <vt:variant>
        <vt:lpwstr/>
      </vt:variant>
      <vt:variant>
        <vt:lpwstr>_Toc135131448</vt:lpwstr>
      </vt:variant>
      <vt:variant>
        <vt:i4>1048627</vt:i4>
      </vt:variant>
      <vt:variant>
        <vt:i4>200</vt:i4>
      </vt:variant>
      <vt:variant>
        <vt:i4>0</vt:i4>
      </vt:variant>
      <vt:variant>
        <vt:i4>5</vt:i4>
      </vt:variant>
      <vt:variant>
        <vt:lpwstr/>
      </vt:variant>
      <vt:variant>
        <vt:lpwstr>_Toc135131447</vt:lpwstr>
      </vt:variant>
      <vt:variant>
        <vt:i4>1048627</vt:i4>
      </vt:variant>
      <vt:variant>
        <vt:i4>194</vt:i4>
      </vt:variant>
      <vt:variant>
        <vt:i4>0</vt:i4>
      </vt:variant>
      <vt:variant>
        <vt:i4>5</vt:i4>
      </vt:variant>
      <vt:variant>
        <vt:lpwstr/>
      </vt:variant>
      <vt:variant>
        <vt:lpwstr>_Toc135131446</vt:lpwstr>
      </vt:variant>
      <vt:variant>
        <vt:i4>1048627</vt:i4>
      </vt:variant>
      <vt:variant>
        <vt:i4>188</vt:i4>
      </vt:variant>
      <vt:variant>
        <vt:i4>0</vt:i4>
      </vt:variant>
      <vt:variant>
        <vt:i4>5</vt:i4>
      </vt:variant>
      <vt:variant>
        <vt:lpwstr/>
      </vt:variant>
      <vt:variant>
        <vt:lpwstr>_Toc135131445</vt:lpwstr>
      </vt:variant>
      <vt:variant>
        <vt:i4>1048627</vt:i4>
      </vt:variant>
      <vt:variant>
        <vt:i4>182</vt:i4>
      </vt:variant>
      <vt:variant>
        <vt:i4>0</vt:i4>
      </vt:variant>
      <vt:variant>
        <vt:i4>5</vt:i4>
      </vt:variant>
      <vt:variant>
        <vt:lpwstr/>
      </vt:variant>
      <vt:variant>
        <vt:lpwstr>_Toc135131444</vt:lpwstr>
      </vt:variant>
      <vt:variant>
        <vt:i4>1048627</vt:i4>
      </vt:variant>
      <vt:variant>
        <vt:i4>176</vt:i4>
      </vt:variant>
      <vt:variant>
        <vt:i4>0</vt:i4>
      </vt:variant>
      <vt:variant>
        <vt:i4>5</vt:i4>
      </vt:variant>
      <vt:variant>
        <vt:lpwstr/>
      </vt:variant>
      <vt:variant>
        <vt:lpwstr>_Toc135131443</vt:lpwstr>
      </vt:variant>
      <vt:variant>
        <vt:i4>1048627</vt:i4>
      </vt:variant>
      <vt:variant>
        <vt:i4>170</vt:i4>
      </vt:variant>
      <vt:variant>
        <vt:i4>0</vt:i4>
      </vt:variant>
      <vt:variant>
        <vt:i4>5</vt:i4>
      </vt:variant>
      <vt:variant>
        <vt:lpwstr/>
      </vt:variant>
      <vt:variant>
        <vt:lpwstr>_Toc135131442</vt:lpwstr>
      </vt:variant>
      <vt:variant>
        <vt:i4>1048627</vt:i4>
      </vt:variant>
      <vt:variant>
        <vt:i4>164</vt:i4>
      </vt:variant>
      <vt:variant>
        <vt:i4>0</vt:i4>
      </vt:variant>
      <vt:variant>
        <vt:i4>5</vt:i4>
      </vt:variant>
      <vt:variant>
        <vt:lpwstr/>
      </vt:variant>
      <vt:variant>
        <vt:lpwstr>_Toc135131441</vt:lpwstr>
      </vt:variant>
      <vt:variant>
        <vt:i4>1048627</vt:i4>
      </vt:variant>
      <vt:variant>
        <vt:i4>158</vt:i4>
      </vt:variant>
      <vt:variant>
        <vt:i4>0</vt:i4>
      </vt:variant>
      <vt:variant>
        <vt:i4>5</vt:i4>
      </vt:variant>
      <vt:variant>
        <vt:lpwstr/>
      </vt:variant>
      <vt:variant>
        <vt:lpwstr>_Toc135131440</vt:lpwstr>
      </vt:variant>
      <vt:variant>
        <vt:i4>1507379</vt:i4>
      </vt:variant>
      <vt:variant>
        <vt:i4>152</vt:i4>
      </vt:variant>
      <vt:variant>
        <vt:i4>0</vt:i4>
      </vt:variant>
      <vt:variant>
        <vt:i4>5</vt:i4>
      </vt:variant>
      <vt:variant>
        <vt:lpwstr/>
      </vt:variant>
      <vt:variant>
        <vt:lpwstr>_Toc135131439</vt:lpwstr>
      </vt:variant>
      <vt:variant>
        <vt:i4>1507379</vt:i4>
      </vt:variant>
      <vt:variant>
        <vt:i4>146</vt:i4>
      </vt:variant>
      <vt:variant>
        <vt:i4>0</vt:i4>
      </vt:variant>
      <vt:variant>
        <vt:i4>5</vt:i4>
      </vt:variant>
      <vt:variant>
        <vt:lpwstr/>
      </vt:variant>
      <vt:variant>
        <vt:lpwstr>_Toc135131438</vt:lpwstr>
      </vt:variant>
      <vt:variant>
        <vt:i4>1507379</vt:i4>
      </vt:variant>
      <vt:variant>
        <vt:i4>140</vt:i4>
      </vt:variant>
      <vt:variant>
        <vt:i4>0</vt:i4>
      </vt:variant>
      <vt:variant>
        <vt:i4>5</vt:i4>
      </vt:variant>
      <vt:variant>
        <vt:lpwstr/>
      </vt:variant>
      <vt:variant>
        <vt:lpwstr>_Toc135131437</vt:lpwstr>
      </vt:variant>
      <vt:variant>
        <vt:i4>1507379</vt:i4>
      </vt:variant>
      <vt:variant>
        <vt:i4>134</vt:i4>
      </vt:variant>
      <vt:variant>
        <vt:i4>0</vt:i4>
      </vt:variant>
      <vt:variant>
        <vt:i4>5</vt:i4>
      </vt:variant>
      <vt:variant>
        <vt:lpwstr/>
      </vt:variant>
      <vt:variant>
        <vt:lpwstr>_Toc135131436</vt:lpwstr>
      </vt:variant>
      <vt:variant>
        <vt:i4>1507379</vt:i4>
      </vt:variant>
      <vt:variant>
        <vt:i4>128</vt:i4>
      </vt:variant>
      <vt:variant>
        <vt:i4>0</vt:i4>
      </vt:variant>
      <vt:variant>
        <vt:i4>5</vt:i4>
      </vt:variant>
      <vt:variant>
        <vt:lpwstr/>
      </vt:variant>
      <vt:variant>
        <vt:lpwstr>_Toc135131435</vt:lpwstr>
      </vt:variant>
      <vt:variant>
        <vt:i4>1507379</vt:i4>
      </vt:variant>
      <vt:variant>
        <vt:i4>122</vt:i4>
      </vt:variant>
      <vt:variant>
        <vt:i4>0</vt:i4>
      </vt:variant>
      <vt:variant>
        <vt:i4>5</vt:i4>
      </vt:variant>
      <vt:variant>
        <vt:lpwstr/>
      </vt:variant>
      <vt:variant>
        <vt:lpwstr>_Toc135131434</vt:lpwstr>
      </vt:variant>
      <vt:variant>
        <vt:i4>1507379</vt:i4>
      </vt:variant>
      <vt:variant>
        <vt:i4>116</vt:i4>
      </vt:variant>
      <vt:variant>
        <vt:i4>0</vt:i4>
      </vt:variant>
      <vt:variant>
        <vt:i4>5</vt:i4>
      </vt:variant>
      <vt:variant>
        <vt:lpwstr/>
      </vt:variant>
      <vt:variant>
        <vt:lpwstr>_Toc135131433</vt:lpwstr>
      </vt:variant>
      <vt:variant>
        <vt:i4>1507379</vt:i4>
      </vt:variant>
      <vt:variant>
        <vt:i4>110</vt:i4>
      </vt:variant>
      <vt:variant>
        <vt:i4>0</vt:i4>
      </vt:variant>
      <vt:variant>
        <vt:i4>5</vt:i4>
      </vt:variant>
      <vt:variant>
        <vt:lpwstr/>
      </vt:variant>
      <vt:variant>
        <vt:lpwstr>_Toc135131432</vt:lpwstr>
      </vt:variant>
      <vt:variant>
        <vt:i4>1507379</vt:i4>
      </vt:variant>
      <vt:variant>
        <vt:i4>104</vt:i4>
      </vt:variant>
      <vt:variant>
        <vt:i4>0</vt:i4>
      </vt:variant>
      <vt:variant>
        <vt:i4>5</vt:i4>
      </vt:variant>
      <vt:variant>
        <vt:lpwstr/>
      </vt:variant>
      <vt:variant>
        <vt:lpwstr>_Toc135131431</vt:lpwstr>
      </vt:variant>
      <vt:variant>
        <vt:i4>1507379</vt:i4>
      </vt:variant>
      <vt:variant>
        <vt:i4>98</vt:i4>
      </vt:variant>
      <vt:variant>
        <vt:i4>0</vt:i4>
      </vt:variant>
      <vt:variant>
        <vt:i4>5</vt:i4>
      </vt:variant>
      <vt:variant>
        <vt:lpwstr/>
      </vt:variant>
      <vt:variant>
        <vt:lpwstr>_Toc135131430</vt:lpwstr>
      </vt:variant>
      <vt:variant>
        <vt:i4>1441843</vt:i4>
      </vt:variant>
      <vt:variant>
        <vt:i4>92</vt:i4>
      </vt:variant>
      <vt:variant>
        <vt:i4>0</vt:i4>
      </vt:variant>
      <vt:variant>
        <vt:i4>5</vt:i4>
      </vt:variant>
      <vt:variant>
        <vt:lpwstr/>
      </vt:variant>
      <vt:variant>
        <vt:lpwstr>_Toc135131429</vt:lpwstr>
      </vt:variant>
      <vt:variant>
        <vt:i4>1441843</vt:i4>
      </vt:variant>
      <vt:variant>
        <vt:i4>86</vt:i4>
      </vt:variant>
      <vt:variant>
        <vt:i4>0</vt:i4>
      </vt:variant>
      <vt:variant>
        <vt:i4>5</vt:i4>
      </vt:variant>
      <vt:variant>
        <vt:lpwstr/>
      </vt:variant>
      <vt:variant>
        <vt:lpwstr>_Toc135131428</vt:lpwstr>
      </vt:variant>
      <vt:variant>
        <vt:i4>1441843</vt:i4>
      </vt:variant>
      <vt:variant>
        <vt:i4>80</vt:i4>
      </vt:variant>
      <vt:variant>
        <vt:i4>0</vt:i4>
      </vt:variant>
      <vt:variant>
        <vt:i4>5</vt:i4>
      </vt:variant>
      <vt:variant>
        <vt:lpwstr/>
      </vt:variant>
      <vt:variant>
        <vt:lpwstr>_Toc135131427</vt:lpwstr>
      </vt:variant>
      <vt:variant>
        <vt:i4>1441843</vt:i4>
      </vt:variant>
      <vt:variant>
        <vt:i4>74</vt:i4>
      </vt:variant>
      <vt:variant>
        <vt:i4>0</vt:i4>
      </vt:variant>
      <vt:variant>
        <vt:i4>5</vt:i4>
      </vt:variant>
      <vt:variant>
        <vt:lpwstr/>
      </vt:variant>
      <vt:variant>
        <vt:lpwstr>_Toc135131426</vt:lpwstr>
      </vt:variant>
      <vt:variant>
        <vt:i4>1441843</vt:i4>
      </vt:variant>
      <vt:variant>
        <vt:i4>68</vt:i4>
      </vt:variant>
      <vt:variant>
        <vt:i4>0</vt:i4>
      </vt:variant>
      <vt:variant>
        <vt:i4>5</vt:i4>
      </vt:variant>
      <vt:variant>
        <vt:lpwstr/>
      </vt:variant>
      <vt:variant>
        <vt:lpwstr>_Toc135131425</vt:lpwstr>
      </vt:variant>
      <vt:variant>
        <vt:i4>1441843</vt:i4>
      </vt:variant>
      <vt:variant>
        <vt:i4>62</vt:i4>
      </vt:variant>
      <vt:variant>
        <vt:i4>0</vt:i4>
      </vt:variant>
      <vt:variant>
        <vt:i4>5</vt:i4>
      </vt:variant>
      <vt:variant>
        <vt:lpwstr/>
      </vt:variant>
      <vt:variant>
        <vt:lpwstr>_Toc135131424</vt:lpwstr>
      </vt:variant>
      <vt:variant>
        <vt:i4>1441843</vt:i4>
      </vt:variant>
      <vt:variant>
        <vt:i4>56</vt:i4>
      </vt:variant>
      <vt:variant>
        <vt:i4>0</vt:i4>
      </vt:variant>
      <vt:variant>
        <vt:i4>5</vt:i4>
      </vt:variant>
      <vt:variant>
        <vt:lpwstr/>
      </vt:variant>
      <vt:variant>
        <vt:lpwstr>_Toc135131423</vt:lpwstr>
      </vt:variant>
      <vt:variant>
        <vt:i4>1441843</vt:i4>
      </vt:variant>
      <vt:variant>
        <vt:i4>50</vt:i4>
      </vt:variant>
      <vt:variant>
        <vt:i4>0</vt:i4>
      </vt:variant>
      <vt:variant>
        <vt:i4>5</vt:i4>
      </vt:variant>
      <vt:variant>
        <vt:lpwstr/>
      </vt:variant>
      <vt:variant>
        <vt:lpwstr>_Toc135131422</vt:lpwstr>
      </vt:variant>
      <vt:variant>
        <vt:i4>1441843</vt:i4>
      </vt:variant>
      <vt:variant>
        <vt:i4>44</vt:i4>
      </vt:variant>
      <vt:variant>
        <vt:i4>0</vt:i4>
      </vt:variant>
      <vt:variant>
        <vt:i4>5</vt:i4>
      </vt:variant>
      <vt:variant>
        <vt:lpwstr/>
      </vt:variant>
      <vt:variant>
        <vt:lpwstr>_Toc135131421</vt:lpwstr>
      </vt:variant>
      <vt:variant>
        <vt:i4>1441843</vt:i4>
      </vt:variant>
      <vt:variant>
        <vt:i4>38</vt:i4>
      </vt:variant>
      <vt:variant>
        <vt:i4>0</vt:i4>
      </vt:variant>
      <vt:variant>
        <vt:i4>5</vt:i4>
      </vt:variant>
      <vt:variant>
        <vt:lpwstr/>
      </vt:variant>
      <vt:variant>
        <vt:lpwstr>_Toc135131420</vt:lpwstr>
      </vt:variant>
      <vt:variant>
        <vt:i4>1376307</vt:i4>
      </vt:variant>
      <vt:variant>
        <vt:i4>32</vt:i4>
      </vt:variant>
      <vt:variant>
        <vt:i4>0</vt:i4>
      </vt:variant>
      <vt:variant>
        <vt:i4>5</vt:i4>
      </vt:variant>
      <vt:variant>
        <vt:lpwstr/>
      </vt:variant>
      <vt:variant>
        <vt:lpwstr>_Toc135131419</vt:lpwstr>
      </vt:variant>
      <vt:variant>
        <vt:i4>1376307</vt:i4>
      </vt:variant>
      <vt:variant>
        <vt:i4>26</vt:i4>
      </vt:variant>
      <vt:variant>
        <vt:i4>0</vt:i4>
      </vt:variant>
      <vt:variant>
        <vt:i4>5</vt:i4>
      </vt:variant>
      <vt:variant>
        <vt:lpwstr/>
      </vt:variant>
      <vt:variant>
        <vt:lpwstr>_Toc135131418</vt:lpwstr>
      </vt:variant>
      <vt:variant>
        <vt:i4>1376307</vt:i4>
      </vt:variant>
      <vt:variant>
        <vt:i4>20</vt:i4>
      </vt:variant>
      <vt:variant>
        <vt:i4>0</vt:i4>
      </vt:variant>
      <vt:variant>
        <vt:i4>5</vt:i4>
      </vt:variant>
      <vt:variant>
        <vt:lpwstr/>
      </vt:variant>
      <vt:variant>
        <vt:lpwstr>_Toc135131417</vt:lpwstr>
      </vt:variant>
      <vt:variant>
        <vt:i4>1376307</vt:i4>
      </vt:variant>
      <vt:variant>
        <vt:i4>14</vt:i4>
      </vt:variant>
      <vt:variant>
        <vt:i4>0</vt:i4>
      </vt:variant>
      <vt:variant>
        <vt:i4>5</vt:i4>
      </vt:variant>
      <vt:variant>
        <vt:lpwstr/>
      </vt:variant>
      <vt:variant>
        <vt:lpwstr>_Toc135131416</vt:lpwstr>
      </vt:variant>
      <vt:variant>
        <vt:i4>1376307</vt:i4>
      </vt:variant>
      <vt:variant>
        <vt:i4>8</vt:i4>
      </vt:variant>
      <vt:variant>
        <vt:i4>0</vt:i4>
      </vt:variant>
      <vt:variant>
        <vt:i4>5</vt:i4>
      </vt:variant>
      <vt:variant>
        <vt:lpwstr/>
      </vt:variant>
      <vt:variant>
        <vt:lpwstr>_Toc135131415</vt:lpwstr>
      </vt:variant>
      <vt:variant>
        <vt:i4>1376307</vt:i4>
      </vt:variant>
      <vt:variant>
        <vt:i4>2</vt:i4>
      </vt:variant>
      <vt:variant>
        <vt:i4>0</vt:i4>
      </vt:variant>
      <vt:variant>
        <vt:i4>5</vt:i4>
      </vt:variant>
      <vt:variant>
        <vt:lpwstr/>
      </vt:variant>
      <vt:variant>
        <vt:lpwstr>_Toc135131414</vt:lpwstr>
      </vt:variant>
      <vt:variant>
        <vt:i4>2162702</vt:i4>
      </vt:variant>
      <vt:variant>
        <vt:i4>6</vt:i4>
      </vt:variant>
      <vt:variant>
        <vt:i4>0</vt:i4>
      </vt:variant>
      <vt:variant>
        <vt:i4>5</vt:i4>
      </vt:variant>
      <vt:variant>
        <vt:lpwstr/>
      </vt:variant>
      <vt:variant>
        <vt:lpwstr>_Directed_donation_after</vt:lpwstr>
      </vt:variant>
      <vt:variant>
        <vt:i4>589857</vt:i4>
      </vt:variant>
      <vt:variant>
        <vt:i4>3</vt:i4>
      </vt:variant>
      <vt:variant>
        <vt:i4>0</vt:i4>
      </vt:variant>
      <vt:variant>
        <vt:i4>5</vt:i4>
      </vt:variant>
      <vt:variant>
        <vt:lpwstr/>
      </vt:variant>
      <vt:variant>
        <vt:lpwstr>_Glossary</vt:lpwstr>
      </vt:variant>
      <vt:variant>
        <vt:i4>3014723</vt:i4>
      </vt:variant>
      <vt:variant>
        <vt:i4>0</vt:i4>
      </vt:variant>
      <vt:variant>
        <vt:i4>0</vt:i4>
      </vt:variant>
      <vt:variant>
        <vt:i4>5</vt:i4>
      </vt:variant>
      <vt:variant>
        <vt:lpwstr/>
      </vt:variant>
      <vt:variant>
        <vt:lpwstr>_Privacy_legislation_1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dc:creator>
  <cp:keywords/>
  <dc:description/>
  <cp:lastModifiedBy>Kenner, Jeremy</cp:lastModifiedBy>
  <cp:revision>13</cp:revision>
  <cp:lastPrinted>2023-07-13T03:31:00Z</cp:lastPrinted>
  <dcterms:created xsi:type="dcterms:W3CDTF">2024-01-08T03:20:00Z</dcterms:created>
  <dcterms:modified xsi:type="dcterms:W3CDTF">2024-01-08T03:30:00Z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4017186f-749e-3206-b326-ce481d161025</vt:lpwstr>
  </property>
  <property fmtid="{D5CDD505-2E9C-101B-9397-08002B2CF9AE}" pid="24" name="Mendeley Citation Style_1">
    <vt:lpwstr>http://www.zotero.org/styles/vancouver</vt:lpwstr>
  </property>
  <property fmtid="{D5CDD505-2E9C-101B-9397-08002B2CF9AE}" pid="25" name="ContentTypeId">
    <vt:lpwstr>0x010100384AA0E3C3D4E4488D006B63C9378E16</vt:lpwstr>
  </property>
  <property fmtid="{D5CDD505-2E9C-101B-9397-08002B2CF9AE}" pid="26" name="MediaServiceImageTags">
    <vt:lpwstr/>
  </property>
  <property fmtid="{D5CDD505-2E9C-101B-9397-08002B2CF9AE}" pid="27" name="_dlc_DocIdItemGuid">
    <vt:lpwstr>4aed19a3-cc7f-4daf-8940-bc165ed24670</vt:lpwstr>
  </property>
  <property fmtid="{D5CDD505-2E9C-101B-9397-08002B2CF9AE}" pid="28" name="MSIP_Label_fba3502d-09f9-4350-b49d-9cee4033cd14_Enabled">
    <vt:lpwstr>true</vt:lpwstr>
  </property>
  <property fmtid="{D5CDD505-2E9C-101B-9397-08002B2CF9AE}" pid="29" name="MSIP_Label_fba3502d-09f9-4350-b49d-9cee4033cd14_SetDate">
    <vt:lpwstr>2023-11-30T03:34:48Z</vt:lpwstr>
  </property>
  <property fmtid="{D5CDD505-2E9C-101B-9397-08002B2CF9AE}" pid="30" name="MSIP_Label_fba3502d-09f9-4350-b49d-9cee4033cd14_Method">
    <vt:lpwstr>Privileged</vt:lpwstr>
  </property>
  <property fmtid="{D5CDD505-2E9C-101B-9397-08002B2CF9AE}" pid="31" name="MSIP_Label_fba3502d-09f9-4350-b49d-9cee4033cd14_Name">
    <vt:lpwstr>UNOFFICIAL</vt:lpwstr>
  </property>
  <property fmtid="{D5CDD505-2E9C-101B-9397-08002B2CF9AE}" pid="32" name="MSIP_Label_fba3502d-09f9-4350-b49d-9cee4033cd14_SiteId">
    <vt:lpwstr>402fca06-dc9c-412f-9bf9-1a335a4671f7</vt:lpwstr>
  </property>
  <property fmtid="{D5CDD505-2E9C-101B-9397-08002B2CF9AE}" pid="33" name="MSIP_Label_fba3502d-09f9-4350-b49d-9cee4033cd14_ActionId">
    <vt:lpwstr>d92c5955-79cb-4053-9d5e-010befaeec0f</vt:lpwstr>
  </property>
  <property fmtid="{D5CDD505-2E9C-101B-9397-08002B2CF9AE}" pid="34" name="MSIP_Label_fba3502d-09f9-4350-b49d-9cee4033cd14_ContentBits">
    <vt:lpwstr>0</vt:lpwstr>
  </property>
</Properties>
</file>